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4EE26" w14:textId="77777777" w:rsidR="009F063F" w:rsidRPr="0052059D" w:rsidRDefault="009F063F" w:rsidP="009F063F">
      <w:pPr>
        <w:spacing w:after="360"/>
        <w:jc w:val="both"/>
        <w:rPr>
          <w:b/>
          <w:sz w:val="28"/>
          <w:szCs w:val="22"/>
        </w:rPr>
      </w:pPr>
      <w:bookmarkStart w:id="0" w:name="_GoBack"/>
      <w:bookmarkEnd w:id="0"/>
      <w:r>
        <w:rPr>
          <w:b/>
          <w:sz w:val="28"/>
          <w:szCs w:val="22"/>
        </w:rPr>
        <w:t xml:space="preserve">Acute epiglottitis </w:t>
      </w:r>
    </w:p>
    <w:p w14:paraId="0154D391" w14:textId="77777777" w:rsidR="00584E1E" w:rsidRPr="00F94418" w:rsidRDefault="00584E1E" w:rsidP="00584E1E">
      <w:pPr>
        <w:pStyle w:val="Heading2"/>
        <w:rPr>
          <w:rFonts w:cs="Arial"/>
          <w:i/>
          <w:szCs w:val="22"/>
        </w:rPr>
      </w:pPr>
      <w:r w:rsidRPr="00F94418">
        <w:rPr>
          <w:rFonts w:cs="Arial"/>
          <w:i/>
          <w:szCs w:val="22"/>
        </w:rPr>
        <w:t>Executive summary</w:t>
      </w:r>
    </w:p>
    <w:p w14:paraId="2E4512E8" w14:textId="77777777" w:rsidR="00584E1E" w:rsidRDefault="00584E1E" w:rsidP="00584E1E">
      <w:pPr>
        <w:pStyle w:val="Heading2"/>
        <w:rPr>
          <w:rFonts w:cs="Arial"/>
          <w:szCs w:val="22"/>
        </w:rPr>
      </w:pPr>
      <w:r w:rsidRPr="00DC590C">
        <w:rPr>
          <w:rFonts w:cs="Arial"/>
          <w:szCs w:val="22"/>
        </w:rPr>
        <w:t>Introduction</w:t>
      </w:r>
    </w:p>
    <w:p w14:paraId="7C700A15" w14:textId="358080D2" w:rsidR="009F063F" w:rsidRDefault="009F063F" w:rsidP="009F063F">
      <w:pPr>
        <w:spacing w:before="120" w:after="240"/>
        <w:outlineLvl w:val="1"/>
        <w:rPr>
          <w:szCs w:val="22"/>
        </w:rPr>
      </w:pPr>
      <w:r w:rsidRPr="00F50C8E">
        <w:rPr>
          <w:szCs w:val="22"/>
        </w:rPr>
        <w:t xml:space="preserve">Bacterial infection of the epiglottis in young children caused by </w:t>
      </w:r>
      <w:r w:rsidRPr="009F063F">
        <w:rPr>
          <w:i/>
          <w:szCs w:val="22"/>
        </w:rPr>
        <w:t>Haemophilus influenzae</w:t>
      </w:r>
      <w:r w:rsidRPr="00F50C8E">
        <w:rPr>
          <w:szCs w:val="22"/>
        </w:rPr>
        <w:t xml:space="preserve"> </w:t>
      </w:r>
      <w:r w:rsidR="006835DD">
        <w:rPr>
          <w:szCs w:val="22"/>
        </w:rPr>
        <w:t xml:space="preserve">type b </w:t>
      </w:r>
      <w:r w:rsidRPr="00F50C8E">
        <w:rPr>
          <w:szCs w:val="22"/>
        </w:rPr>
        <w:t xml:space="preserve">(Hib). It is rare when Hib vaccine coverage is high. </w:t>
      </w:r>
      <w:r>
        <w:rPr>
          <w:szCs w:val="22"/>
        </w:rPr>
        <w:t>The most typical patient affected by epiglottitis is now an urban male in his mid</w:t>
      </w:r>
      <w:r w:rsidR="005C3C58">
        <w:rPr>
          <w:szCs w:val="22"/>
        </w:rPr>
        <w:t>-</w:t>
      </w:r>
      <w:r>
        <w:rPr>
          <w:szCs w:val="22"/>
        </w:rPr>
        <w:t>40s.</w:t>
      </w:r>
      <w:r w:rsidRPr="00F50C8E">
        <w:rPr>
          <w:szCs w:val="22"/>
        </w:rPr>
        <w:t>It is a dramatic, potentially lethal condition characterized by an acute rapidly progressive respiratory obstruction</w:t>
      </w:r>
      <w:r>
        <w:rPr>
          <w:szCs w:val="22"/>
        </w:rPr>
        <w:t>. It is an important differential for croup.</w:t>
      </w:r>
    </w:p>
    <w:p w14:paraId="49889647" w14:textId="77777777" w:rsidR="00584E1E" w:rsidRDefault="00584E1E" w:rsidP="009F063F">
      <w:pPr>
        <w:pStyle w:val="Heading2"/>
        <w:jc w:val="both"/>
        <w:rPr>
          <w:bCs/>
        </w:rPr>
      </w:pPr>
      <w:r w:rsidRPr="00612AEE">
        <w:t xml:space="preserve">Target </w:t>
      </w:r>
      <w:r>
        <w:t>u</w:t>
      </w:r>
      <w:r w:rsidRPr="00612AEE">
        <w:t>ser</w:t>
      </w:r>
      <w:r>
        <w:t>s</w:t>
      </w:r>
    </w:p>
    <w:p w14:paraId="17F9F36E" w14:textId="78A6918B" w:rsidR="00584E1E" w:rsidRDefault="009F063F" w:rsidP="00584E1E">
      <w:pPr>
        <w:pStyle w:val="ListParagraph"/>
        <w:numPr>
          <w:ilvl w:val="0"/>
          <w:numId w:val="29"/>
        </w:numPr>
      </w:pPr>
      <w:r>
        <w:t>Doctors</w:t>
      </w:r>
    </w:p>
    <w:p w14:paraId="6AFC85A5" w14:textId="388B2FE2" w:rsidR="00584E1E" w:rsidRPr="00584E1E" w:rsidRDefault="009F063F" w:rsidP="00584E1E">
      <w:pPr>
        <w:pStyle w:val="ListParagraph"/>
        <w:numPr>
          <w:ilvl w:val="0"/>
          <w:numId w:val="29"/>
        </w:numPr>
      </w:pPr>
      <w:r>
        <w:t>Nurses</w:t>
      </w:r>
    </w:p>
    <w:p w14:paraId="749FFE1A" w14:textId="77777777" w:rsidR="00584E1E" w:rsidRDefault="00584E1E" w:rsidP="00504405">
      <w:pPr>
        <w:pStyle w:val="Heading2"/>
        <w:rPr>
          <w:bCs/>
        </w:rPr>
      </w:pPr>
      <w:r w:rsidRPr="00612AEE">
        <w:t xml:space="preserve">Target area of use </w:t>
      </w:r>
    </w:p>
    <w:p w14:paraId="38E432B1" w14:textId="2DABBA54" w:rsidR="00584E1E" w:rsidRDefault="009F063F" w:rsidP="00584E1E">
      <w:pPr>
        <w:pStyle w:val="ListParagraph"/>
        <w:numPr>
          <w:ilvl w:val="0"/>
          <w:numId w:val="29"/>
        </w:numPr>
      </w:pPr>
      <w:r>
        <w:t>Outpatient department</w:t>
      </w:r>
    </w:p>
    <w:p w14:paraId="257984E6" w14:textId="050FFCA3" w:rsidR="00584E1E" w:rsidRPr="00584E1E" w:rsidRDefault="009F063F" w:rsidP="00584E1E">
      <w:pPr>
        <w:pStyle w:val="ListParagraph"/>
        <w:numPr>
          <w:ilvl w:val="0"/>
          <w:numId w:val="29"/>
        </w:numPr>
      </w:pPr>
      <w:r>
        <w:t>Ward</w:t>
      </w:r>
    </w:p>
    <w:p w14:paraId="41EC21CE" w14:textId="77777777" w:rsidR="00584E1E" w:rsidRDefault="00584E1E" w:rsidP="00504405">
      <w:pPr>
        <w:pStyle w:val="Heading2"/>
        <w:rPr>
          <w:bCs/>
        </w:rPr>
      </w:pPr>
      <w:r>
        <w:t xml:space="preserve">Key areas of focus / </w:t>
      </w:r>
      <w:r w:rsidRPr="00612AEE">
        <w:t xml:space="preserve">New additions / </w:t>
      </w:r>
      <w:r>
        <w:t>C</w:t>
      </w:r>
      <w:r w:rsidRPr="00612AEE">
        <w:t xml:space="preserve">hanges </w:t>
      </w:r>
    </w:p>
    <w:p w14:paraId="1AD9A2CC" w14:textId="51327FE2" w:rsidR="00584E1E" w:rsidRPr="00584E1E" w:rsidRDefault="009F063F" w:rsidP="00504405">
      <w:pPr>
        <w:rPr>
          <w:b/>
        </w:rPr>
      </w:pPr>
      <w:r>
        <w:t>This guidelines addresses the management of acute epiglottitis.</w:t>
      </w:r>
    </w:p>
    <w:p w14:paraId="2A47201C" w14:textId="77777777" w:rsidR="00584E1E" w:rsidRDefault="00584E1E" w:rsidP="00504405">
      <w:pPr>
        <w:pStyle w:val="Heading2"/>
      </w:pPr>
      <w:r w:rsidRPr="00504405">
        <w:t>Limitations</w:t>
      </w:r>
    </w:p>
    <w:p w14:paraId="05A7AE43" w14:textId="5CC891B9" w:rsidR="00584E1E" w:rsidRPr="00504405" w:rsidRDefault="009F063F" w:rsidP="00584E1E">
      <w:pPr>
        <w:rPr>
          <w:b/>
        </w:rPr>
      </w:pPr>
      <w:r>
        <w:t>We have limited access to HDU / ITU level care and it may be difficult to get the necessary anaesthetic help to treat these patients in time.</w:t>
      </w:r>
    </w:p>
    <w:p w14:paraId="0CD4FCE3" w14:textId="77777777" w:rsidR="00584E1E" w:rsidRDefault="00584E1E">
      <w:pPr>
        <w:spacing w:after="0"/>
        <w:outlineLvl w:val="9"/>
        <w:rPr>
          <w:b/>
          <w:sz w:val="24"/>
          <w:szCs w:val="22"/>
        </w:rPr>
      </w:pPr>
      <w:r>
        <w:rPr>
          <w:szCs w:val="22"/>
        </w:rPr>
        <w:br w:type="page"/>
      </w:r>
    </w:p>
    <w:p w14:paraId="4983FD19" w14:textId="77777777" w:rsidR="009F063F" w:rsidRPr="009F063F" w:rsidRDefault="009F063F" w:rsidP="009F063F">
      <w:pPr>
        <w:pStyle w:val="Heading2"/>
      </w:pPr>
      <w:r w:rsidRPr="009F063F">
        <w:lastRenderedPageBreak/>
        <w:t>Presenting symptoms and signs</w:t>
      </w:r>
    </w:p>
    <w:p w14:paraId="67917CAD" w14:textId="77777777" w:rsidR="009F063F" w:rsidRPr="009F063F" w:rsidRDefault="009F063F" w:rsidP="009F063F">
      <w:pPr>
        <w:pStyle w:val="ListParagraph"/>
        <w:numPr>
          <w:ilvl w:val="0"/>
          <w:numId w:val="32"/>
        </w:numPr>
        <w:rPr>
          <w:rFonts w:asciiTheme="minorHAnsi" w:hAnsiTheme="minorHAnsi"/>
          <w:lang w:val="en-GB"/>
        </w:rPr>
      </w:pPr>
      <w:r w:rsidRPr="005F4EC7">
        <w:t>Rapid (less than 12-24 hours) onset of high fever</w:t>
      </w:r>
    </w:p>
    <w:p w14:paraId="2CB478A9" w14:textId="176DBE5A" w:rsidR="006835DD" w:rsidRPr="00E3669E" w:rsidRDefault="006835DD" w:rsidP="009F063F">
      <w:pPr>
        <w:pStyle w:val="ListParagraph"/>
        <w:numPr>
          <w:ilvl w:val="0"/>
          <w:numId w:val="32"/>
        </w:numPr>
        <w:rPr>
          <w:b/>
        </w:rPr>
      </w:pPr>
      <w:r w:rsidRPr="00E3669E">
        <w:rPr>
          <w:b/>
        </w:rPr>
        <w:t xml:space="preserve">Drooling </w:t>
      </w:r>
    </w:p>
    <w:p w14:paraId="5368D575" w14:textId="2285B3DA" w:rsidR="009F063F" w:rsidRPr="005F4EC7" w:rsidRDefault="009F063F" w:rsidP="009F063F">
      <w:pPr>
        <w:pStyle w:val="ListParagraph"/>
        <w:numPr>
          <w:ilvl w:val="0"/>
          <w:numId w:val="32"/>
        </w:numPr>
      </w:pPr>
      <w:r w:rsidRPr="005F4EC7">
        <w:t>Sore throat</w:t>
      </w:r>
    </w:p>
    <w:p w14:paraId="77D1D6D2" w14:textId="77777777" w:rsidR="009F063F" w:rsidRPr="005F4EC7" w:rsidRDefault="009F063F" w:rsidP="009F063F">
      <w:pPr>
        <w:pStyle w:val="ListParagraph"/>
        <w:numPr>
          <w:ilvl w:val="0"/>
          <w:numId w:val="32"/>
        </w:numPr>
      </w:pPr>
      <w:r w:rsidRPr="005F4EC7">
        <w:t>Dyspnoea</w:t>
      </w:r>
    </w:p>
    <w:p w14:paraId="482B3704" w14:textId="77777777" w:rsidR="009F063F" w:rsidRPr="005F4EC7" w:rsidRDefault="009F063F" w:rsidP="009F063F">
      <w:pPr>
        <w:pStyle w:val="ListParagraph"/>
        <w:numPr>
          <w:ilvl w:val="0"/>
          <w:numId w:val="32"/>
        </w:numPr>
      </w:pPr>
      <w:r w:rsidRPr="005F4EC7">
        <w:t>Neck is hyperextending</w:t>
      </w:r>
    </w:p>
    <w:p w14:paraId="3CEA70B1" w14:textId="77777777" w:rsidR="009F063F" w:rsidRPr="005F4EC7" w:rsidRDefault="009F063F" w:rsidP="009F063F">
      <w:pPr>
        <w:pStyle w:val="ListParagraph"/>
        <w:numPr>
          <w:ilvl w:val="0"/>
          <w:numId w:val="32"/>
        </w:numPr>
      </w:pPr>
      <w:r w:rsidRPr="005F4EC7">
        <w:t>Typical “tripod or sniffing” position, preferring to sit, leaning forward with an open mouth, anxious appearing.</w:t>
      </w:r>
    </w:p>
    <w:p w14:paraId="08F200C8" w14:textId="6C8E8A77" w:rsidR="009F063F" w:rsidRPr="005F4EC7" w:rsidRDefault="009F063F" w:rsidP="009F063F">
      <w:pPr>
        <w:pStyle w:val="ListParagraph"/>
        <w:numPr>
          <w:ilvl w:val="0"/>
          <w:numId w:val="32"/>
        </w:numPr>
      </w:pPr>
      <w:r w:rsidRPr="005F4EC7">
        <w:t xml:space="preserve">Difficulty swallowing </w:t>
      </w:r>
    </w:p>
    <w:p w14:paraId="4714C143" w14:textId="77777777" w:rsidR="009F063F" w:rsidRPr="005F4EC7" w:rsidRDefault="009F063F" w:rsidP="009F063F">
      <w:pPr>
        <w:pStyle w:val="ListParagraph"/>
        <w:numPr>
          <w:ilvl w:val="0"/>
          <w:numId w:val="32"/>
        </w:numPr>
      </w:pPr>
      <w:r w:rsidRPr="005F4EC7">
        <w:t>Stridor may be present (as opposed to croup, hoarse voice and cough are usually absent). Stridor is a late sign and suggests near-complete airway obstruction.</w:t>
      </w:r>
    </w:p>
    <w:p w14:paraId="0247018F" w14:textId="77777777" w:rsidR="009F063F" w:rsidRPr="005F4EC7" w:rsidRDefault="009F063F" w:rsidP="009F063F">
      <w:pPr>
        <w:pStyle w:val="ListParagraph"/>
        <w:numPr>
          <w:ilvl w:val="0"/>
          <w:numId w:val="32"/>
        </w:numPr>
      </w:pPr>
      <w:r w:rsidRPr="005F4EC7">
        <w:t>Critically ill appearing.</w:t>
      </w:r>
    </w:p>
    <w:p w14:paraId="791372BC" w14:textId="77777777" w:rsidR="009F063F" w:rsidRPr="005F4EC7" w:rsidRDefault="009F063F" w:rsidP="009F063F">
      <w:pPr>
        <w:pStyle w:val="ListParagraph"/>
        <w:numPr>
          <w:ilvl w:val="0"/>
          <w:numId w:val="32"/>
        </w:numPr>
      </w:pPr>
      <w:r w:rsidRPr="005F4EC7">
        <w:t>Rapidly progressive respiratory obstruction with laboured breathing; a brief period of air hunger with restlessness may be followed by rapidly increasing complete airway obstruction. Complete obstruction of the airway and death can ensue.</w:t>
      </w:r>
    </w:p>
    <w:p w14:paraId="7A258172" w14:textId="2570CFC7" w:rsidR="009F063F" w:rsidRPr="005F4EC7" w:rsidRDefault="009F063F" w:rsidP="009F063F">
      <w:pPr>
        <w:rPr>
          <w:b/>
        </w:rPr>
      </w:pPr>
      <w:r w:rsidRPr="005F4EC7">
        <w:t xml:space="preserve">Allow the </w:t>
      </w:r>
      <w:r w:rsidR="005C3C58">
        <w:t>patient</w:t>
      </w:r>
      <w:r w:rsidR="005C3C58" w:rsidRPr="005F4EC7">
        <w:t xml:space="preserve"> </w:t>
      </w:r>
      <w:r w:rsidRPr="005F4EC7">
        <w:t>to sit in a comfortable position. Do not force them to lie down (may precipitate airway obstruction</w:t>
      </w:r>
      <w:r w:rsidR="006835DD">
        <w:t>)</w:t>
      </w:r>
      <w:r w:rsidRPr="005F4EC7">
        <w:t>. Death from asphyxia can occur. This might be precipitated by attempts to examine the throat</w:t>
      </w:r>
      <w:r w:rsidRPr="005F4EC7">
        <w:rPr>
          <w:b/>
        </w:rPr>
        <w:t xml:space="preserve">; avoid using a tongue depressor or any instrument to examine the throat. </w:t>
      </w:r>
    </w:p>
    <w:p w14:paraId="3F1F5457" w14:textId="77777777" w:rsidR="009F063F" w:rsidRDefault="009F063F" w:rsidP="009F063F">
      <w:pPr>
        <w:pStyle w:val="Heading2"/>
      </w:pPr>
      <w:r w:rsidRPr="0052059D">
        <w:t xml:space="preserve">Management </w:t>
      </w:r>
    </w:p>
    <w:p w14:paraId="2FF36952" w14:textId="77777777" w:rsidR="009F063F" w:rsidRPr="005F4EC7" w:rsidRDefault="009F063F" w:rsidP="009F063F">
      <w:pPr>
        <w:rPr>
          <w:rFonts w:asciiTheme="minorHAnsi" w:hAnsiTheme="minorHAnsi"/>
          <w:lang w:val="en-GB"/>
        </w:rPr>
      </w:pPr>
      <w:r w:rsidRPr="009F063F">
        <w:rPr>
          <w:b/>
        </w:rPr>
        <w:t>Emergency:</w:t>
      </w:r>
      <w:r w:rsidRPr="005F4EC7">
        <w:t xml:space="preserve"> ABC</w:t>
      </w:r>
    </w:p>
    <w:p w14:paraId="5C3E46A6" w14:textId="77777777" w:rsidR="009F063F" w:rsidRPr="005F4EC7" w:rsidRDefault="009F063F" w:rsidP="009F063F">
      <w:pPr>
        <w:pStyle w:val="ListParagraph"/>
        <w:numPr>
          <w:ilvl w:val="0"/>
          <w:numId w:val="33"/>
        </w:numPr>
      </w:pPr>
      <w:r w:rsidRPr="005F4EC7">
        <w:t>Give oxygen</w:t>
      </w:r>
    </w:p>
    <w:p w14:paraId="74009B0A" w14:textId="27C7EF1D" w:rsidR="009F063F" w:rsidRDefault="009F063F" w:rsidP="009F063F">
      <w:pPr>
        <w:pStyle w:val="ListParagraph"/>
        <w:numPr>
          <w:ilvl w:val="0"/>
          <w:numId w:val="33"/>
        </w:numPr>
      </w:pPr>
      <w:r w:rsidRPr="005F4EC7">
        <w:t>Secure IV access and give IV fluids</w:t>
      </w:r>
      <w:r>
        <w:t>.</w:t>
      </w:r>
    </w:p>
    <w:p w14:paraId="3C2CE288" w14:textId="4300B40B" w:rsidR="009F063F" w:rsidRPr="005F4EC7" w:rsidRDefault="009F063F" w:rsidP="009F063F">
      <w:r>
        <w:t xml:space="preserve">Consider </w:t>
      </w:r>
      <w:r w:rsidRPr="009F063F">
        <w:rPr>
          <w:b/>
        </w:rPr>
        <w:t>urgent referral</w:t>
      </w:r>
      <w:r>
        <w:t xml:space="preserve"> in order to s</w:t>
      </w:r>
      <w:r w:rsidRPr="005F4EC7">
        <w:t>ecure airway via emergency intubation and tracheostomy (intubate under anaesthesia).</w:t>
      </w:r>
    </w:p>
    <w:p w14:paraId="319FA8FF" w14:textId="2AAF6B52" w:rsidR="009F063F" w:rsidRPr="005F4EC7" w:rsidRDefault="009F063F" w:rsidP="009F063F">
      <w:r w:rsidRPr="005F4EC7">
        <w:t xml:space="preserve">Start IV antibiotic therapy: </w:t>
      </w:r>
    </w:p>
    <w:p w14:paraId="5522FA34" w14:textId="36CC21DE" w:rsidR="009F063F" w:rsidRPr="005F4EC7" w:rsidRDefault="009F063F" w:rsidP="009F063F">
      <w:pPr>
        <w:pStyle w:val="ListParagraph"/>
        <w:numPr>
          <w:ilvl w:val="0"/>
          <w:numId w:val="34"/>
        </w:numPr>
      </w:pPr>
      <w:r w:rsidRPr="005F4EC7">
        <w:t>IV ceftriaxone (3 minutes) or IV infusion (30 minutes) at 50 mg/kg OD children and 1</w:t>
      </w:r>
      <w:r>
        <w:t xml:space="preserve"> </w:t>
      </w:r>
      <w:r w:rsidRPr="005F4EC7">
        <w:t xml:space="preserve">g OD for adults for 5 days. </w:t>
      </w:r>
    </w:p>
    <w:p w14:paraId="39E5863E" w14:textId="6C4CD08E" w:rsidR="009F063F" w:rsidRPr="005F4EC7" w:rsidRDefault="009F063F" w:rsidP="009F063F">
      <w:pPr>
        <w:pStyle w:val="ListParagraph"/>
        <w:numPr>
          <w:ilvl w:val="0"/>
          <w:numId w:val="34"/>
        </w:numPr>
      </w:pPr>
      <w:r w:rsidRPr="005F4EC7">
        <w:t>If clinical condition improves and oral treatment tolerated, switch to oral co-amo</w:t>
      </w:r>
      <w:r>
        <w:t>xiclav 50 mg/kg TDS or adults (</w:t>
      </w:r>
      <w:r w:rsidRPr="005F4EC7">
        <w:t>375</w:t>
      </w:r>
      <w:r>
        <w:t xml:space="preserve"> </w:t>
      </w:r>
      <w:r w:rsidRPr="005F4EC7">
        <w:t>mg TDS</w:t>
      </w:r>
      <w:r>
        <w:t xml:space="preserve"> &amp;</w:t>
      </w:r>
      <w:r w:rsidRPr="005F4EC7">
        <w:t xml:space="preserve"> amoxicillin 250</w:t>
      </w:r>
      <w:r>
        <w:t xml:space="preserve"> </w:t>
      </w:r>
      <w:r w:rsidRPr="005F4EC7">
        <w:t xml:space="preserve">mg TDS). Complete 10 days of antibiotics.  </w:t>
      </w:r>
    </w:p>
    <w:p w14:paraId="355BBAD6" w14:textId="77777777" w:rsidR="009F063F" w:rsidRPr="005F4EC7" w:rsidRDefault="009F063F" w:rsidP="009F063F">
      <w:r w:rsidRPr="009F063F">
        <w:rPr>
          <w:b/>
        </w:rPr>
        <w:t>Improvement criteria include:</w:t>
      </w:r>
      <w:r w:rsidRPr="005F4EC7">
        <w:t xml:space="preserve"> fever reduction, diminished respiratory distress, improved SpO2, improved appetite and/or activity</w:t>
      </w:r>
    </w:p>
    <w:p w14:paraId="1B1B7411" w14:textId="28E344DB" w:rsidR="009F063F" w:rsidRDefault="009F063F" w:rsidP="009F063F">
      <w:pPr>
        <w:jc w:val="both"/>
      </w:pPr>
      <w:r w:rsidRPr="005F4EC7">
        <w:t>PO Paracetamol at 15</w:t>
      </w:r>
      <w:r>
        <w:t xml:space="preserve"> </w:t>
      </w:r>
      <w:r w:rsidRPr="005F4EC7">
        <w:t>mg/kg TDS</w:t>
      </w:r>
    </w:p>
    <w:p w14:paraId="220D38F8" w14:textId="77777777" w:rsidR="009F063F" w:rsidRDefault="009F063F">
      <w:pPr>
        <w:spacing w:after="0"/>
        <w:outlineLvl w:val="9"/>
        <w:rPr>
          <w:b/>
          <w:sz w:val="24"/>
          <w:szCs w:val="22"/>
        </w:rPr>
      </w:pPr>
      <w:r>
        <w:rPr>
          <w:szCs w:val="22"/>
        </w:rPr>
        <w:br w:type="page"/>
      </w:r>
    </w:p>
    <w:p w14:paraId="07407F3B" w14:textId="3A1711A8" w:rsidR="009F063F" w:rsidRPr="003C0800" w:rsidRDefault="009F063F" w:rsidP="009F063F">
      <w:pPr>
        <w:pStyle w:val="Heading2"/>
        <w:jc w:val="both"/>
        <w:rPr>
          <w:rFonts w:cs="Arial"/>
          <w:szCs w:val="22"/>
        </w:rPr>
      </w:pPr>
      <w:r>
        <w:rPr>
          <w:rFonts w:cs="Arial"/>
          <w:szCs w:val="22"/>
        </w:rPr>
        <w:lastRenderedPageBreak/>
        <w:t>References</w:t>
      </w:r>
    </w:p>
    <w:p w14:paraId="7CA1F07A" w14:textId="77777777" w:rsidR="009F063F" w:rsidRPr="007112D6" w:rsidRDefault="009F063F" w:rsidP="009F063F">
      <w:pPr>
        <w:spacing w:before="240"/>
        <w:rPr>
          <w:sz w:val="20"/>
          <w:szCs w:val="20"/>
        </w:rPr>
      </w:pPr>
      <w:r w:rsidRPr="007112D6">
        <w:rPr>
          <w:sz w:val="20"/>
          <w:szCs w:val="20"/>
        </w:rPr>
        <w:t>Colledge, Nicki R., Brian R. Walker, Stuart Ralston, and Stanley Davidson. 2010. Davidson's principles and practice of medicine. Edinburgh: Churchill Livingstone/Elsevier.</w:t>
      </w:r>
    </w:p>
    <w:p w14:paraId="6B9372D3" w14:textId="6B714F5D" w:rsidR="009F063F" w:rsidRPr="007112D6" w:rsidRDefault="009F063F" w:rsidP="009F063F">
      <w:pPr>
        <w:spacing w:before="240"/>
        <w:rPr>
          <w:sz w:val="20"/>
          <w:szCs w:val="20"/>
        </w:rPr>
      </w:pPr>
      <w:r w:rsidRPr="007112D6">
        <w:rPr>
          <w:sz w:val="20"/>
          <w:szCs w:val="20"/>
        </w:rPr>
        <w:t>Epiglotitis. Medical guidelines. Med</w:t>
      </w:r>
      <w:r w:rsidR="006835DD">
        <w:rPr>
          <w:sz w:val="20"/>
          <w:szCs w:val="20"/>
        </w:rPr>
        <w:t>e</w:t>
      </w:r>
      <w:r w:rsidRPr="007112D6">
        <w:rPr>
          <w:sz w:val="20"/>
          <w:szCs w:val="20"/>
        </w:rPr>
        <w:t>cin</w:t>
      </w:r>
      <w:r w:rsidR="006835DD">
        <w:rPr>
          <w:sz w:val="20"/>
          <w:szCs w:val="20"/>
        </w:rPr>
        <w:t>s</w:t>
      </w:r>
      <w:r w:rsidRPr="007112D6">
        <w:rPr>
          <w:sz w:val="20"/>
          <w:szCs w:val="20"/>
        </w:rPr>
        <w:t xml:space="preserve"> Sans Frontieres. Retrieved from </w:t>
      </w:r>
      <w:hyperlink r:id="rId8" w:history="1">
        <w:r w:rsidR="005C3C58" w:rsidRPr="005C07CC">
          <w:rPr>
            <w:rStyle w:val="Hyperlink"/>
            <w:sz w:val="20"/>
            <w:szCs w:val="20"/>
          </w:rPr>
          <w:t>https://medicalguidelines.msf.org/viewport/CG/english/epiglottitis-16689226.html</w:t>
        </w:r>
      </w:hyperlink>
      <w:r w:rsidR="005C3C58">
        <w:rPr>
          <w:sz w:val="20"/>
          <w:szCs w:val="20"/>
        </w:rPr>
        <w:t xml:space="preserve"> </w:t>
      </w:r>
      <w:r w:rsidRPr="007112D6">
        <w:rPr>
          <w:sz w:val="20"/>
          <w:szCs w:val="20"/>
        </w:rPr>
        <w:t xml:space="preserve"> on 25th February, 2019.</w:t>
      </w:r>
    </w:p>
    <w:p w14:paraId="384AC092" w14:textId="14D2D1CF" w:rsidR="009F063F" w:rsidRPr="007112D6" w:rsidRDefault="009F063F" w:rsidP="009F063F">
      <w:pPr>
        <w:spacing w:before="240"/>
        <w:rPr>
          <w:sz w:val="20"/>
          <w:szCs w:val="20"/>
        </w:rPr>
      </w:pPr>
      <w:r w:rsidRPr="007112D6">
        <w:rPr>
          <w:sz w:val="20"/>
          <w:szCs w:val="20"/>
        </w:rPr>
        <w:t>Kliegman, Robert., et al. Nelson Textbook of Pediatrics. Edition 20. Phi</w:t>
      </w:r>
      <w:r w:rsidR="006835DD">
        <w:rPr>
          <w:sz w:val="20"/>
          <w:szCs w:val="20"/>
        </w:rPr>
        <w:t>l</w:t>
      </w:r>
      <w:r w:rsidRPr="007112D6">
        <w:rPr>
          <w:sz w:val="20"/>
          <w:szCs w:val="20"/>
        </w:rPr>
        <w:t>adelphia, PA: Elsevier, 2016.</w:t>
      </w:r>
    </w:p>
    <w:p w14:paraId="062F8FA7" w14:textId="70338995" w:rsidR="009F063F" w:rsidRPr="007112D6" w:rsidRDefault="005E36E2" w:rsidP="009F063F">
      <w:pPr>
        <w:spacing w:before="240"/>
        <w:rPr>
          <w:sz w:val="20"/>
          <w:szCs w:val="20"/>
        </w:rPr>
      </w:pPr>
      <w:hyperlink r:id="rId9" w:history="1">
        <w:r w:rsidR="005C3C58" w:rsidRPr="005C07CC">
          <w:rPr>
            <w:rStyle w:val="Hyperlink"/>
            <w:sz w:val="20"/>
            <w:szCs w:val="20"/>
          </w:rPr>
          <w:t>https://www.nice.org.uk/guidance/ng79/documents/consultation-document</w:t>
        </w:r>
      </w:hyperlink>
      <w:r w:rsidR="005C3C58">
        <w:rPr>
          <w:sz w:val="20"/>
          <w:szCs w:val="20"/>
        </w:rPr>
        <w:t xml:space="preserve"> </w:t>
      </w:r>
      <w:r w:rsidR="009F063F" w:rsidRPr="007112D6">
        <w:rPr>
          <w:sz w:val="20"/>
          <w:szCs w:val="20"/>
        </w:rPr>
        <w:t xml:space="preserve"> on 23/02/19.</w:t>
      </w:r>
    </w:p>
    <w:p w14:paraId="7BEA2281" w14:textId="77777777" w:rsidR="009F063F" w:rsidRPr="007112D6" w:rsidRDefault="009F063F" w:rsidP="009F063F">
      <w:pPr>
        <w:spacing w:before="240"/>
        <w:rPr>
          <w:sz w:val="20"/>
          <w:szCs w:val="20"/>
        </w:rPr>
      </w:pPr>
      <w:r w:rsidRPr="007112D6">
        <w:rPr>
          <w:sz w:val="20"/>
          <w:szCs w:val="20"/>
        </w:rPr>
        <w:t>Standard Treatment Guidelines, 6th Edition, 2010. ISBN 978-9988-1-2538-7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3622"/>
        <w:gridCol w:w="2869"/>
      </w:tblGrid>
      <w:tr w:rsidR="004C4442" w:rsidRPr="00515546" w14:paraId="5CD7F532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7857BD7B" w14:textId="77777777" w:rsidR="004C4442" w:rsidRPr="00515546" w:rsidRDefault="004C4442" w:rsidP="00522C6C">
            <w:pPr>
              <w:spacing w:after="0"/>
              <w:rPr>
                <w:b/>
                <w:szCs w:val="22"/>
              </w:rPr>
            </w:pPr>
            <w:r w:rsidRPr="00515546">
              <w:rPr>
                <w:b/>
                <w:szCs w:val="22"/>
              </w:rPr>
              <w:t>Written by: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590D05D4" w14:textId="00C0E263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Name</w:t>
            </w:r>
            <w:r w:rsidR="005638D0">
              <w:rPr>
                <w:szCs w:val="22"/>
              </w:rPr>
              <w:t xml:space="preserve">: </w:t>
            </w:r>
            <w:r w:rsidR="009F063F">
              <w:rPr>
                <w:szCs w:val="22"/>
              </w:rPr>
              <w:t>Fatoumata Sawaneh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63A57074" w14:textId="69729572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 xml:space="preserve">Date: </w:t>
            </w:r>
            <w:r w:rsidR="009F063F">
              <w:rPr>
                <w:szCs w:val="22"/>
              </w:rPr>
              <w:t>27 February 2019</w:t>
            </w:r>
          </w:p>
        </w:tc>
      </w:tr>
      <w:tr w:rsidR="004C4442" w:rsidRPr="00515546" w14:paraId="00B56E02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63E65DF2" w14:textId="77777777" w:rsidR="004C4442" w:rsidRPr="00515546" w:rsidRDefault="004C4442" w:rsidP="00522C6C">
            <w:pPr>
              <w:spacing w:after="0"/>
              <w:rPr>
                <w:b/>
                <w:szCs w:val="22"/>
              </w:rPr>
            </w:pPr>
            <w:r w:rsidRPr="00515546">
              <w:rPr>
                <w:b/>
                <w:szCs w:val="22"/>
              </w:rPr>
              <w:t>Reviewed by: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17AF0481" w14:textId="3B59564E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 xml:space="preserve">Name: </w:t>
            </w:r>
            <w:r w:rsidR="00D83E8A">
              <w:rPr>
                <w:szCs w:val="22"/>
              </w:rPr>
              <w:t>Baderinwa Abatan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304C7872" w14:textId="005FB38D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 xml:space="preserve">Date: </w:t>
            </w:r>
            <w:r w:rsidR="009F063F">
              <w:rPr>
                <w:szCs w:val="22"/>
              </w:rPr>
              <w:t>03 May 2019</w:t>
            </w:r>
          </w:p>
        </w:tc>
      </w:tr>
      <w:tr w:rsidR="004C4442" w:rsidRPr="00515546" w14:paraId="268F2AA1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4B49E5DE" w14:textId="77777777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b/>
                <w:szCs w:val="22"/>
              </w:rPr>
              <w:t>Version: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6D0456C1" w14:textId="77777777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b/>
                <w:szCs w:val="22"/>
              </w:rPr>
              <w:t>Change history: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5A811F00" w14:textId="77777777" w:rsidR="004C4442" w:rsidRPr="00515546" w:rsidRDefault="004C4442" w:rsidP="00522C6C">
            <w:pPr>
              <w:spacing w:after="0"/>
              <w:rPr>
                <w:b/>
                <w:szCs w:val="22"/>
              </w:rPr>
            </w:pPr>
            <w:r w:rsidRPr="00515546">
              <w:rPr>
                <w:b/>
                <w:szCs w:val="22"/>
              </w:rPr>
              <w:t>Review due date:</w:t>
            </w:r>
          </w:p>
        </w:tc>
      </w:tr>
      <w:tr w:rsidR="004C4442" w:rsidRPr="00515546" w14:paraId="21C0271F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5D631DFB" w14:textId="77777777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1.0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3E820891" w14:textId="77777777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New document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1D8F691C" w14:textId="05F582CD" w:rsidR="004C4442" w:rsidRPr="00515546" w:rsidRDefault="00430BB3" w:rsidP="00522C6C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31 May 2021</w:t>
            </w:r>
          </w:p>
        </w:tc>
      </w:tr>
      <w:tr w:rsidR="005638D0" w:rsidRPr="00515546" w14:paraId="00E57A72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63A9A2D5" w14:textId="77777777" w:rsidR="005638D0" w:rsidRPr="00515546" w:rsidRDefault="005638D0" w:rsidP="005638D0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Review Comments (</w:t>
            </w:r>
            <w:r w:rsidRPr="00515546">
              <w:rPr>
                <w:i/>
                <w:szCs w:val="22"/>
              </w:rPr>
              <w:t>if applicable)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7DD8A5A9" w14:textId="77777777" w:rsidR="005638D0" w:rsidRPr="00515546" w:rsidRDefault="005638D0" w:rsidP="005638D0">
            <w:pPr>
              <w:spacing w:after="0"/>
              <w:rPr>
                <w:szCs w:val="22"/>
              </w:rPr>
            </w:pPr>
          </w:p>
        </w:tc>
        <w:tc>
          <w:tcPr>
            <w:tcW w:w="2869" w:type="dxa"/>
            <w:shd w:val="clear" w:color="auto" w:fill="auto"/>
            <w:vAlign w:val="bottom"/>
          </w:tcPr>
          <w:p w14:paraId="7B582DE4" w14:textId="77777777" w:rsidR="005638D0" w:rsidRPr="00515546" w:rsidRDefault="005638D0" w:rsidP="005638D0">
            <w:pPr>
              <w:spacing w:after="0"/>
              <w:rPr>
                <w:b/>
                <w:szCs w:val="22"/>
              </w:rPr>
            </w:pPr>
          </w:p>
        </w:tc>
      </w:tr>
    </w:tbl>
    <w:p w14:paraId="7E970934" w14:textId="77777777" w:rsidR="00975A60" w:rsidRPr="00CC3CF5" w:rsidRDefault="00975A60" w:rsidP="00975A60">
      <w:pPr>
        <w:rPr>
          <w:szCs w:val="22"/>
        </w:rPr>
      </w:pPr>
    </w:p>
    <w:sectPr w:rsidR="00975A60" w:rsidRPr="00CC3CF5" w:rsidSect="00D13825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527DB" w14:textId="77777777" w:rsidR="005E36E2" w:rsidRDefault="005E36E2" w:rsidP="00975A60">
      <w:pPr>
        <w:spacing w:after="0"/>
      </w:pPr>
      <w:r>
        <w:separator/>
      </w:r>
    </w:p>
  </w:endnote>
  <w:endnote w:type="continuationSeparator" w:id="0">
    <w:p w14:paraId="7280085F" w14:textId="77777777" w:rsidR="005E36E2" w:rsidRDefault="005E36E2" w:rsidP="00975A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3BC88" w14:textId="77777777" w:rsidR="005D1877" w:rsidRDefault="005D1877" w:rsidP="00975A6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E46EAC" w14:textId="77777777" w:rsidR="005D1877" w:rsidRDefault="005D18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5AB34" w14:textId="77777777" w:rsidR="005D1877" w:rsidRPr="003A02A5" w:rsidRDefault="005D1877" w:rsidP="00975A60">
    <w:pPr>
      <w:pStyle w:val="Footer"/>
      <w:jc w:val="center"/>
    </w:pPr>
    <w:r w:rsidRPr="003A02A5">
      <w:rPr>
        <w:rStyle w:val="PageNumber"/>
      </w:rPr>
      <w:t xml:space="preserve">Page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PAGE </w:instrText>
    </w:r>
    <w:r w:rsidRPr="003A02A5">
      <w:rPr>
        <w:rStyle w:val="PageNumber"/>
      </w:rPr>
      <w:fldChar w:fldCharType="separate"/>
    </w:r>
    <w:r w:rsidR="006835DD">
      <w:rPr>
        <w:rStyle w:val="PageNumber"/>
        <w:noProof/>
      </w:rPr>
      <w:t>2</w:t>
    </w:r>
    <w:r w:rsidRPr="003A02A5">
      <w:rPr>
        <w:rStyle w:val="PageNumber"/>
      </w:rPr>
      <w:fldChar w:fldCharType="end"/>
    </w:r>
    <w:r w:rsidRPr="003A02A5">
      <w:rPr>
        <w:rStyle w:val="PageNumber"/>
      </w:rPr>
      <w:t xml:space="preserve"> of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NUMPAGES </w:instrText>
    </w:r>
    <w:r w:rsidRPr="003A02A5">
      <w:rPr>
        <w:rStyle w:val="PageNumber"/>
      </w:rPr>
      <w:fldChar w:fldCharType="separate"/>
    </w:r>
    <w:r w:rsidR="006835DD">
      <w:rPr>
        <w:rStyle w:val="PageNumber"/>
        <w:noProof/>
      </w:rPr>
      <w:t>3</w:t>
    </w:r>
    <w:r w:rsidRPr="003A02A5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C3A2CE" w14:textId="77777777" w:rsidR="00D13825" w:rsidRDefault="00D13825" w:rsidP="00D13825">
    <w:pPr>
      <w:pStyle w:val="Footer"/>
      <w:jc w:val="center"/>
    </w:pPr>
    <w:r w:rsidRPr="003A02A5">
      <w:rPr>
        <w:rStyle w:val="PageNumber"/>
      </w:rPr>
      <w:t xml:space="preserve">Page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PAGE </w:instrText>
    </w:r>
    <w:r w:rsidRPr="003A02A5">
      <w:rPr>
        <w:rStyle w:val="PageNumber"/>
      </w:rPr>
      <w:fldChar w:fldCharType="separate"/>
    </w:r>
    <w:r w:rsidR="006835DD">
      <w:rPr>
        <w:rStyle w:val="PageNumber"/>
        <w:noProof/>
      </w:rPr>
      <w:t>1</w:t>
    </w:r>
    <w:r w:rsidRPr="003A02A5">
      <w:rPr>
        <w:rStyle w:val="PageNumber"/>
      </w:rPr>
      <w:fldChar w:fldCharType="end"/>
    </w:r>
    <w:r w:rsidRPr="003A02A5">
      <w:rPr>
        <w:rStyle w:val="PageNumber"/>
      </w:rPr>
      <w:t xml:space="preserve"> of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NUMPAGES </w:instrText>
    </w:r>
    <w:r w:rsidRPr="003A02A5">
      <w:rPr>
        <w:rStyle w:val="PageNumber"/>
      </w:rPr>
      <w:fldChar w:fldCharType="separate"/>
    </w:r>
    <w:r w:rsidR="006835DD">
      <w:rPr>
        <w:rStyle w:val="PageNumber"/>
        <w:noProof/>
      </w:rPr>
      <w:t>3</w:t>
    </w:r>
    <w:r w:rsidRPr="003A02A5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97A2CE" w14:textId="77777777" w:rsidR="005E36E2" w:rsidRDefault="005E36E2" w:rsidP="00975A60">
      <w:pPr>
        <w:spacing w:after="0"/>
      </w:pPr>
      <w:r>
        <w:separator/>
      </w:r>
    </w:p>
  </w:footnote>
  <w:footnote w:type="continuationSeparator" w:id="0">
    <w:p w14:paraId="5B7F6E56" w14:textId="77777777" w:rsidR="005E36E2" w:rsidRDefault="005E36E2" w:rsidP="00975A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F7AC6" w14:textId="51A92EB4" w:rsidR="00D13825" w:rsidRPr="00F87812" w:rsidRDefault="00D13825" w:rsidP="00D13825">
    <w:pPr>
      <w:pStyle w:val="Header"/>
    </w:pPr>
    <w:r w:rsidRPr="00F87812">
      <w:t>Identification code: MeG-CLS-</w:t>
    </w:r>
    <w:r w:rsidR="009F063F">
      <w:t>063</w:t>
    </w:r>
    <w:r w:rsidRPr="00F87812">
      <w:tab/>
    </w:r>
  </w:p>
  <w:p w14:paraId="1285CD82" w14:textId="591FE5CA" w:rsidR="005D1877" w:rsidRPr="0095050B" w:rsidRDefault="00D13825" w:rsidP="00D13825">
    <w:pPr>
      <w:pStyle w:val="Header"/>
    </w:pPr>
    <w:r w:rsidRPr="0095050B">
      <w:t xml:space="preserve">Version: 1.0 – </w:t>
    </w:r>
    <w:r w:rsidR="00430BB3">
      <w:t>31 May 2019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0E1D89" w14:textId="77777777" w:rsidR="00D13825" w:rsidRDefault="00D13825" w:rsidP="00D13825">
    <w:pPr>
      <w:pStyle w:val="Header"/>
      <w:ind w:firstLine="2880"/>
      <w:rPr>
        <w:rFonts w:cs="Arial"/>
        <w:b/>
      </w:rPr>
    </w:pPr>
    <w:r>
      <w:rPr>
        <w:rFonts w:cs="Arial"/>
        <w:b/>
        <w:noProof/>
        <w:lang w:val="en-GB" w:eastAsia="en-GB"/>
      </w:rPr>
      <w:drawing>
        <wp:anchor distT="0" distB="0" distL="114300" distR="114300" simplePos="0" relativeHeight="251660288" behindDoc="1" locked="0" layoutInCell="1" allowOverlap="1" wp14:anchorId="4ED6DF81" wp14:editId="2449372D">
          <wp:simplePos x="0" y="0"/>
          <wp:positionH relativeFrom="margin">
            <wp:posOffset>-247650</wp:posOffset>
          </wp:positionH>
          <wp:positionV relativeFrom="paragraph">
            <wp:posOffset>-295275</wp:posOffset>
          </wp:positionV>
          <wp:extent cx="2253812" cy="8953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RC Logo 201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3812" cy="895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B8FE36A" w14:textId="77777777" w:rsidR="00D13825" w:rsidRDefault="00D13825" w:rsidP="00D13825">
    <w:pPr>
      <w:pStyle w:val="Header"/>
      <w:ind w:firstLine="2880"/>
      <w:rPr>
        <w:rFonts w:cs="Arial"/>
        <w:b/>
      </w:rPr>
    </w:pPr>
    <w:r w:rsidRPr="003C0800">
      <w:rPr>
        <w:rFonts w:cs="Arial"/>
        <w:b/>
      </w:rPr>
      <w:t>MRC</w:t>
    </w:r>
    <w:r>
      <w:rPr>
        <w:rFonts w:cs="Arial"/>
        <w:b/>
      </w:rPr>
      <w:t>G@LSHTM</w:t>
    </w:r>
    <w:r w:rsidRPr="003C0800">
      <w:rPr>
        <w:rFonts w:cs="Arial"/>
        <w:b/>
      </w:rPr>
      <w:t xml:space="preserve"> Clinical Guideline</w:t>
    </w:r>
  </w:p>
  <w:p w14:paraId="6A1440C2" w14:textId="77777777" w:rsidR="00D13825" w:rsidRPr="003C0800" w:rsidRDefault="00D13825" w:rsidP="00D13825">
    <w:pPr>
      <w:pStyle w:val="Header"/>
      <w:ind w:firstLine="2880"/>
      <w:rPr>
        <w:rFonts w:cs="Arial"/>
        <w:b/>
      </w:rPr>
    </w:pPr>
  </w:p>
  <w:p w14:paraId="260537DB" w14:textId="662E9202" w:rsidR="00D13825" w:rsidRPr="00F87812" w:rsidRDefault="00D13825" w:rsidP="00D13825">
    <w:pPr>
      <w:pStyle w:val="Header"/>
    </w:pPr>
    <w:r w:rsidRPr="00F87812">
      <w:t>Identification code: MeG-CLS-</w:t>
    </w:r>
    <w:r w:rsidR="009F063F">
      <w:t>063</w:t>
    </w:r>
    <w:r w:rsidRPr="00F87812">
      <w:tab/>
    </w:r>
  </w:p>
  <w:p w14:paraId="313C9D2F" w14:textId="4668FFCF" w:rsidR="00D13825" w:rsidRPr="00F87812" w:rsidRDefault="00D13825" w:rsidP="00D13825">
    <w:pPr>
      <w:pStyle w:val="Header"/>
    </w:pPr>
    <w:r w:rsidRPr="00F87812">
      <w:t xml:space="preserve">Version: </w:t>
    </w:r>
    <w:r w:rsidRPr="0095050B">
      <w:t xml:space="preserve">1.0 – </w:t>
    </w:r>
    <w:r w:rsidR="00430BB3">
      <w:t>31 May 2019</w:t>
    </w:r>
  </w:p>
  <w:p w14:paraId="7D66D8A1" w14:textId="77777777" w:rsidR="00D13825" w:rsidRDefault="00D138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15A15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086C94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0353087"/>
    <w:multiLevelType w:val="hybridMultilevel"/>
    <w:tmpl w:val="B6AED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212AA"/>
    <w:multiLevelType w:val="hybridMultilevel"/>
    <w:tmpl w:val="F9B2D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75228A"/>
    <w:multiLevelType w:val="hybridMultilevel"/>
    <w:tmpl w:val="91F4C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52731"/>
    <w:multiLevelType w:val="hybridMultilevel"/>
    <w:tmpl w:val="7B2A73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3448E4"/>
    <w:multiLevelType w:val="hybridMultilevel"/>
    <w:tmpl w:val="176E4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270A9"/>
    <w:multiLevelType w:val="hybridMultilevel"/>
    <w:tmpl w:val="C888B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B7867"/>
    <w:multiLevelType w:val="hybridMultilevel"/>
    <w:tmpl w:val="A4FCD63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FF63667"/>
    <w:multiLevelType w:val="hybridMultilevel"/>
    <w:tmpl w:val="875A1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34DA7"/>
    <w:multiLevelType w:val="hybridMultilevel"/>
    <w:tmpl w:val="9E40A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022F25"/>
    <w:multiLevelType w:val="hybridMultilevel"/>
    <w:tmpl w:val="CA9409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8B0916"/>
    <w:multiLevelType w:val="hybridMultilevel"/>
    <w:tmpl w:val="9A7AE5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A144FF"/>
    <w:multiLevelType w:val="hybridMultilevel"/>
    <w:tmpl w:val="407E8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404BD4"/>
    <w:multiLevelType w:val="hybridMultilevel"/>
    <w:tmpl w:val="AE72C1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14630D"/>
    <w:multiLevelType w:val="hybridMultilevel"/>
    <w:tmpl w:val="75386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871E75"/>
    <w:multiLevelType w:val="hybridMultilevel"/>
    <w:tmpl w:val="6B1C6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94278C"/>
    <w:multiLevelType w:val="hybridMultilevel"/>
    <w:tmpl w:val="B3100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9B0CF2"/>
    <w:multiLevelType w:val="hybridMultilevel"/>
    <w:tmpl w:val="ADDE9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BC4387"/>
    <w:multiLevelType w:val="hybridMultilevel"/>
    <w:tmpl w:val="4CCE0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DE9384">
      <w:start w:val="1"/>
      <w:numFmt w:val="bullet"/>
      <w:lvlText w:val="o"/>
      <w:lvlJc w:val="left"/>
      <w:pPr>
        <w:ind w:left="1353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3D4E37"/>
    <w:multiLevelType w:val="hybridMultilevel"/>
    <w:tmpl w:val="66D0AC3A"/>
    <w:lvl w:ilvl="0" w:tplc="A0FEB37C">
      <w:numFmt w:val="bullet"/>
      <w:lvlText w:val="•"/>
      <w:lvlJc w:val="left"/>
      <w:pPr>
        <w:ind w:left="1080" w:hanging="720"/>
      </w:pPr>
      <w:rPr>
        <w:rFonts w:ascii="Arial" w:eastAsia="MS Mincho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EF6AE6"/>
    <w:multiLevelType w:val="hybridMultilevel"/>
    <w:tmpl w:val="72AA595E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646662A1"/>
    <w:multiLevelType w:val="hybridMultilevel"/>
    <w:tmpl w:val="EE6C4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764D9C"/>
    <w:multiLevelType w:val="hybridMultilevel"/>
    <w:tmpl w:val="5764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360F1F"/>
    <w:multiLevelType w:val="hybridMultilevel"/>
    <w:tmpl w:val="70B08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605712"/>
    <w:multiLevelType w:val="hybridMultilevel"/>
    <w:tmpl w:val="1DD25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FF43D4"/>
    <w:multiLevelType w:val="hybridMultilevel"/>
    <w:tmpl w:val="79B48CE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6983098"/>
    <w:multiLevelType w:val="hybridMultilevel"/>
    <w:tmpl w:val="C55013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F0A20B6"/>
    <w:multiLevelType w:val="hybridMultilevel"/>
    <w:tmpl w:val="2F3A4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7E42C5"/>
    <w:multiLevelType w:val="hybridMultilevel"/>
    <w:tmpl w:val="832CA278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 w15:restartNumberingAfterBreak="0">
    <w:nsid w:val="728402B0"/>
    <w:multiLevelType w:val="hybridMultilevel"/>
    <w:tmpl w:val="84A66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834893"/>
    <w:multiLevelType w:val="hybridMultilevel"/>
    <w:tmpl w:val="F6ACBE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CA7371"/>
    <w:multiLevelType w:val="hybridMultilevel"/>
    <w:tmpl w:val="FCD88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5B5495"/>
    <w:multiLevelType w:val="hybridMultilevel"/>
    <w:tmpl w:val="2A7891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4"/>
  </w:num>
  <w:num w:numId="3">
    <w:abstractNumId w:val="12"/>
  </w:num>
  <w:num w:numId="4">
    <w:abstractNumId w:val="1"/>
  </w:num>
  <w:num w:numId="5">
    <w:abstractNumId w:val="0"/>
  </w:num>
  <w:num w:numId="6">
    <w:abstractNumId w:val="5"/>
  </w:num>
  <w:num w:numId="7">
    <w:abstractNumId w:val="19"/>
  </w:num>
  <w:num w:numId="8">
    <w:abstractNumId w:val="2"/>
  </w:num>
  <w:num w:numId="9">
    <w:abstractNumId w:val="33"/>
  </w:num>
  <w:num w:numId="10">
    <w:abstractNumId w:val="3"/>
  </w:num>
  <w:num w:numId="11">
    <w:abstractNumId w:val="13"/>
  </w:num>
  <w:num w:numId="12">
    <w:abstractNumId w:val="23"/>
  </w:num>
  <w:num w:numId="13">
    <w:abstractNumId w:val="28"/>
  </w:num>
  <w:num w:numId="14">
    <w:abstractNumId w:val="26"/>
  </w:num>
  <w:num w:numId="15">
    <w:abstractNumId w:val="32"/>
  </w:num>
  <w:num w:numId="16">
    <w:abstractNumId w:val="15"/>
  </w:num>
  <w:num w:numId="17">
    <w:abstractNumId w:val="9"/>
  </w:num>
  <w:num w:numId="18">
    <w:abstractNumId w:val="27"/>
  </w:num>
  <w:num w:numId="19">
    <w:abstractNumId w:val="16"/>
  </w:num>
  <w:num w:numId="20">
    <w:abstractNumId w:val="30"/>
  </w:num>
  <w:num w:numId="21">
    <w:abstractNumId w:val="18"/>
  </w:num>
  <w:num w:numId="22">
    <w:abstractNumId w:val="11"/>
  </w:num>
  <w:num w:numId="23">
    <w:abstractNumId w:val="22"/>
  </w:num>
  <w:num w:numId="24">
    <w:abstractNumId w:val="25"/>
  </w:num>
  <w:num w:numId="25">
    <w:abstractNumId w:val="20"/>
  </w:num>
  <w:num w:numId="26">
    <w:abstractNumId w:val="14"/>
  </w:num>
  <w:num w:numId="27">
    <w:abstractNumId w:val="8"/>
  </w:num>
  <w:num w:numId="28">
    <w:abstractNumId w:val="29"/>
  </w:num>
  <w:num w:numId="29">
    <w:abstractNumId w:val="21"/>
  </w:num>
  <w:num w:numId="30">
    <w:abstractNumId w:val="31"/>
  </w:num>
  <w:num w:numId="31">
    <w:abstractNumId w:val="10"/>
  </w:num>
  <w:num w:numId="32">
    <w:abstractNumId w:val="4"/>
  </w:num>
  <w:num w:numId="33">
    <w:abstractNumId w:val="7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ttachedTemplate r:id="rId1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2tTAwsTA1sDAztzBU0lEKTi0uzszPAykwqQUAGd07IywAAAA="/>
  </w:docVars>
  <w:rsids>
    <w:rsidRoot w:val="009F063F"/>
    <w:rsid w:val="000039D9"/>
    <w:rsid w:val="0007147C"/>
    <w:rsid w:val="00081642"/>
    <w:rsid w:val="00114AAF"/>
    <w:rsid w:val="001203AE"/>
    <w:rsid w:val="00144421"/>
    <w:rsid w:val="00175153"/>
    <w:rsid w:val="001C1450"/>
    <w:rsid w:val="00223920"/>
    <w:rsid w:val="00252A11"/>
    <w:rsid w:val="0029357D"/>
    <w:rsid w:val="002A2856"/>
    <w:rsid w:val="003020A2"/>
    <w:rsid w:val="003038D3"/>
    <w:rsid w:val="003225CD"/>
    <w:rsid w:val="003C0800"/>
    <w:rsid w:val="003F70CA"/>
    <w:rsid w:val="00430BB3"/>
    <w:rsid w:val="004A25F0"/>
    <w:rsid w:val="004A4C93"/>
    <w:rsid w:val="004C4442"/>
    <w:rsid w:val="00504405"/>
    <w:rsid w:val="005151D8"/>
    <w:rsid w:val="00515546"/>
    <w:rsid w:val="005638D0"/>
    <w:rsid w:val="00584E1E"/>
    <w:rsid w:val="005C3C58"/>
    <w:rsid w:val="005D1877"/>
    <w:rsid w:val="005E36E2"/>
    <w:rsid w:val="00633320"/>
    <w:rsid w:val="006835DD"/>
    <w:rsid w:val="007067BE"/>
    <w:rsid w:val="007112D6"/>
    <w:rsid w:val="007B26B1"/>
    <w:rsid w:val="00857027"/>
    <w:rsid w:val="009165E9"/>
    <w:rsid w:val="009325A7"/>
    <w:rsid w:val="0095050B"/>
    <w:rsid w:val="009747D5"/>
    <w:rsid w:val="00975A60"/>
    <w:rsid w:val="009956F9"/>
    <w:rsid w:val="009B44BE"/>
    <w:rsid w:val="009F063F"/>
    <w:rsid w:val="009F5B1B"/>
    <w:rsid w:val="00A312D8"/>
    <w:rsid w:val="00A41080"/>
    <w:rsid w:val="00A57064"/>
    <w:rsid w:val="00B31AC4"/>
    <w:rsid w:val="00B844E8"/>
    <w:rsid w:val="00BD08AB"/>
    <w:rsid w:val="00C51673"/>
    <w:rsid w:val="00C67021"/>
    <w:rsid w:val="00CC3CF5"/>
    <w:rsid w:val="00CD4A1D"/>
    <w:rsid w:val="00D03AB2"/>
    <w:rsid w:val="00D13825"/>
    <w:rsid w:val="00D83E8A"/>
    <w:rsid w:val="00DA20ED"/>
    <w:rsid w:val="00DC1CC5"/>
    <w:rsid w:val="00DC590C"/>
    <w:rsid w:val="00DE3D6D"/>
    <w:rsid w:val="00DF345F"/>
    <w:rsid w:val="00E162DA"/>
    <w:rsid w:val="00E3669E"/>
    <w:rsid w:val="00F03F25"/>
    <w:rsid w:val="00F53968"/>
    <w:rsid w:val="00F7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EA938"/>
  <w15:docId w15:val="{9519E31B-08D2-407E-A64A-FB7C3DEE6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MS Mincho" w:hAnsi="Tahoma" w:cs="Arial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uiPriority="9" w:unhideWhenUsed="1" w:qFormat="1"/>
    <w:lsdException w:name="heading 3" w:unhideWhenUsed="1"/>
    <w:lsdException w:name="heading 4" w:unhideWhenUsed="1"/>
    <w:lsdException w:name="heading 5" w:unhideWhenUsed="1"/>
    <w:lsdException w:name="heading 6" w:unhideWhenUsed="1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1F11"/>
    <w:pPr>
      <w:spacing w:after="120"/>
      <w:outlineLvl w:val="0"/>
    </w:pPr>
    <w:rPr>
      <w:rFonts w:ascii="Arial" w:hAnsi="Arial"/>
      <w:sz w:val="22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F11"/>
    <w:pPr>
      <w:spacing w:after="360"/>
    </w:pPr>
    <w:rPr>
      <w:rFonts w:cs="Times New Roman"/>
      <w:b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F11"/>
    <w:pPr>
      <w:spacing w:before="120" w:after="240"/>
      <w:outlineLvl w:val="1"/>
    </w:pPr>
    <w:rPr>
      <w:rFonts w:cs="Times New Roman"/>
      <w:b/>
      <w:sz w:val="24"/>
      <w:szCs w:val="28"/>
    </w:rPr>
  </w:style>
  <w:style w:type="paragraph" w:styleId="Heading3">
    <w:name w:val="heading 3"/>
    <w:basedOn w:val="Normal"/>
    <w:next w:val="Normal"/>
    <w:link w:val="Heading3Char"/>
    <w:autoRedefine/>
    <w:rsid w:val="00F71F11"/>
    <w:pPr>
      <w:spacing w:before="120" w:after="180"/>
      <w:outlineLvl w:val="2"/>
    </w:pPr>
    <w:rPr>
      <w:rFonts w:eastAsia="Times New Roman" w:cs="Times New Roman"/>
      <w:b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rsid w:val="001203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71F11"/>
    <w:rPr>
      <w:rFonts w:ascii="Arial" w:hAnsi="Arial" w:cs="Times New Roman"/>
      <w:b/>
      <w:sz w:val="28"/>
      <w:szCs w:val="36"/>
      <w:lang w:val="en-US"/>
    </w:rPr>
  </w:style>
  <w:style w:type="character" w:customStyle="1" w:styleId="Heading2Char">
    <w:name w:val="Heading 2 Char"/>
    <w:link w:val="Heading2"/>
    <w:uiPriority w:val="9"/>
    <w:rsid w:val="00F71F11"/>
    <w:rPr>
      <w:rFonts w:ascii="Arial" w:hAnsi="Arial" w:cs="Times New Roman"/>
      <w:b/>
      <w:sz w:val="24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FB1"/>
    <w:rPr>
      <w:rFonts w:ascii="Lucida Grande" w:hAnsi="Lucida Grande" w:cs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F2FB1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F71F11"/>
    <w:rPr>
      <w:rFonts w:ascii="Arial" w:eastAsia="Times New Roman" w:hAnsi="Arial" w:cs="Times New Roman"/>
      <w:b/>
      <w:bCs/>
      <w:sz w:val="22"/>
      <w:szCs w:val="26"/>
      <w:u w:val="single"/>
      <w:lang w:val="en-US"/>
    </w:rPr>
  </w:style>
  <w:style w:type="table" w:styleId="TableGrid">
    <w:name w:val="Table Grid"/>
    <w:basedOn w:val="TableNormal"/>
    <w:uiPriority w:val="59"/>
    <w:rsid w:val="009D48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483C"/>
    <w:pPr>
      <w:tabs>
        <w:tab w:val="center" w:pos="4320"/>
        <w:tab w:val="right" w:pos="8640"/>
      </w:tabs>
      <w:spacing w:after="0"/>
    </w:pPr>
    <w:rPr>
      <w:rFonts w:cs="Times New Roman"/>
      <w:sz w:val="20"/>
      <w:szCs w:val="20"/>
    </w:rPr>
  </w:style>
  <w:style w:type="character" w:customStyle="1" w:styleId="HeaderChar">
    <w:name w:val="Header Char"/>
    <w:link w:val="Header"/>
    <w:uiPriority w:val="99"/>
    <w:rsid w:val="009D483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D483C"/>
    <w:pPr>
      <w:tabs>
        <w:tab w:val="center" w:pos="4320"/>
        <w:tab w:val="right" w:pos="8640"/>
      </w:tabs>
      <w:spacing w:after="0"/>
    </w:pPr>
    <w:rPr>
      <w:rFonts w:cs="Times New Roman"/>
      <w:sz w:val="20"/>
      <w:szCs w:val="20"/>
    </w:rPr>
  </w:style>
  <w:style w:type="character" w:customStyle="1" w:styleId="FooterChar">
    <w:name w:val="Footer Char"/>
    <w:link w:val="Footer"/>
    <w:uiPriority w:val="99"/>
    <w:rsid w:val="009D483C"/>
    <w:rPr>
      <w:lang w:val="en-US"/>
    </w:rPr>
  </w:style>
  <w:style w:type="character" w:styleId="PageNumber">
    <w:name w:val="page number"/>
    <w:uiPriority w:val="99"/>
    <w:semiHidden/>
    <w:unhideWhenUsed/>
    <w:rsid w:val="009D483C"/>
  </w:style>
  <w:style w:type="paragraph" w:styleId="ListParagraph">
    <w:name w:val="List Paragraph"/>
    <w:basedOn w:val="Normal"/>
    <w:uiPriority w:val="34"/>
    <w:qFormat/>
    <w:rsid w:val="009956F9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rsid w:val="00F71F11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F71F11"/>
    <w:rPr>
      <w:rFonts w:ascii="Arial" w:hAnsi="Arial"/>
      <w:sz w:val="22"/>
      <w:szCs w:val="16"/>
      <w:lang w:val="en-US"/>
    </w:rPr>
  </w:style>
  <w:style w:type="character" w:customStyle="1" w:styleId="Heading4Char">
    <w:name w:val="Heading 4 Char"/>
    <w:basedOn w:val="DefaultParagraphFont"/>
    <w:link w:val="Heading4"/>
    <w:rsid w:val="001203AE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4"/>
      <w:lang w:val="en-US"/>
    </w:rPr>
  </w:style>
  <w:style w:type="character" w:styleId="Hyperlink">
    <w:name w:val="Hyperlink"/>
    <w:basedOn w:val="DefaultParagraphFont"/>
    <w:rsid w:val="001203A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rsid w:val="001203AE"/>
    <w:rPr>
      <w:color w:val="605E5C"/>
      <w:shd w:val="clear" w:color="auto" w:fill="E1DFDD"/>
    </w:rPr>
  </w:style>
  <w:style w:type="paragraph" w:styleId="Revision">
    <w:name w:val="Revision"/>
    <w:hidden/>
    <w:semiHidden/>
    <w:rsid w:val="00E3669E"/>
    <w:rPr>
      <w:rFonts w:ascii="Arial" w:hAnsi="Arial"/>
      <w:sz w:val="22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calguidelines.msf.org/viewport/CG/english/epiglottitis-16689226.html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nice.org.uk/guidance/ng79/documents/consultation-document" TargetMode="Externa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forrest\Documents\Custom%20Office%20Templates\Clinical%20guideline%20template%202019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B9466-235B-4845-BB2A-639BFC10B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Clinical guideline template 2019a</Template>
  <TotalTime>2</TotalTime>
  <Pages>3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MRC</Company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Forrest Karen</dc:creator>
  <cp:lastModifiedBy>Karen Forrest</cp:lastModifiedBy>
  <cp:revision>3</cp:revision>
  <cp:lastPrinted>2019-05-31T09:45:00Z</cp:lastPrinted>
  <dcterms:created xsi:type="dcterms:W3CDTF">2019-05-27T14:56:00Z</dcterms:created>
  <dcterms:modified xsi:type="dcterms:W3CDTF">2019-05-31T09:45:00Z</dcterms:modified>
</cp:coreProperties>
</file>