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AFCD7" w14:textId="446918C9" w:rsidR="001203AE" w:rsidRPr="003C0800" w:rsidRDefault="008C7C51" w:rsidP="001203AE">
      <w:pPr>
        <w:pStyle w:val="Heading1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Hyperglycaemic</w:t>
      </w:r>
      <w:proofErr w:type="spellEnd"/>
      <w:r>
        <w:rPr>
          <w:rFonts w:cs="Arial"/>
          <w:szCs w:val="22"/>
        </w:rPr>
        <w:t xml:space="preserve"> Hyperosmolar State</w:t>
      </w:r>
    </w:p>
    <w:p w14:paraId="52CEC4D6" w14:textId="77777777" w:rsidR="00A1443D" w:rsidRDefault="00A1443D" w:rsidP="00A1443D">
      <w:pPr>
        <w:pStyle w:val="Heading2"/>
        <w:rPr>
          <w:rFonts w:eastAsia="Times New Roman"/>
          <w:i/>
          <w:iCs/>
          <w:szCs w:val="24"/>
        </w:rPr>
      </w:pPr>
      <w:r>
        <w:rPr>
          <w:rFonts w:eastAsia="Times New Roman"/>
          <w:i/>
          <w:iCs/>
        </w:rPr>
        <w:t>Executive summary</w:t>
      </w:r>
    </w:p>
    <w:p w14:paraId="61622114" w14:textId="031B31F1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5B99FCD3" w14:textId="77777777" w:rsidR="00A1443D" w:rsidRPr="008C7C51" w:rsidRDefault="00A1443D" w:rsidP="00A1443D">
      <w:pPr>
        <w:rPr>
          <w:szCs w:val="22"/>
        </w:rPr>
      </w:pPr>
      <w:proofErr w:type="spellStart"/>
      <w:r w:rsidRPr="008C7C51">
        <w:rPr>
          <w:szCs w:val="22"/>
        </w:rPr>
        <w:t>Hyperglycaemic</w:t>
      </w:r>
      <w:proofErr w:type="spellEnd"/>
      <w:r w:rsidRPr="008C7C51">
        <w:rPr>
          <w:szCs w:val="22"/>
        </w:rPr>
        <w:t xml:space="preserve"> hyperosmolar state (HHS) </w:t>
      </w:r>
      <w:r w:rsidRPr="008C7C51">
        <w:t>is a medical emergency that should be referred to a doctor immediately.</w:t>
      </w:r>
      <w:r>
        <w:t xml:space="preserve"> </w:t>
      </w:r>
      <w:r w:rsidRPr="008C7C51">
        <w:t xml:space="preserve">It is a </w:t>
      </w:r>
      <w:proofErr w:type="spellStart"/>
      <w:r w:rsidRPr="008C7C51">
        <w:t>hyperglycaemic</w:t>
      </w:r>
      <w:proofErr w:type="spellEnd"/>
      <w:r w:rsidRPr="008C7C51">
        <w:t xml:space="preserve"> complication of type II diabetes mellitus patients, typically seen in middle-age to elderly type II diabetics</w:t>
      </w:r>
      <w:r>
        <w:t>.</w:t>
      </w:r>
    </w:p>
    <w:p w14:paraId="0C9BE638" w14:textId="40157BE9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Target users</w:t>
      </w:r>
    </w:p>
    <w:p w14:paraId="133F719D" w14:textId="7CCA0F12" w:rsidR="00A1443D" w:rsidRDefault="00A1443D" w:rsidP="00A1443D">
      <w:pPr>
        <w:pStyle w:val="ListParagraph"/>
        <w:numPr>
          <w:ilvl w:val="0"/>
          <w:numId w:val="47"/>
        </w:numPr>
      </w:pPr>
      <w:r>
        <w:t>Nurses</w:t>
      </w:r>
    </w:p>
    <w:p w14:paraId="6EB1315A" w14:textId="568ED8A8" w:rsidR="00A1443D" w:rsidRPr="00A1443D" w:rsidRDefault="00A1443D" w:rsidP="00A1443D">
      <w:pPr>
        <w:pStyle w:val="ListParagraph"/>
        <w:numPr>
          <w:ilvl w:val="0"/>
          <w:numId w:val="47"/>
        </w:numPr>
      </w:pPr>
      <w:r>
        <w:t>Doctors</w:t>
      </w:r>
    </w:p>
    <w:p w14:paraId="53DB9FAD" w14:textId="567A8E03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Target area of use </w:t>
      </w:r>
    </w:p>
    <w:p w14:paraId="36A6FDE7" w14:textId="2EDA2A9F" w:rsidR="00A1443D" w:rsidRDefault="00A1443D" w:rsidP="00A1443D">
      <w:pPr>
        <w:pStyle w:val="ListParagraph"/>
        <w:numPr>
          <w:ilvl w:val="0"/>
          <w:numId w:val="48"/>
        </w:numPr>
      </w:pPr>
      <w:r>
        <w:t>Gate clinic</w:t>
      </w:r>
    </w:p>
    <w:p w14:paraId="02A1F00E" w14:textId="5A824CD2" w:rsidR="00A1443D" w:rsidRDefault="00A1443D" w:rsidP="00A1443D">
      <w:pPr>
        <w:pStyle w:val="ListParagraph"/>
        <w:numPr>
          <w:ilvl w:val="0"/>
          <w:numId w:val="48"/>
        </w:numPr>
      </w:pPr>
      <w:r>
        <w:t>Outpatient department</w:t>
      </w:r>
    </w:p>
    <w:p w14:paraId="53C9F70B" w14:textId="48631B8D" w:rsidR="00A1443D" w:rsidRPr="00A1443D" w:rsidRDefault="00A1443D" w:rsidP="00A1443D">
      <w:pPr>
        <w:pStyle w:val="ListParagraph"/>
        <w:numPr>
          <w:ilvl w:val="0"/>
          <w:numId w:val="48"/>
        </w:numPr>
      </w:pPr>
      <w:r>
        <w:t>Ward</w:t>
      </w:r>
    </w:p>
    <w:p w14:paraId="2B898591" w14:textId="69AAC3BA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Key areas of focus / New additions / Changes </w:t>
      </w:r>
    </w:p>
    <w:p w14:paraId="5723B1FA" w14:textId="79871D2A" w:rsidR="00A1443D" w:rsidRPr="00A1443D" w:rsidRDefault="00FD614C" w:rsidP="00A1443D">
      <w:r>
        <w:t xml:space="preserve">This guideline outlines the recognition and acute management of HHS. </w:t>
      </w:r>
    </w:p>
    <w:p w14:paraId="55D5DDB9" w14:textId="4F76C313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Limitations</w:t>
      </w:r>
    </w:p>
    <w:p w14:paraId="1A26A29F" w14:textId="7F015C32" w:rsidR="000F4D55" w:rsidRPr="000F4D55" w:rsidRDefault="000F4D55" w:rsidP="000F4D55">
      <w:r>
        <w:t>Management of diabetes mellitus after the emergency is over is covered by a separate guideline (MeG-CLS-</w:t>
      </w:r>
      <w:r w:rsidR="007827C1">
        <w:t>004).</w:t>
      </w:r>
    </w:p>
    <w:p w14:paraId="274121DB" w14:textId="77777777" w:rsidR="009B5E0C" w:rsidRPr="009B5E0C" w:rsidRDefault="009B5E0C" w:rsidP="009B5E0C"/>
    <w:p w14:paraId="4356BF1F" w14:textId="77777777" w:rsidR="009B5E0C" w:rsidRDefault="009B5E0C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122B7B73" w14:textId="08BC8569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1341885F" w14:textId="77777777" w:rsidR="008C7C51" w:rsidRDefault="008C7C51" w:rsidP="008C7C51">
      <w:r w:rsidRPr="000D4DCE">
        <w:t>Patient</w:t>
      </w:r>
      <w:r>
        <w:t xml:space="preserve"> is usually a known diabetic. He / She may present with </w:t>
      </w:r>
    </w:p>
    <w:p w14:paraId="54195E48" w14:textId="77777777" w:rsidR="008C7C51" w:rsidRDefault="008C7C51" w:rsidP="008C7C51">
      <w:pPr>
        <w:pStyle w:val="ListParagraph"/>
        <w:numPr>
          <w:ilvl w:val="0"/>
          <w:numId w:val="27"/>
        </w:numPr>
      </w:pPr>
      <w:r>
        <w:t>Hypovolemia</w:t>
      </w:r>
    </w:p>
    <w:p w14:paraId="6C42CBB7" w14:textId="347F78A8" w:rsidR="008C7C51" w:rsidRDefault="008C7C51" w:rsidP="008C7C51">
      <w:pPr>
        <w:pStyle w:val="ListParagraph"/>
        <w:numPr>
          <w:ilvl w:val="0"/>
          <w:numId w:val="27"/>
        </w:numPr>
      </w:pPr>
      <w:r>
        <w:t xml:space="preserve">Marked hyperglycemia of 30 </w:t>
      </w:r>
      <w:r w:rsidRPr="00035460">
        <w:t xml:space="preserve">mmol/L </w:t>
      </w:r>
      <w:r>
        <w:t>or more</w:t>
      </w:r>
    </w:p>
    <w:p w14:paraId="598E2A55" w14:textId="39ADD603" w:rsidR="008C7C51" w:rsidRDefault="008C7C51" w:rsidP="008C7C51">
      <w:pPr>
        <w:pStyle w:val="ListParagraph"/>
        <w:numPr>
          <w:ilvl w:val="0"/>
          <w:numId w:val="27"/>
        </w:numPr>
      </w:pPr>
      <w:r>
        <w:t>Absence of ketones in urine (or 1+)</w:t>
      </w:r>
    </w:p>
    <w:p w14:paraId="3DFAECA6" w14:textId="5CF80DA0" w:rsidR="008C7C51" w:rsidRDefault="008C7C51" w:rsidP="008C7C51">
      <w:pPr>
        <w:pStyle w:val="ListParagraph"/>
        <w:numPr>
          <w:ilvl w:val="0"/>
          <w:numId w:val="27"/>
        </w:numPr>
      </w:pPr>
      <w:r w:rsidRPr="00035460">
        <w:t xml:space="preserve">No acidosis </w:t>
      </w:r>
      <w:r>
        <w:t>(</w:t>
      </w:r>
      <w:r w:rsidRPr="00035460">
        <w:t>b</w:t>
      </w:r>
      <w:r>
        <w:t xml:space="preserve">icarbonate greater than 15 </w:t>
      </w:r>
      <w:proofErr w:type="spellStart"/>
      <w:r>
        <w:t>mEq</w:t>
      </w:r>
      <w:proofErr w:type="spellEnd"/>
      <w:r>
        <w:t>/L)</w:t>
      </w:r>
      <w:r w:rsidRPr="00035460">
        <w:t xml:space="preserve"> </w:t>
      </w:r>
    </w:p>
    <w:p w14:paraId="5E557A1D" w14:textId="441FBBCE" w:rsidR="008C7C51" w:rsidRPr="008C7C51" w:rsidRDefault="008C7C51" w:rsidP="008C7C51">
      <w:pPr>
        <w:pStyle w:val="ListParagraph"/>
        <w:numPr>
          <w:ilvl w:val="0"/>
          <w:numId w:val="27"/>
        </w:numPr>
        <w:rPr>
          <w:rFonts w:cs="Tahoma"/>
        </w:rPr>
      </w:pPr>
      <w:r w:rsidRPr="008C7C51">
        <w:rPr>
          <w:rFonts w:eastAsia="SimSun" w:cs="Tahoma"/>
          <w:color w:val="272627"/>
          <w:lang w:val="en-GB" w:eastAsia="en-GB"/>
        </w:rPr>
        <w:t xml:space="preserve">Osmolality usually 320 </w:t>
      </w:r>
      <w:proofErr w:type="spellStart"/>
      <w:r w:rsidRPr="008C7C51">
        <w:rPr>
          <w:rFonts w:eastAsia="SimSun" w:cs="Tahoma"/>
          <w:color w:val="272627"/>
          <w:lang w:val="en-GB" w:eastAsia="en-GB"/>
        </w:rPr>
        <w:t>m</w:t>
      </w:r>
      <w:r>
        <w:rPr>
          <w:rFonts w:eastAsia="SimSun" w:cs="Tahoma"/>
          <w:color w:val="272627"/>
          <w:lang w:val="en-GB" w:eastAsia="en-GB"/>
        </w:rPr>
        <w:t>O</w:t>
      </w:r>
      <w:r w:rsidRPr="008C7C51">
        <w:rPr>
          <w:rFonts w:eastAsia="SimSun" w:cs="Tahoma"/>
          <w:color w:val="272627"/>
          <w:lang w:val="en-GB" w:eastAsia="en-GB"/>
        </w:rPr>
        <w:t>smol</w:t>
      </w:r>
      <w:proofErr w:type="spellEnd"/>
      <w:r w:rsidRPr="008C7C51">
        <w:rPr>
          <w:rFonts w:eastAsia="SimSun" w:cs="Tahoma"/>
          <w:color w:val="272627"/>
          <w:lang w:val="en-GB" w:eastAsia="en-GB"/>
        </w:rPr>
        <w:t>/kg or more</w:t>
      </w:r>
    </w:p>
    <w:p w14:paraId="103A9443" w14:textId="77777777" w:rsidR="008C7C51" w:rsidRPr="00DC063B" w:rsidRDefault="008C7C51" w:rsidP="008C7C51">
      <w:pPr>
        <w:rPr>
          <w:rFonts w:cs="Tahoma"/>
        </w:rPr>
      </w:pPr>
      <w:r w:rsidRPr="00DC063B">
        <w:rPr>
          <w:rFonts w:eastAsia="SimSun" w:cs="Tahoma"/>
          <w:color w:val="272627"/>
          <w:lang w:val="en-GB" w:eastAsia="en-GB"/>
        </w:rPr>
        <w:t>N.B. A mixed picture of HHS and DKA may occur.</w:t>
      </w:r>
    </w:p>
    <w:p w14:paraId="32568D22" w14:textId="77777777" w:rsidR="008C7C51" w:rsidRDefault="008C7C51" w:rsidP="008C7C51">
      <w:r>
        <w:t xml:space="preserve">Other symptoms may </w:t>
      </w:r>
      <w:proofErr w:type="gramStart"/>
      <w:r>
        <w:t>include;</w:t>
      </w:r>
      <w:proofErr w:type="gramEnd"/>
    </w:p>
    <w:p w14:paraId="3D710D12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Weakness</w:t>
      </w:r>
    </w:p>
    <w:p w14:paraId="350F3C76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Weight loss</w:t>
      </w:r>
    </w:p>
    <w:p w14:paraId="248F5B4D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Polyuria &amp; polydipsia</w:t>
      </w:r>
    </w:p>
    <w:p w14:paraId="2AAE6A0C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Signs of dehydration</w:t>
      </w:r>
    </w:p>
    <w:p w14:paraId="0027165F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Lethargy and confusion</w:t>
      </w:r>
    </w:p>
    <w:p w14:paraId="7691DCFA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Convulsions and coma</w:t>
      </w:r>
    </w:p>
    <w:p w14:paraId="01775CBB" w14:textId="5D32F493" w:rsidR="00F03F25" w:rsidRPr="002A2856" w:rsidRDefault="007F7D66" w:rsidP="002A2856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Immediate action</w:t>
      </w:r>
    </w:p>
    <w:p w14:paraId="07A3FF30" w14:textId="16450F1E" w:rsidR="008C7C51" w:rsidRDefault="008C7C51" w:rsidP="00F03F25">
      <w:pPr>
        <w:rPr>
          <w:b/>
          <w:szCs w:val="22"/>
        </w:rPr>
      </w:pPr>
      <w:r w:rsidRPr="008C7C51">
        <w:rPr>
          <w:b/>
          <w:szCs w:val="22"/>
        </w:rPr>
        <w:t xml:space="preserve">This is a medical emergency – a doctor should be </w:t>
      </w:r>
      <w:proofErr w:type="gramStart"/>
      <w:r w:rsidRPr="008C7C51">
        <w:rPr>
          <w:b/>
          <w:szCs w:val="22"/>
        </w:rPr>
        <w:t>called</w:t>
      </w:r>
      <w:proofErr w:type="gramEnd"/>
      <w:r w:rsidRPr="008C7C51">
        <w:rPr>
          <w:b/>
          <w:szCs w:val="22"/>
        </w:rPr>
        <w:t xml:space="preserve"> and the patient should be transferred to the ward as soon as possible. </w:t>
      </w:r>
    </w:p>
    <w:p w14:paraId="328B49EA" w14:textId="77777777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>Call for help (senior nurses, other physicians)</w:t>
      </w:r>
    </w:p>
    <w:p w14:paraId="249F75D8" w14:textId="77777777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 xml:space="preserve">Check Airway, </w:t>
      </w:r>
      <w:r>
        <w:t>Breathing and Circulation status</w:t>
      </w:r>
      <w:r w:rsidRPr="00677718">
        <w:t>. Ensure the patient is alive!</w:t>
      </w:r>
    </w:p>
    <w:p w14:paraId="14789F29" w14:textId="628A912B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>Get two Intravenous access with the widest cannula possible for the adult (try sizes 18 [green cannula] &amp; 16</w:t>
      </w:r>
      <w:r w:rsidR="00FD614C">
        <w:t xml:space="preserve"> </w:t>
      </w:r>
      <w:r w:rsidRPr="00677718">
        <w:t>[grey cannula])</w:t>
      </w:r>
    </w:p>
    <w:p w14:paraId="727EAA81" w14:textId="77777777" w:rsidR="008C7C51" w:rsidRPr="00921EFA" w:rsidRDefault="008C7C51" w:rsidP="008C7C51">
      <w:pPr>
        <w:pStyle w:val="ListParagraph"/>
        <w:numPr>
          <w:ilvl w:val="0"/>
          <w:numId w:val="31"/>
        </w:numPr>
      </w:pPr>
      <w:r w:rsidRPr="00677718">
        <w:t xml:space="preserve">If shocked, give 1 </w:t>
      </w:r>
      <w:proofErr w:type="spellStart"/>
      <w:r w:rsidRPr="00677718">
        <w:t>Litre</w:t>
      </w:r>
      <w:proofErr w:type="spellEnd"/>
      <w:r w:rsidRPr="00677718">
        <w:t xml:space="preserve"> of 0.9% Saline. Give this over 30 minutes. Reassess thereafter. </w:t>
      </w:r>
      <w:r>
        <w:t>Repeat if necessary.</w:t>
      </w:r>
    </w:p>
    <w:p w14:paraId="00600310" w14:textId="77777777" w:rsidR="008C7C51" w:rsidRPr="00385DBB" w:rsidRDefault="008C7C51" w:rsidP="008C7C51">
      <w:r w:rsidRPr="00385DBB">
        <w:t xml:space="preserve">Check the following before the doctor </w:t>
      </w:r>
      <w:proofErr w:type="gramStart"/>
      <w:r w:rsidRPr="00385DBB">
        <w:t>arrives;</w:t>
      </w:r>
      <w:proofErr w:type="gramEnd"/>
    </w:p>
    <w:p w14:paraId="7E623B60" w14:textId="77777777" w:rsidR="008C7C51" w:rsidRPr="00385DBB" w:rsidRDefault="008C7C51" w:rsidP="008C7C51">
      <w:pPr>
        <w:pStyle w:val="ListParagraph"/>
        <w:numPr>
          <w:ilvl w:val="0"/>
          <w:numId w:val="32"/>
        </w:numPr>
      </w:pPr>
      <w:r w:rsidRPr="00385DBB">
        <w:t>Vital Signs (PR, BP, RR, Temp, SpO</w:t>
      </w:r>
      <w:proofErr w:type="gramStart"/>
      <w:r w:rsidRPr="008C7C51">
        <w:rPr>
          <w:vertAlign w:val="subscript"/>
        </w:rPr>
        <w:t xml:space="preserve">2 </w:t>
      </w:r>
      <w:r w:rsidRPr="00385DBB">
        <w:t>,</w:t>
      </w:r>
      <w:proofErr w:type="gramEnd"/>
      <w:r w:rsidRPr="00385DBB">
        <w:t xml:space="preserve"> weight &amp; height if possible)</w:t>
      </w:r>
    </w:p>
    <w:p w14:paraId="198CC56B" w14:textId="77777777" w:rsidR="008C7C51" w:rsidRPr="00385DBB" w:rsidRDefault="008C7C51" w:rsidP="008C7C51">
      <w:pPr>
        <w:pStyle w:val="ListParagraph"/>
        <w:numPr>
          <w:ilvl w:val="0"/>
          <w:numId w:val="32"/>
        </w:numPr>
      </w:pPr>
      <w:r w:rsidRPr="00385DBB">
        <w:t>Blood sugar</w:t>
      </w:r>
    </w:p>
    <w:p w14:paraId="487E5F2E" w14:textId="77777777" w:rsidR="008C7C51" w:rsidRPr="00744A29" w:rsidRDefault="008C7C51" w:rsidP="008C7C51">
      <w:pPr>
        <w:pStyle w:val="ListParagraph"/>
        <w:numPr>
          <w:ilvl w:val="0"/>
          <w:numId w:val="32"/>
        </w:numPr>
      </w:pPr>
      <w:r w:rsidRPr="00385DBB">
        <w:t>Urine dipstick</w:t>
      </w:r>
    </w:p>
    <w:p w14:paraId="1C4C475F" w14:textId="57C791CB" w:rsidR="008C7C51" w:rsidRDefault="007F7D66" w:rsidP="007F7D66">
      <w:pPr>
        <w:pStyle w:val="Heading2"/>
      </w:pPr>
      <w:r>
        <w:t>Medical Assessment</w:t>
      </w:r>
    </w:p>
    <w:p w14:paraId="658DD0D4" w14:textId="6E679B29" w:rsidR="008C7C51" w:rsidRDefault="007F7D66" w:rsidP="007F7D66">
      <w:pPr>
        <w:pStyle w:val="Heading3"/>
      </w:pPr>
      <w:r>
        <w:t>Examination findings</w:t>
      </w:r>
    </w:p>
    <w:p w14:paraId="414964E3" w14:textId="7CC35EA8" w:rsidR="007F7D66" w:rsidRDefault="007F7D66" w:rsidP="007F7D66">
      <w:r>
        <w:t xml:space="preserve">May </w:t>
      </w:r>
      <w:proofErr w:type="gramStart"/>
      <w:r>
        <w:t>include:</w:t>
      </w:r>
      <w:proofErr w:type="gramEnd"/>
      <w:r>
        <w:t xml:space="preserve"> </w:t>
      </w:r>
      <w:r w:rsidR="00FC4BF0">
        <w:t>t</w:t>
      </w:r>
      <w:r>
        <w:t xml:space="preserve">achycardia, tachypnea, hypotension, fever (if infection is present), </w:t>
      </w:r>
      <w:r w:rsidR="00FC4BF0">
        <w:t>o</w:t>
      </w:r>
      <w:r>
        <w:t>rthostatic hypotension, altered mental status, confusion, lethargy, coma, signs of dehydration.</w:t>
      </w:r>
    </w:p>
    <w:p w14:paraId="33DF5E35" w14:textId="77777777" w:rsidR="007F7D66" w:rsidRDefault="007F7D66" w:rsidP="007F7D66">
      <w:pPr>
        <w:pStyle w:val="Heading3"/>
      </w:pPr>
      <w:r w:rsidRPr="007B27B0">
        <w:t>Differential Diagnosis</w:t>
      </w:r>
    </w:p>
    <w:p w14:paraId="1B2DE9E7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CNS infection</w:t>
      </w:r>
    </w:p>
    <w:p w14:paraId="4B7303CE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Hypoglycemia</w:t>
      </w:r>
    </w:p>
    <w:p w14:paraId="1665DB37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Sepsis</w:t>
      </w:r>
    </w:p>
    <w:p w14:paraId="5C979D9A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Uremia</w:t>
      </w:r>
    </w:p>
    <w:p w14:paraId="3F8607DE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Severe dehydration</w:t>
      </w:r>
    </w:p>
    <w:p w14:paraId="13E8B135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Hyponatremia</w:t>
      </w:r>
    </w:p>
    <w:p w14:paraId="60E304C2" w14:textId="77777777" w:rsidR="007F7D66" w:rsidRDefault="007F7D66" w:rsidP="007F7D66">
      <w:pPr>
        <w:pStyle w:val="Heading3"/>
      </w:pPr>
      <w:r w:rsidRPr="00DD3CFA">
        <w:lastRenderedPageBreak/>
        <w:t>Investigations</w:t>
      </w:r>
    </w:p>
    <w:p w14:paraId="003A83C3" w14:textId="77777777" w:rsidR="007F7D66" w:rsidRPr="00406BE4" w:rsidRDefault="007F7D66" w:rsidP="007F7D66">
      <w:pPr>
        <w:pStyle w:val="ListParagraph"/>
        <w:numPr>
          <w:ilvl w:val="0"/>
          <w:numId w:val="36"/>
        </w:numPr>
      </w:pPr>
      <w:r w:rsidRPr="00406BE4">
        <w:t xml:space="preserve">FBC, U&amp;Es, Cr, LFTs, serum blood sugar, Urinalysis and </w:t>
      </w:r>
      <w:r>
        <w:t>Urine microscopy, culture &amp; sensitivity.</w:t>
      </w:r>
      <w:r w:rsidRPr="00406BE4">
        <w:t xml:space="preserve"> </w:t>
      </w:r>
    </w:p>
    <w:p w14:paraId="5FDD77ED" w14:textId="2282CE7B" w:rsidR="007F7D66" w:rsidRPr="00921EFA" w:rsidRDefault="007F7D66" w:rsidP="007F7D66">
      <w:pPr>
        <w:pStyle w:val="ListParagraph"/>
        <w:numPr>
          <w:ilvl w:val="0"/>
          <w:numId w:val="36"/>
        </w:numPr>
      </w:pPr>
      <w:r w:rsidRPr="00406BE4">
        <w:t xml:space="preserve">ECG &amp; Renal US (underlying </w:t>
      </w:r>
      <w:r>
        <w:t>chronic kidney disease</w:t>
      </w:r>
      <w:r w:rsidRPr="00406BE4">
        <w:t xml:space="preserve"> or heart failure is common in HHS)</w:t>
      </w:r>
    </w:p>
    <w:p w14:paraId="17B86830" w14:textId="4D390C97" w:rsidR="007F7D66" w:rsidRDefault="007F7D66" w:rsidP="007F7D66">
      <w:r>
        <w:t>The diagnosis is confirmed if:</w:t>
      </w:r>
    </w:p>
    <w:p w14:paraId="570EDE88" w14:textId="77E0C85E" w:rsidR="007F7D66" w:rsidRPr="00DD3CFA" w:rsidRDefault="007F7D66" w:rsidP="007F7D66">
      <w:pPr>
        <w:pStyle w:val="ListParagraph"/>
        <w:numPr>
          <w:ilvl w:val="0"/>
          <w:numId w:val="38"/>
        </w:numPr>
      </w:pPr>
      <w:r w:rsidRPr="00DD3CFA">
        <w:t xml:space="preserve">Hyperglycemia </w:t>
      </w:r>
      <w:r w:rsidR="001F41DA">
        <w:t xml:space="preserve">30 </w:t>
      </w:r>
      <w:r w:rsidR="001F41DA" w:rsidRPr="00035460">
        <w:t xml:space="preserve">mmol/L </w:t>
      </w:r>
      <w:r w:rsidR="001F41DA">
        <w:t>or more</w:t>
      </w:r>
    </w:p>
    <w:p w14:paraId="5C7FB3EB" w14:textId="222460BC" w:rsidR="007F7D66" w:rsidRPr="00DD3CFA" w:rsidRDefault="007F7D66" w:rsidP="007F7D66">
      <w:pPr>
        <w:pStyle w:val="ListParagraph"/>
        <w:numPr>
          <w:ilvl w:val="0"/>
          <w:numId w:val="38"/>
        </w:numPr>
      </w:pPr>
      <w:r w:rsidRPr="00DD3CFA">
        <w:t>Serum bicarbonate &gt; 15</w:t>
      </w:r>
      <w:r w:rsidR="008F0A8D">
        <w:t xml:space="preserve"> </w:t>
      </w:r>
      <w:proofErr w:type="spellStart"/>
      <w:r w:rsidRPr="00DD3CFA">
        <w:t>mEq</w:t>
      </w:r>
      <w:proofErr w:type="spellEnd"/>
      <w:r w:rsidRPr="00DD3CFA">
        <w:t>/L</w:t>
      </w:r>
    </w:p>
    <w:p w14:paraId="2A262480" w14:textId="2F4D55E0" w:rsidR="007F7D66" w:rsidRPr="00DD3CFA" w:rsidRDefault="002D73FE" w:rsidP="007F7D66">
      <w:pPr>
        <w:pStyle w:val="ListParagraph"/>
        <w:numPr>
          <w:ilvl w:val="0"/>
          <w:numId w:val="38"/>
        </w:numPr>
      </w:pPr>
      <w:r>
        <w:t>S</w:t>
      </w:r>
      <w:r w:rsidR="007F7D66" w:rsidRPr="00DD3CFA">
        <w:t>erum osmolality &gt; 310</w:t>
      </w:r>
      <w:r>
        <w:t xml:space="preserve"> </w:t>
      </w:r>
      <w:proofErr w:type="spellStart"/>
      <w:r w:rsidR="007F7D66" w:rsidRPr="00DD3CFA">
        <w:t>mOsm</w:t>
      </w:r>
      <w:proofErr w:type="spellEnd"/>
      <w:r w:rsidR="007F7D66" w:rsidRPr="00DD3CFA">
        <w:t>/kg</w:t>
      </w:r>
      <w:r>
        <w:t xml:space="preserve"> – ideally measured –</w:t>
      </w:r>
      <w:r w:rsidR="00FC4BF0">
        <w:t xml:space="preserve"> to</w:t>
      </w:r>
      <w:r>
        <w:t xml:space="preserve"> calculate it = 2Na + 2K + glucose + urea</w:t>
      </w:r>
    </w:p>
    <w:p w14:paraId="14530C15" w14:textId="05652A69" w:rsidR="007F7D66" w:rsidRDefault="007F7D66" w:rsidP="007F7D66">
      <w:pPr>
        <w:pStyle w:val="ListParagraph"/>
        <w:numPr>
          <w:ilvl w:val="0"/>
          <w:numId w:val="38"/>
        </w:numPr>
      </w:pPr>
      <w:r w:rsidRPr="00DD3CFA">
        <w:t>Normal anion gap &lt; 14</w:t>
      </w:r>
      <w:r w:rsidR="002D73FE">
        <w:t xml:space="preserve"> </w:t>
      </w:r>
      <w:proofErr w:type="spellStart"/>
      <w:r w:rsidRPr="00DD3CFA">
        <w:t>mEq</w:t>
      </w:r>
      <w:proofErr w:type="spellEnd"/>
      <w:r w:rsidRPr="00DD3CFA">
        <w:t>/L</w:t>
      </w:r>
      <w:r w:rsidR="002D73FE">
        <w:t xml:space="preserve"> – </w:t>
      </w:r>
      <w:r w:rsidR="00FC4BF0">
        <w:t xml:space="preserve">to </w:t>
      </w:r>
      <w:r w:rsidR="002D73FE">
        <w:t xml:space="preserve">calculate it = Na - (Cl + </w:t>
      </w:r>
      <w:r w:rsidR="00A97101" w:rsidRPr="002D73FE">
        <w:rPr>
          <w:rFonts w:cs="Tahoma"/>
        </w:rPr>
        <w:t>HCO</w:t>
      </w:r>
      <w:r w:rsidR="00A97101" w:rsidRPr="002D73FE">
        <w:rPr>
          <w:rFonts w:cs="Tahoma"/>
          <w:vertAlign w:val="subscript"/>
        </w:rPr>
        <w:t>3</w:t>
      </w:r>
      <w:r w:rsidR="002D73FE">
        <w:t>)</w:t>
      </w:r>
    </w:p>
    <w:p w14:paraId="136A1C6E" w14:textId="23EA795C" w:rsidR="002D73FE" w:rsidRPr="00DD3CFA" w:rsidRDefault="002D73FE" w:rsidP="002D73FE">
      <w:pPr>
        <w:pStyle w:val="ListParagraph"/>
        <w:numPr>
          <w:ilvl w:val="0"/>
          <w:numId w:val="38"/>
        </w:numPr>
      </w:pPr>
      <w:r>
        <w:t xml:space="preserve">No acidosis - </w:t>
      </w:r>
      <w:r w:rsidRPr="00DD3CFA">
        <w:t xml:space="preserve">blood </w:t>
      </w:r>
      <w:r>
        <w:t>p</w:t>
      </w:r>
      <w:r w:rsidRPr="00DD3CFA">
        <w:t>H &gt; 7.3</w:t>
      </w:r>
      <w:r>
        <w:t xml:space="preserve"> (not available to us)</w:t>
      </w:r>
    </w:p>
    <w:p w14:paraId="20A4CE4E" w14:textId="7FCCA4A4" w:rsidR="007F7D66" w:rsidRDefault="002D73FE" w:rsidP="002D73FE">
      <w:pPr>
        <w:pStyle w:val="Heading3"/>
      </w:pPr>
      <w:r>
        <w:t>Management</w:t>
      </w:r>
    </w:p>
    <w:p w14:paraId="2CC7CBA3" w14:textId="1E2D0AF0" w:rsidR="002D73FE" w:rsidRPr="00744A29" w:rsidRDefault="002D73FE" w:rsidP="002D73FE">
      <w:r>
        <w:t>If the patient is not already there, s</w:t>
      </w:r>
      <w:r w:rsidRPr="003B5BF8">
        <w:t>end to the ward immediately for admission</w:t>
      </w:r>
      <w:r>
        <w:t xml:space="preserve">. </w:t>
      </w:r>
    </w:p>
    <w:p w14:paraId="1A97212A" w14:textId="1B47D675" w:rsidR="002D73FE" w:rsidRPr="002D73FE" w:rsidRDefault="002D73FE" w:rsidP="002D73FE">
      <w:pPr>
        <w:rPr>
          <w:rFonts w:cs="Tahoma"/>
        </w:rPr>
      </w:pPr>
      <w:r w:rsidRPr="002D73FE">
        <w:rPr>
          <w:rFonts w:cs="Tahoma"/>
          <w:b/>
        </w:rPr>
        <w:t>Fluids</w:t>
      </w:r>
      <w:r>
        <w:rPr>
          <w:rFonts w:cs="Tahoma"/>
        </w:rPr>
        <w:t xml:space="preserve">: </w:t>
      </w:r>
      <w:r w:rsidRPr="002D73FE">
        <w:rPr>
          <w:rFonts w:cs="Tahoma"/>
        </w:rPr>
        <w:t xml:space="preserve">IV fluid rehydration with 0.9% Normal Saline; Give 4-6 </w:t>
      </w:r>
      <w:proofErr w:type="spellStart"/>
      <w:r w:rsidRPr="002D73FE">
        <w:rPr>
          <w:rFonts w:cs="Tahoma"/>
        </w:rPr>
        <w:t>Litres</w:t>
      </w:r>
      <w:proofErr w:type="spellEnd"/>
      <w:r w:rsidRPr="002D73FE">
        <w:rPr>
          <w:rFonts w:cs="Tahoma"/>
        </w:rPr>
        <w:t xml:space="preserve"> of fluid in the first 8-10 </w:t>
      </w:r>
      <w:proofErr w:type="spellStart"/>
      <w:r w:rsidRPr="002D73FE">
        <w:rPr>
          <w:rFonts w:cs="Tahoma"/>
        </w:rPr>
        <w:t>hrs</w:t>
      </w:r>
      <w:proofErr w:type="spellEnd"/>
      <w:r w:rsidRPr="002D73FE">
        <w:rPr>
          <w:rFonts w:cs="Tahoma"/>
        </w:rPr>
        <w:t xml:space="preserve"> (1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stat, then 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in 1 hour, 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in 2 hours, 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in 2 hours, 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in 4 hours), then continue with 1 </w:t>
      </w:r>
      <w:proofErr w:type="spellStart"/>
      <w:r w:rsidRPr="002D73FE">
        <w:rPr>
          <w:rFonts w:cs="Tahoma"/>
        </w:rPr>
        <w:t>Litre</w:t>
      </w:r>
      <w:proofErr w:type="spellEnd"/>
      <w:r w:rsidRPr="002D73FE">
        <w:rPr>
          <w:rFonts w:cs="Tahoma"/>
        </w:rPr>
        <w:t xml:space="preserve"> 4 hourly. </w:t>
      </w:r>
    </w:p>
    <w:p w14:paraId="32E019EE" w14:textId="77777777" w:rsidR="002D73FE" w:rsidRPr="00382FC9" w:rsidRDefault="002D73FE" w:rsidP="002D73FE">
      <w:pPr>
        <w:rPr>
          <w:rFonts w:eastAsia="SimSun" w:cs="Tahoma"/>
          <w:color w:val="272627"/>
          <w:lang w:val="en-GB" w:eastAsia="en-GB"/>
        </w:rPr>
      </w:pPr>
      <w:r w:rsidRPr="00382FC9">
        <w:rPr>
          <w:rFonts w:eastAsia="SimSun" w:cs="Tahoma"/>
          <w:color w:val="272627"/>
          <w:lang w:val="en-GB" w:eastAsia="en-GB"/>
        </w:rPr>
        <w:t>Only switch to 0.45% sodium chloride solution if the osmolality is not declining</w:t>
      </w:r>
      <w:r>
        <w:rPr>
          <w:rFonts w:eastAsia="SimSun" w:cs="Tahoma"/>
          <w:color w:val="272627"/>
          <w:lang w:val="en-GB" w:eastAsia="en-GB"/>
        </w:rPr>
        <w:t xml:space="preserve"> </w:t>
      </w:r>
      <w:r w:rsidRPr="00382FC9">
        <w:rPr>
          <w:rFonts w:eastAsia="SimSun" w:cs="Tahoma"/>
          <w:color w:val="272627"/>
          <w:lang w:val="en-GB" w:eastAsia="en-GB"/>
        </w:rPr>
        <w:t>despite adequate positive fluid balance. An initial rise in sodium is expected and is not itself an indication for hypotonic fluids. The rate of fall of pla</w:t>
      </w:r>
      <w:r>
        <w:rPr>
          <w:rFonts w:eastAsia="SimSun" w:cs="Tahoma"/>
          <w:color w:val="272627"/>
          <w:lang w:val="en-GB" w:eastAsia="en-GB"/>
        </w:rPr>
        <w:t>sma sodium should not exceed 10</w:t>
      </w:r>
      <w:r w:rsidRPr="00382FC9">
        <w:rPr>
          <w:rFonts w:eastAsia="SimSun" w:cs="Tahoma"/>
          <w:color w:val="272627"/>
          <w:lang w:val="en-GB" w:eastAsia="en-GB"/>
        </w:rPr>
        <w:t>mmol/L in 24 hours.</w:t>
      </w:r>
    </w:p>
    <w:p w14:paraId="5A4F98D9" w14:textId="5DA50ABD" w:rsidR="002D73FE" w:rsidRPr="00A5160B" w:rsidRDefault="002D73FE" w:rsidP="002D73FE">
      <w:pPr>
        <w:rPr>
          <w:rFonts w:cs="Tahoma"/>
        </w:rPr>
      </w:pPr>
      <w:r w:rsidRPr="00A5160B">
        <w:rPr>
          <w:rFonts w:cs="Tahoma"/>
        </w:rPr>
        <w:t>Change to 5% dextrose saline once the blood sugar is &lt; 14</w:t>
      </w:r>
      <w:r>
        <w:rPr>
          <w:rFonts w:cs="Tahoma"/>
        </w:rPr>
        <w:t xml:space="preserve"> </w:t>
      </w:r>
      <w:r w:rsidRPr="00A5160B">
        <w:rPr>
          <w:rFonts w:cs="Tahoma"/>
        </w:rPr>
        <w:t>mmol/L</w:t>
      </w:r>
      <w:r>
        <w:rPr>
          <w:rFonts w:cs="Tahoma"/>
        </w:rPr>
        <w:t>.</w:t>
      </w:r>
    </w:p>
    <w:p w14:paraId="3AA7B16C" w14:textId="77777777" w:rsidR="002D73FE" w:rsidRPr="001A0C18" w:rsidRDefault="002D73FE" w:rsidP="002D73FE">
      <w:pPr>
        <w:rPr>
          <w:rFonts w:cs="Tahoma"/>
        </w:rPr>
      </w:pPr>
      <w:r w:rsidRPr="002D73FE">
        <w:rPr>
          <w:rFonts w:cs="Tahoma"/>
          <w:b/>
        </w:rPr>
        <w:t>Insulin therapy</w:t>
      </w:r>
      <w:r w:rsidRPr="00A5160B">
        <w:rPr>
          <w:rFonts w:cs="Tahoma"/>
        </w:rPr>
        <w:t xml:space="preserve"> should be delayed as fluid replacement alone can </w:t>
      </w:r>
      <w:r w:rsidRPr="001A0C18">
        <w:rPr>
          <w:rFonts w:cs="Tahoma"/>
        </w:rPr>
        <w:t>reduce hyperglycemia considerably by correcting the hypovolemia.</w:t>
      </w:r>
    </w:p>
    <w:p w14:paraId="4E4E47FD" w14:textId="1F99E102" w:rsidR="002D73FE" w:rsidRPr="00921EFA" w:rsidRDefault="002D73FE" w:rsidP="002D73FE">
      <w:pPr>
        <w:rPr>
          <w:rFonts w:eastAsia="SimSun-ExtB" w:cs="Tahoma"/>
          <w:lang w:val="en-GB" w:eastAsia="en-GB"/>
        </w:rPr>
      </w:pPr>
      <w:r w:rsidRPr="00921EFA">
        <w:rPr>
          <w:rFonts w:eastAsia="SimSun-ExtB" w:cs="Tahoma"/>
          <w:lang w:val="en-GB" w:eastAsia="en-GB"/>
        </w:rPr>
        <w:t xml:space="preserve">Low dose IV insulin (0.05 units/kg/hr) should only be commenced once the blood glucose is no longer falling with IV fluids alone OR immediately if there is significant </w:t>
      </w:r>
      <w:proofErr w:type="spellStart"/>
      <w:r w:rsidRPr="00921EFA">
        <w:rPr>
          <w:rFonts w:eastAsia="SimSun-ExtB" w:cs="Tahoma"/>
          <w:lang w:val="en-GB" w:eastAsia="en-GB"/>
        </w:rPr>
        <w:t>ketonaemia</w:t>
      </w:r>
      <w:proofErr w:type="spellEnd"/>
      <w:r w:rsidRPr="00921EFA">
        <w:rPr>
          <w:rFonts w:eastAsia="SimSun-ExtB" w:cs="Tahoma"/>
          <w:lang w:val="en-GB" w:eastAsia="en-GB"/>
        </w:rPr>
        <w:t xml:space="preserve"> (urine ketones greater than 2+).</w:t>
      </w:r>
    </w:p>
    <w:p w14:paraId="2C2C80E4" w14:textId="77777777" w:rsidR="002D73FE" w:rsidRPr="001A0C18" w:rsidRDefault="002D73FE" w:rsidP="002D73FE">
      <w:pPr>
        <w:rPr>
          <w:rFonts w:eastAsia="SimSun-ExtB" w:cs="Tahoma"/>
          <w:lang w:val="en-GB" w:eastAsia="en-GB"/>
        </w:rPr>
      </w:pPr>
      <w:r w:rsidRPr="001A0C18">
        <w:rPr>
          <w:rFonts w:eastAsia="SimSun" w:cs="Tahoma"/>
          <w:lang w:val="en-GB" w:eastAsia="en-GB"/>
        </w:rPr>
        <w:t>The fall in blood glucose should be no more than 5 mmol/L/hr</w:t>
      </w:r>
    </w:p>
    <w:p w14:paraId="42596559" w14:textId="77777777" w:rsidR="002D73FE" w:rsidRPr="001A0C18" w:rsidRDefault="002D73FE" w:rsidP="002D73FE">
      <w:pPr>
        <w:rPr>
          <w:rFonts w:cs="Tahoma"/>
        </w:rPr>
      </w:pPr>
      <w:r w:rsidRPr="001A0C18">
        <w:rPr>
          <w:rFonts w:cs="Tahoma"/>
        </w:rPr>
        <w:t>Once the patient is stabilized and the blood glucose falls to around 13.9 mmol/L, insulin can be given subcutaneously.</w:t>
      </w:r>
    </w:p>
    <w:p w14:paraId="7A91DBD9" w14:textId="6D9D665E" w:rsidR="002D73FE" w:rsidRPr="001A0C18" w:rsidRDefault="002D73FE" w:rsidP="002D73FE">
      <w:pPr>
        <w:rPr>
          <w:rFonts w:cs="Tahoma"/>
        </w:rPr>
      </w:pPr>
      <w:r w:rsidRPr="002D73FE">
        <w:rPr>
          <w:rFonts w:cs="Tahoma"/>
          <w:b/>
        </w:rPr>
        <w:t>Potassium replacement</w:t>
      </w:r>
      <w:r w:rsidRPr="001A0C18">
        <w:rPr>
          <w:rFonts w:cs="Tahoma"/>
        </w:rPr>
        <w:t>: Add K to fluids if the patient is on insulin infusion and has started passing urine. Typical deficit is 3-5 mmol/kg. Plasma K</w:t>
      </w:r>
      <w:r w:rsidRPr="001A0C18">
        <w:rPr>
          <w:rFonts w:cs="Tahoma"/>
          <w:vertAlign w:val="superscript"/>
        </w:rPr>
        <w:t xml:space="preserve"> </w:t>
      </w:r>
      <w:r w:rsidRPr="001A0C18">
        <w:rPr>
          <w:rFonts w:cs="Tahoma"/>
        </w:rPr>
        <w:t>falls with insulin administration</w:t>
      </w:r>
      <w:r w:rsidR="00DC54E3">
        <w:rPr>
          <w:rFonts w:cs="Tahoma"/>
        </w:rPr>
        <w:t>.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3107"/>
        <w:gridCol w:w="4083"/>
      </w:tblGrid>
      <w:tr w:rsidR="002D73FE" w14:paraId="73B7F145" w14:textId="77777777" w:rsidTr="00FD093B">
        <w:tc>
          <w:tcPr>
            <w:tcW w:w="3107" w:type="dxa"/>
          </w:tcPr>
          <w:p w14:paraId="1E9D7CA9" w14:textId="7464F08A" w:rsidR="002D73FE" w:rsidRPr="00982789" w:rsidRDefault="002D73FE" w:rsidP="002D73FE">
            <w:pPr>
              <w:rPr>
                <w:rFonts w:cs="Tahoma"/>
                <w:b/>
              </w:rPr>
            </w:pPr>
            <w:r w:rsidRPr="00982789">
              <w:rPr>
                <w:rFonts w:cs="Tahoma"/>
                <w:b/>
              </w:rPr>
              <w:t>Serum K</w:t>
            </w:r>
            <w:r w:rsidRPr="00982789">
              <w:rPr>
                <w:rFonts w:cs="Tahoma"/>
                <w:b/>
                <w:vertAlign w:val="superscript"/>
              </w:rPr>
              <w:t xml:space="preserve"> </w:t>
            </w:r>
            <w:r w:rsidRPr="00982789">
              <w:rPr>
                <w:rFonts w:cs="Tahoma"/>
                <w:b/>
              </w:rPr>
              <w:t>Level (mmol/L)</w:t>
            </w:r>
          </w:p>
        </w:tc>
        <w:tc>
          <w:tcPr>
            <w:tcW w:w="4083" w:type="dxa"/>
          </w:tcPr>
          <w:p w14:paraId="1AC431D1" w14:textId="77777777" w:rsidR="002D73FE" w:rsidRPr="00982789" w:rsidRDefault="002D73FE" w:rsidP="002D73FE">
            <w:pPr>
              <w:rPr>
                <w:rFonts w:cs="Tahoma"/>
                <w:b/>
              </w:rPr>
            </w:pPr>
            <w:proofErr w:type="spellStart"/>
            <w:r w:rsidRPr="00982789">
              <w:rPr>
                <w:rFonts w:cs="Tahoma"/>
                <w:b/>
              </w:rPr>
              <w:t>KCl</w:t>
            </w:r>
            <w:proofErr w:type="spellEnd"/>
            <w:r w:rsidRPr="00982789">
              <w:rPr>
                <w:rFonts w:cs="Tahoma"/>
                <w:b/>
              </w:rPr>
              <w:t xml:space="preserve"> amount to add per </w:t>
            </w:r>
            <w:proofErr w:type="spellStart"/>
            <w:r w:rsidRPr="00982789">
              <w:rPr>
                <w:rFonts w:cs="Tahoma"/>
                <w:b/>
              </w:rPr>
              <w:t>Litre</w:t>
            </w:r>
            <w:proofErr w:type="spellEnd"/>
            <w:r w:rsidRPr="00982789">
              <w:rPr>
                <w:rFonts w:cs="Tahoma"/>
                <w:b/>
              </w:rPr>
              <w:t xml:space="preserve"> of Fluid</w:t>
            </w:r>
          </w:p>
        </w:tc>
      </w:tr>
      <w:tr w:rsidR="002D73FE" w14:paraId="42E0A2F8" w14:textId="77777777" w:rsidTr="00FD093B">
        <w:tc>
          <w:tcPr>
            <w:tcW w:w="3107" w:type="dxa"/>
          </w:tcPr>
          <w:p w14:paraId="72AFD5CE" w14:textId="074D88F9" w:rsidR="002D73FE" w:rsidRDefault="002D73FE" w:rsidP="002D73FE">
            <w:pPr>
              <w:rPr>
                <w:rFonts w:cs="Tahoma"/>
              </w:rPr>
            </w:pPr>
            <w:r w:rsidRPr="004A14AC">
              <w:rPr>
                <w:rFonts w:cs="Tahoma"/>
              </w:rPr>
              <w:t>K</w:t>
            </w:r>
            <w:r>
              <w:rPr>
                <w:rFonts w:cs="Tahoma"/>
                <w:vertAlign w:val="superscript"/>
              </w:rPr>
              <w:t xml:space="preserve"> </w:t>
            </w:r>
            <w:r>
              <w:rPr>
                <w:rFonts w:cs="Tahoma"/>
              </w:rPr>
              <w:t>&gt; 5.5</w:t>
            </w:r>
          </w:p>
        </w:tc>
        <w:tc>
          <w:tcPr>
            <w:tcW w:w="4083" w:type="dxa"/>
          </w:tcPr>
          <w:p w14:paraId="5EAA35D9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No need to add KCL</w:t>
            </w:r>
          </w:p>
        </w:tc>
      </w:tr>
      <w:tr w:rsidR="002D73FE" w14:paraId="5D3082E1" w14:textId="77777777" w:rsidTr="00FD093B">
        <w:tc>
          <w:tcPr>
            <w:tcW w:w="3107" w:type="dxa"/>
          </w:tcPr>
          <w:p w14:paraId="3ED8D577" w14:textId="1B7DFFA9" w:rsidR="002D73FE" w:rsidRDefault="00156058" w:rsidP="002D73FE">
            <w:pPr>
              <w:rPr>
                <w:rFonts w:cs="Tahoma"/>
              </w:rPr>
            </w:pPr>
            <w:r>
              <w:rPr>
                <w:rFonts w:cs="Tahoma"/>
              </w:rPr>
              <w:t>K</w:t>
            </w:r>
            <w:r w:rsidR="002D73FE">
              <w:rPr>
                <w:rFonts w:cs="Tahoma"/>
              </w:rPr>
              <w:t xml:space="preserve"> &lt; 5.5</w:t>
            </w:r>
          </w:p>
        </w:tc>
        <w:tc>
          <w:tcPr>
            <w:tcW w:w="4083" w:type="dxa"/>
          </w:tcPr>
          <w:p w14:paraId="1F821A1D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20mmol</w:t>
            </w:r>
            <w:r>
              <w:rPr>
                <w:rFonts w:cs="Tahoma"/>
              </w:rPr>
              <w:t xml:space="preserve"> of </w:t>
            </w:r>
            <w:proofErr w:type="spellStart"/>
            <w:r>
              <w:rPr>
                <w:rFonts w:cs="Tahoma"/>
              </w:rPr>
              <w:t>KCl</w:t>
            </w:r>
            <w:proofErr w:type="spellEnd"/>
          </w:p>
        </w:tc>
      </w:tr>
      <w:tr w:rsidR="002D73FE" w14:paraId="616B66D6" w14:textId="77777777" w:rsidTr="00FD093B">
        <w:tc>
          <w:tcPr>
            <w:tcW w:w="3107" w:type="dxa"/>
          </w:tcPr>
          <w:p w14:paraId="2919E25B" w14:textId="4BC5AAD8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K &lt; 4.0</w:t>
            </w:r>
          </w:p>
        </w:tc>
        <w:tc>
          <w:tcPr>
            <w:tcW w:w="4083" w:type="dxa"/>
          </w:tcPr>
          <w:p w14:paraId="610D971F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30mmol</w:t>
            </w:r>
            <w:r w:rsidRPr="00AC7672">
              <w:rPr>
                <w:rFonts w:cs="Tahoma"/>
              </w:rPr>
              <w:t xml:space="preserve"> of </w:t>
            </w:r>
            <w:proofErr w:type="spellStart"/>
            <w:r w:rsidRPr="00AC7672">
              <w:rPr>
                <w:rFonts w:cs="Tahoma"/>
              </w:rPr>
              <w:t>KCl</w:t>
            </w:r>
            <w:proofErr w:type="spellEnd"/>
          </w:p>
        </w:tc>
      </w:tr>
      <w:tr w:rsidR="002D73FE" w14:paraId="47C590A7" w14:textId="77777777" w:rsidTr="00FD093B">
        <w:tc>
          <w:tcPr>
            <w:tcW w:w="3107" w:type="dxa"/>
          </w:tcPr>
          <w:p w14:paraId="70551321" w14:textId="79380000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K &lt; 3.0</w:t>
            </w:r>
          </w:p>
        </w:tc>
        <w:tc>
          <w:tcPr>
            <w:tcW w:w="4083" w:type="dxa"/>
          </w:tcPr>
          <w:p w14:paraId="0ACBCEB4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40mmol</w:t>
            </w:r>
            <w:r w:rsidRPr="00AC7672">
              <w:rPr>
                <w:rFonts w:cs="Tahoma"/>
              </w:rPr>
              <w:t xml:space="preserve"> of </w:t>
            </w:r>
            <w:proofErr w:type="spellStart"/>
            <w:r w:rsidRPr="00AC7672">
              <w:rPr>
                <w:rFonts w:cs="Tahoma"/>
              </w:rPr>
              <w:t>KCl</w:t>
            </w:r>
            <w:proofErr w:type="spellEnd"/>
          </w:p>
        </w:tc>
      </w:tr>
    </w:tbl>
    <w:p w14:paraId="014B3887" w14:textId="2DFAFEB4" w:rsidR="002D73FE" w:rsidRDefault="002D73FE" w:rsidP="002D73FE"/>
    <w:p w14:paraId="7454D146" w14:textId="77777777" w:rsidR="00A1443D" w:rsidRDefault="00A1443D">
      <w:pPr>
        <w:spacing w:after="0"/>
        <w:outlineLvl w:val="9"/>
        <w:rPr>
          <w:b/>
        </w:rPr>
      </w:pPr>
      <w:r>
        <w:rPr>
          <w:b/>
        </w:rPr>
        <w:br w:type="page"/>
      </w:r>
    </w:p>
    <w:p w14:paraId="1109FBB6" w14:textId="4DD15FCB" w:rsidR="002D73FE" w:rsidRPr="002D73FE" w:rsidRDefault="002D73FE" w:rsidP="002D73FE">
      <w:pPr>
        <w:rPr>
          <w:b/>
        </w:rPr>
      </w:pPr>
      <w:r w:rsidRPr="002D73FE">
        <w:rPr>
          <w:b/>
        </w:rPr>
        <w:lastRenderedPageBreak/>
        <w:t>Other issues and ongoing monitoring:</w:t>
      </w:r>
    </w:p>
    <w:p w14:paraId="3DC44F10" w14:textId="55ED9B7A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Check serum K, HCO</w:t>
      </w:r>
      <w:r w:rsidRPr="002D73FE">
        <w:rPr>
          <w:rFonts w:cs="Tahoma"/>
          <w:vertAlign w:val="subscript"/>
        </w:rPr>
        <w:t>3</w:t>
      </w:r>
      <w:r w:rsidRPr="002D73FE">
        <w:rPr>
          <w:rFonts w:cs="Tahoma"/>
        </w:rPr>
        <w:t xml:space="preserve"> &amp; glucose every 6 hours</w:t>
      </w:r>
      <w:r w:rsidR="00DC54E3">
        <w:rPr>
          <w:rFonts w:cs="Tahoma"/>
        </w:rPr>
        <w:t>.</w:t>
      </w:r>
    </w:p>
    <w:p w14:paraId="2F19DF3F" w14:textId="41FD50D6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Do hourly temperature, BP, neurological observation (</w:t>
      </w:r>
      <w:r w:rsidR="00C46DE9">
        <w:rPr>
          <w:rFonts w:cs="Tahoma"/>
        </w:rPr>
        <w:t>Glasgow</w:t>
      </w:r>
      <w:r w:rsidRPr="002D73FE">
        <w:rPr>
          <w:rFonts w:cs="Tahoma"/>
        </w:rPr>
        <w:t xml:space="preserve"> Coma score), fluid balance and bedside BM.</w:t>
      </w:r>
    </w:p>
    <w:p w14:paraId="0E964F4D" w14:textId="72222748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If the patient has not passed urine by one hour into resuscitation, consider passing a urinary catheter. Aim for a urinary output of &gt;</w:t>
      </w:r>
      <w:r w:rsidR="004C2330">
        <w:rPr>
          <w:rFonts w:cs="Tahoma"/>
        </w:rPr>
        <w:t xml:space="preserve"> </w:t>
      </w:r>
      <w:r w:rsidRPr="002D73FE">
        <w:rPr>
          <w:rFonts w:cs="Tahoma"/>
        </w:rPr>
        <w:t>0.5</w:t>
      </w:r>
      <w:r>
        <w:rPr>
          <w:rFonts w:cs="Tahoma"/>
        </w:rPr>
        <w:t xml:space="preserve"> </w:t>
      </w:r>
      <w:r w:rsidRPr="002D73FE">
        <w:rPr>
          <w:rFonts w:cs="Tahoma"/>
        </w:rPr>
        <w:t>ml/kg/hour.</w:t>
      </w:r>
    </w:p>
    <w:p w14:paraId="376D0787" w14:textId="77777777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Consider NG tube if vomiting or drowsy.</w:t>
      </w:r>
    </w:p>
    <w:p w14:paraId="6CC6959D" w14:textId="17727462" w:rsidR="002D73FE" w:rsidRDefault="002D73FE" w:rsidP="002D73FE">
      <w:pPr>
        <w:rPr>
          <w:rFonts w:cs="Tahoma"/>
        </w:rPr>
      </w:pPr>
      <w:r w:rsidRPr="0086437E">
        <w:rPr>
          <w:rFonts w:cs="Tahoma"/>
        </w:rPr>
        <w:t>Fin</w:t>
      </w:r>
      <w:r>
        <w:rPr>
          <w:rFonts w:cs="Tahoma"/>
        </w:rPr>
        <w:t>d and treat the cause of the HHS</w:t>
      </w:r>
      <w:r w:rsidRPr="0086437E">
        <w:rPr>
          <w:rFonts w:cs="Tahoma"/>
        </w:rPr>
        <w:t xml:space="preserve"> e.g. infection or other inter</w:t>
      </w:r>
      <w:r>
        <w:rPr>
          <w:rFonts w:cs="Tahoma"/>
        </w:rPr>
        <w:t>-</w:t>
      </w:r>
      <w:r w:rsidRPr="0086437E">
        <w:rPr>
          <w:rFonts w:cs="Tahoma"/>
        </w:rPr>
        <w:t>current illness, poor adherence to med</w:t>
      </w:r>
      <w:r>
        <w:rPr>
          <w:rFonts w:cs="Tahoma"/>
        </w:rPr>
        <w:t>ication</w:t>
      </w:r>
      <w:r w:rsidRPr="0086437E">
        <w:rPr>
          <w:rFonts w:cs="Tahoma"/>
        </w:rPr>
        <w:t>s for previously known patients. Investigate as appropriate e.g. Chest X</w:t>
      </w:r>
      <w:r>
        <w:rPr>
          <w:rFonts w:cs="Tahoma"/>
        </w:rPr>
        <w:t>-</w:t>
      </w:r>
      <w:r w:rsidRPr="0086437E">
        <w:rPr>
          <w:rFonts w:cs="Tahoma"/>
        </w:rPr>
        <w:t>ray, FBC, blood culture for suspected Pneumonia</w:t>
      </w:r>
      <w:r w:rsidR="00DC54E3">
        <w:rPr>
          <w:rFonts w:cs="Tahoma"/>
        </w:rPr>
        <w:t>.</w:t>
      </w:r>
    </w:p>
    <w:p w14:paraId="68D51665" w14:textId="06800E6D" w:rsidR="002D73FE" w:rsidRPr="002D73FE" w:rsidRDefault="002D73FE" w:rsidP="002D73FE">
      <w:r>
        <w:t>See guideline on Diabetes Mellitus for ongoing care of these patients</w:t>
      </w:r>
      <w:r w:rsidR="00C46DE9">
        <w:t xml:space="preserve"> once the emergency is over. </w:t>
      </w:r>
    </w:p>
    <w:p w14:paraId="1FEEA7F1" w14:textId="77777777" w:rsidR="00F03F25" w:rsidRPr="003C0800" w:rsidRDefault="00F03F25" w:rsidP="00C46DE9">
      <w:pPr>
        <w:pStyle w:val="Heading2"/>
      </w:pPr>
      <w:r w:rsidRPr="003C0800">
        <w:t>Key Issues for Nursing care</w:t>
      </w:r>
    </w:p>
    <w:p w14:paraId="2689815A" w14:textId="27443A01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Always check the blood sugar in unconscious or very sick patients and do urinalysis if the blood sugar is high.</w:t>
      </w:r>
    </w:p>
    <w:p w14:paraId="043415F1" w14:textId="7F71FA85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Refer patients with high blood glucose, significant urine dipstick findings and/or very sick patients to the doctor.</w:t>
      </w:r>
    </w:p>
    <w:p w14:paraId="5D3A7386" w14:textId="174AC3B5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Nurse unconscious patients and monitor them closely as instructed by the doctor.</w:t>
      </w:r>
    </w:p>
    <w:p w14:paraId="4BFAC1FF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3C8C6ED1" w14:textId="683502D3" w:rsidR="00B063BF" w:rsidRDefault="00BB3E6B" w:rsidP="004D208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Nyenwe</w:t>
      </w:r>
      <w:proofErr w:type="spellEnd"/>
      <w:r>
        <w:rPr>
          <w:sz w:val="20"/>
          <w:szCs w:val="20"/>
        </w:rPr>
        <w:t xml:space="preserve"> E</w:t>
      </w:r>
      <w:r w:rsidR="00B063BF">
        <w:rPr>
          <w:sz w:val="20"/>
          <w:szCs w:val="20"/>
        </w:rPr>
        <w:t>A et al. Evidence-based management of hyperglycemic emergencies in diabetes mellitus</w:t>
      </w:r>
      <w:r w:rsidR="004A5FC2">
        <w:rPr>
          <w:sz w:val="20"/>
          <w:szCs w:val="20"/>
        </w:rPr>
        <w:t xml:space="preserve">. Diabetes Res Clin </w:t>
      </w:r>
      <w:proofErr w:type="spellStart"/>
      <w:r w:rsidR="004A5FC2">
        <w:rPr>
          <w:sz w:val="20"/>
          <w:szCs w:val="20"/>
        </w:rPr>
        <w:t>Pract</w:t>
      </w:r>
      <w:proofErr w:type="spellEnd"/>
      <w:r w:rsidR="004A5FC2">
        <w:rPr>
          <w:sz w:val="20"/>
          <w:szCs w:val="20"/>
        </w:rPr>
        <w:t>. 2011 Dec;94(3)</w:t>
      </w:r>
      <w:r>
        <w:rPr>
          <w:sz w:val="20"/>
          <w:szCs w:val="20"/>
        </w:rPr>
        <w:t>:</w:t>
      </w:r>
      <w:r w:rsidR="004A5FC2">
        <w:rPr>
          <w:sz w:val="20"/>
          <w:szCs w:val="20"/>
        </w:rPr>
        <w:t>340-</w:t>
      </w:r>
      <w:proofErr w:type="gramStart"/>
      <w:r w:rsidR="004A5FC2">
        <w:rPr>
          <w:sz w:val="20"/>
          <w:szCs w:val="20"/>
        </w:rPr>
        <w:t>51.[</w:t>
      </w:r>
      <w:proofErr w:type="gramEnd"/>
      <w:r w:rsidR="004A5FC2">
        <w:rPr>
          <w:sz w:val="20"/>
          <w:szCs w:val="20"/>
        </w:rPr>
        <w:t>PMID:21978840]</w:t>
      </w:r>
    </w:p>
    <w:p w14:paraId="2EAAE57E" w14:textId="1EC08907" w:rsidR="004D208D" w:rsidRPr="004D208D" w:rsidRDefault="004D208D" w:rsidP="004D208D">
      <w:pPr>
        <w:rPr>
          <w:sz w:val="20"/>
          <w:szCs w:val="20"/>
          <w:lang w:val="en-GB" w:eastAsia="en-GB"/>
        </w:rPr>
      </w:pPr>
      <w:r w:rsidRPr="004D208D">
        <w:rPr>
          <w:sz w:val="20"/>
          <w:szCs w:val="20"/>
          <w:lang w:val="en-GB" w:eastAsia="en-GB"/>
        </w:rPr>
        <w:t>Wilkinson IB</w:t>
      </w:r>
      <w:r>
        <w:rPr>
          <w:sz w:val="20"/>
          <w:szCs w:val="20"/>
          <w:lang w:val="en-GB" w:eastAsia="en-GB"/>
        </w:rPr>
        <w:t xml:space="preserve"> et al</w:t>
      </w:r>
      <w:r w:rsidRPr="004D208D">
        <w:rPr>
          <w:sz w:val="20"/>
          <w:szCs w:val="20"/>
          <w:lang w:val="en-GB" w:eastAsia="en-GB"/>
        </w:rPr>
        <w:t>. Oxford Handbook of Clinical Medicine. Oxford University Press, 2017.</w:t>
      </w:r>
    </w:p>
    <w:p w14:paraId="1DB0F4A5" w14:textId="6DBF83AD" w:rsidR="00C46DE9" w:rsidRDefault="003B0A1D" w:rsidP="004D208D">
      <w:pPr>
        <w:rPr>
          <w:rFonts w:eastAsia="SimSun" w:cs="Tahoma"/>
          <w:bCs/>
          <w:sz w:val="20"/>
          <w:szCs w:val="20"/>
          <w:lang w:val="en-GB" w:eastAsia="en-GB"/>
        </w:rPr>
      </w:pPr>
      <w:r>
        <w:rPr>
          <w:rFonts w:eastAsia="SimSun" w:cs="Tahoma"/>
          <w:bCs/>
          <w:sz w:val="20"/>
          <w:szCs w:val="20"/>
          <w:lang w:val="en-GB" w:eastAsia="en-GB"/>
        </w:rPr>
        <w:t xml:space="preserve">Scott AR; </w:t>
      </w:r>
      <w:r w:rsidRPr="004D208D">
        <w:rPr>
          <w:rFonts w:eastAsia="SimSun" w:cs="Tahoma"/>
          <w:sz w:val="20"/>
          <w:szCs w:val="20"/>
          <w:lang w:val="en-GB" w:eastAsia="en-GB"/>
        </w:rPr>
        <w:t>Joint British Diabetes Societies</w:t>
      </w:r>
      <w:r>
        <w:rPr>
          <w:rFonts w:eastAsia="SimSun" w:cs="Tahoma"/>
          <w:sz w:val="20"/>
          <w:szCs w:val="20"/>
          <w:lang w:val="en-GB" w:eastAsia="en-GB"/>
        </w:rPr>
        <w:t xml:space="preserve"> (JBDS) for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 xml:space="preserve"> </w:t>
      </w:r>
      <w:r>
        <w:rPr>
          <w:rFonts w:eastAsia="SimSun" w:cs="Tahoma"/>
          <w:sz w:val="20"/>
          <w:szCs w:val="20"/>
          <w:lang w:val="en-GB" w:eastAsia="en-GB"/>
        </w:rPr>
        <w:t xml:space="preserve">Inpatient Care; JBDS 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>hyperosmolar hyperglycaemic</w:t>
      </w:r>
      <w:r>
        <w:rPr>
          <w:rFonts w:eastAsia="SimSun" w:cs="Tahoma"/>
          <w:bCs/>
          <w:sz w:val="20"/>
          <w:szCs w:val="20"/>
          <w:lang w:val="en-GB" w:eastAsia="en-GB"/>
        </w:rPr>
        <w:t xml:space="preserve"> guidelines group.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 xml:space="preserve"> </w:t>
      </w:r>
      <w:r>
        <w:rPr>
          <w:rFonts w:eastAsia="SimSun" w:cs="Tahoma"/>
          <w:bCs/>
          <w:sz w:val="20"/>
          <w:szCs w:val="20"/>
          <w:lang w:val="en-GB" w:eastAsia="en-GB"/>
        </w:rPr>
        <w:t>Management of</w:t>
      </w:r>
      <w:r w:rsidR="00C46DE9" w:rsidRPr="004D208D">
        <w:rPr>
          <w:rFonts w:eastAsia="SimSun" w:cs="Tahoma"/>
          <w:bCs/>
          <w:sz w:val="20"/>
          <w:szCs w:val="20"/>
          <w:lang w:val="en-GB" w:eastAsia="en-GB"/>
        </w:rPr>
        <w:t xml:space="preserve"> hyperosmolar hyperglycaemic stat</w:t>
      </w:r>
      <w:r>
        <w:rPr>
          <w:rFonts w:eastAsia="SimSun" w:cs="Tahoma"/>
          <w:bCs/>
          <w:sz w:val="20"/>
          <w:szCs w:val="20"/>
          <w:lang w:val="en-GB" w:eastAsia="en-GB"/>
        </w:rPr>
        <w:t xml:space="preserve">e (HHS) in adults with diabetes. </w:t>
      </w:r>
      <w:proofErr w:type="spellStart"/>
      <w:r>
        <w:rPr>
          <w:rFonts w:eastAsia="SimSun" w:cs="Tahoma"/>
          <w:bCs/>
          <w:sz w:val="20"/>
          <w:szCs w:val="20"/>
          <w:lang w:val="en-GB" w:eastAsia="en-GB"/>
        </w:rPr>
        <w:t>Diabet</w:t>
      </w:r>
      <w:proofErr w:type="spellEnd"/>
      <w:r>
        <w:rPr>
          <w:rFonts w:eastAsia="SimSun" w:cs="Tahoma"/>
          <w:bCs/>
          <w:sz w:val="20"/>
          <w:szCs w:val="20"/>
          <w:lang w:val="en-GB" w:eastAsia="en-GB"/>
        </w:rPr>
        <w:t xml:space="preserve"> Med. 2015 Jun;32(6):714-24. [PMID:25980647]</w:t>
      </w:r>
    </w:p>
    <w:p w14:paraId="672B83AC" w14:textId="74ED6529" w:rsidR="004C2330" w:rsidRDefault="004C2330">
      <w:pPr>
        <w:spacing w:after="0"/>
        <w:outlineLvl w:val="9"/>
        <w:rPr>
          <w:rFonts w:eastAsia="SimSun" w:cs="Tahoma"/>
          <w:bCs/>
          <w:sz w:val="20"/>
          <w:szCs w:val="20"/>
          <w:lang w:val="en-GB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796BD36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39561CE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4D614C4" w14:textId="538E3D0C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C46DE9">
              <w:rPr>
                <w:szCs w:val="22"/>
              </w:rPr>
              <w:t>Musa Jallow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3E7A9D9" w14:textId="25EC6D80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C46DE9">
              <w:rPr>
                <w:szCs w:val="22"/>
              </w:rPr>
              <w:t>5 June 2018</w:t>
            </w:r>
          </w:p>
        </w:tc>
      </w:tr>
      <w:tr w:rsidR="004C4442" w:rsidRPr="00515546" w14:paraId="7879ED9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89A140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9FE07F7" w14:textId="445D8211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C46DE9">
              <w:rPr>
                <w:szCs w:val="22"/>
              </w:rPr>
              <w:t>Babatunde Awokola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184388A" w14:textId="6A083434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C46DE9">
              <w:rPr>
                <w:szCs w:val="22"/>
              </w:rPr>
              <w:t>12 July 2018</w:t>
            </w:r>
          </w:p>
        </w:tc>
      </w:tr>
      <w:tr w:rsidR="00611928" w:rsidRPr="00515546" w14:paraId="4E77C0D7" w14:textId="77777777" w:rsidTr="00151909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3AFDABB" w14:textId="77777777" w:rsidR="00611928" w:rsidRPr="00515546" w:rsidRDefault="00611928" w:rsidP="00151909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2C6701AA" w14:textId="37B84ED9" w:rsidR="00611928" w:rsidRPr="00515546" w:rsidRDefault="00611928" w:rsidP="00151909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>
              <w:rPr>
                <w:szCs w:val="22"/>
              </w:rPr>
              <w:t>Danlami Garba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6B7A669" w14:textId="7E71DC52" w:rsidR="00611928" w:rsidRPr="00515546" w:rsidRDefault="00611928" w:rsidP="00151909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6E2340">
              <w:rPr>
                <w:szCs w:val="22"/>
              </w:rPr>
              <w:t>05 July 2020</w:t>
            </w:r>
          </w:p>
        </w:tc>
      </w:tr>
      <w:tr w:rsidR="004C4442" w:rsidRPr="00515546" w14:paraId="00800F1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89D4DAA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5B9646D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44E7233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6E89936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D04CF5" w14:textId="3DCA04C4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</w:t>
            </w:r>
            <w:r w:rsidR="007827C1">
              <w:rPr>
                <w:szCs w:val="22"/>
              </w:rPr>
              <w:t>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1253E28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CCE39BB" w14:textId="18222CEC" w:rsidR="004C4442" w:rsidRPr="00515546" w:rsidRDefault="004C233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7827C1" w:rsidRPr="00515546" w14:paraId="528CC32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7B41121" w14:textId="04DEC774" w:rsidR="007827C1" w:rsidRPr="00515546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201F0BC" w14:textId="10FA0937" w:rsidR="007827C1" w:rsidRPr="00515546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F7D3CA8" w14:textId="33BD7DEC" w:rsidR="007827C1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5638D0" w:rsidRPr="00BB4C2E" w14:paraId="4DF349B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EE983EE" w14:textId="77777777" w:rsidR="005638D0" w:rsidRPr="00BB4C2E" w:rsidRDefault="005638D0" w:rsidP="005638D0">
            <w:pPr>
              <w:spacing w:after="0"/>
              <w:rPr>
                <w:szCs w:val="22"/>
              </w:rPr>
            </w:pPr>
            <w:r w:rsidRPr="00BB4C2E">
              <w:rPr>
                <w:szCs w:val="22"/>
              </w:rPr>
              <w:t>Review Comments (</w:t>
            </w:r>
            <w:r w:rsidRPr="00BB4C2E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F77184D" w14:textId="25DAB59D" w:rsidR="005638D0" w:rsidRPr="00BB4C2E" w:rsidRDefault="00611928" w:rsidP="005638D0">
            <w:pPr>
              <w:spacing w:after="0"/>
              <w:rPr>
                <w:szCs w:val="22"/>
              </w:rPr>
            </w:pPr>
            <w:r w:rsidRPr="00BB4C2E">
              <w:rPr>
                <w:szCs w:val="22"/>
              </w:rPr>
              <w:t>No significant change recommended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6EC2FD2" w14:textId="73E77770" w:rsidR="005638D0" w:rsidRPr="00BB4C2E" w:rsidRDefault="00BB4C2E" w:rsidP="005638D0">
            <w:pPr>
              <w:spacing w:after="0"/>
              <w:rPr>
                <w:szCs w:val="22"/>
              </w:rPr>
            </w:pPr>
            <w:r w:rsidRPr="00BB4C2E">
              <w:rPr>
                <w:szCs w:val="22"/>
              </w:rPr>
              <w:t>01 November 2022</w:t>
            </w:r>
          </w:p>
        </w:tc>
      </w:tr>
    </w:tbl>
    <w:p w14:paraId="095F63FF" w14:textId="77777777" w:rsidR="00975A60" w:rsidRPr="00BB4C2E" w:rsidRDefault="00975A60" w:rsidP="00975A60">
      <w:pPr>
        <w:rPr>
          <w:szCs w:val="22"/>
        </w:rPr>
      </w:pPr>
    </w:p>
    <w:sectPr w:rsidR="00975A60" w:rsidRPr="00BB4C2E" w:rsidSect="00D138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6A241" w14:textId="77777777" w:rsidR="00554171" w:rsidRDefault="00554171" w:rsidP="00975A60">
      <w:pPr>
        <w:spacing w:after="0"/>
      </w:pPr>
      <w:r>
        <w:separator/>
      </w:r>
    </w:p>
  </w:endnote>
  <w:endnote w:type="continuationSeparator" w:id="0">
    <w:p w14:paraId="587EBB02" w14:textId="77777777" w:rsidR="00554171" w:rsidRDefault="00554171" w:rsidP="00975A60">
      <w:pPr>
        <w:spacing w:after="0"/>
      </w:pPr>
      <w:r>
        <w:continuationSeparator/>
      </w:r>
    </w:p>
  </w:endnote>
  <w:endnote w:type="continuationNotice" w:id="1">
    <w:p w14:paraId="75002315" w14:textId="77777777" w:rsidR="00554171" w:rsidRDefault="0055417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26CD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4523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97865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B7605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0169" w14:textId="77777777" w:rsidR="00554171" w:rsidRDefault="00554171" w:rsidP="00975A60">
      <w:pPr>
        <w:spacing w:after="0"/>
      </w:pPr>
      <w:r>
        <w:separator/>
      </w:r>
    </w:p>
  </w:footnote>
  <w:footnote w:type="continuationSeparator" w:id="0">
    <w:p w14:paraId="6D8B4210" w14:textId="77777777" w:rsidR="00554171" w:rsidRDefault="00554171" w:rsidP="00975A60">
      <w:pPr>
        <w:spacing w:after="0"/>
      </w:pPr>
      <w:r>
        <w:continuationSeparator/>
      </w:r>
    </w:p>
  </w:footnote>
  <w:footnote w:type="continuationNotice" w:id="1">
    <w:p w14:paraId="451FF623" w14:textId="77777777" w:rsidR="00554171" w:rsidRDefault="0055417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C2C70" w14:textId="77777777" w:rsidR="00995B0F" w:rsidRDefault="0099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2992B" w14:textId="77777777" w:rsidR="008C7C51" w:rsidRPr="00F87812" w:rsidRDefault="008C7C51" w:rsidP="008C7C51">
    <w:pPr>
      <w:pStyle w:val="Header"/>
    </w:pPr>
    <w:r w:rsidRPr="00F87812">
      <w:t>Identification code: MeG-CLS-</w:t>
    </w:r>
    <w:r>
      <w:t>046</w:t>
    </w:r>
    <w:r w:rsidRPr="00F87812">
      <w:tab/>
    </w:r>
  </w:p>
  <w:p w14:paraId="215ADD2A" w14:textId="2C3FC193" w:rsidR="008C7C51" w:rsidRPr="008C7C51" w:rsidRDefault="008C7C51" w:rsidP="008C7C51">
    <w:pPr>
      <w:pStyle w:val="Header"/>
    </w:pPr>
    <w:r w:rsidRPr="008C7C51">
      <w:t>Version: 1.</w:t>
    </w:r>
    <w:r w:rsidR="00995B0F">
      <w:t>1</w:t>
    </w:r>
    <w:r w:rsidRPr="008C7C51">
      <w:t xml:space="preserve"> – 31 July 2018</w:t>
    </w:r>
  </w:p>
  <w:p w14:paraId="198A00C8" w14:textId="7575CC11" w:rsidR="005D1877" w:rsidRPr="008C7C51" w:rsidRDefault="005D1877" w:rsidP="008C7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AA4B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8240" behindDoc="1" locked="0" layoutInCell="1" allowOverlap="1" wp14:anchorId="3A0D195F" wp14:editId="23931360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D9C6F3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61B251F6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0FF239C" w14:textId="3B38C9B0" w:rsidR="00D13825" w:rsidRPr="00F87812" w:rsidRDefault="00D13825" w:rsidP="00D13825">
    <w:pPr>
      <w:pStyle w:val="Header"/>
    </w:pPr>
    <w:r w:rsidRPr="00F87812">
      <w:t>Identification code: MeG-CLS-</w:t>
    </w:r>
    <w:r w:rsidR="008C7C51">
      <w:t>046</w:t>
    </w:r>
    <w:r w:rsidRPr="00F87812">
      <w:tab/>
    </w:r>
  </w:p>
  <w:p w14:paraId="2705D7F6" w14:textId="6DF09907" w:rsidR="00D13825" w:rsidRPr="008C7C51" w:rsidRDefault="00D13825" w:rsidP="00D13825">
    <w:pPr>
      <w:pStyle w:val="Header"/>
    </w:pPr>
    <w:r w:rsidRPr="008C7C51">
      <w:t xml:space="preserve">Version: </w:t>
    </w:r>
    <w:r w:rsidR="008C7C51" w:rsidRPr="008C7C51">
      <w:t>1.</w:t>
    </w:r>
    <w:r w:rsidR="00995B0F">
      <w:t>1</w:t>
    </w:r>
    <w:r w:rsidR="008C7C51" w:rsidRPr="008C7C51">
      <w:t xml:space="preserve"> – 31 July 2018</w:t>
    </w:r>
  </w:p>
  <w:p w14:paraId="263ACC5D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B26D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5F0AA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68EF"/>
    <w:multiLevelType w:val="hybridMultilevel"/>
    <w:tmpl w:val="F97A7E3A"/>
    <w:lvl w:ilvl="0" w:tplc="AAF05610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6698"/>
    <w:multiLevelType w:val="hybridMultilevel"/>
    <w:tmpl w:val="4254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73C"/>
    <w:multiLevelType w:val="hybridMultilevel"/>
    <w:tmpl w:val="C226A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F6298"/>
    <w:multiLevelType w:val="hybridMultilevel"/>
    <w:tmpl w:val="7AC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425D0"/>
    <w:multiLevelType w:val="hybridMultilevel"/>
    <w:tmpl w:val="8F8A3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E7054"/>
    <w:multiLevelType w:val="hybridMultilevel"/>
    <w:tmpl w:val="2B26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577F6"/>
    <w:multiLevelType w:val="hybridMultilevel"/>
    <w:tmpl w:val="D4BEF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1B80"/>
    <w:multiLevelType w:val="hybridMultilevel"/>
    <w:tmpl w:val="D9460A58"/>
    <w:lvl w:ilvl="0" w:tplc="F176D2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A310B"/>
    <w:multiLevelType w:val="hybridMultilevel"/>
    <w:tmpl w:val="67C2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166CC"/>
    <w:multiLevelType w:val="hybridMultilevel"/>
    <w:tmpl w:val="E670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5689E"/>
    <w:multiLevelType w:val="hybridMultilevel"/>
    <w:tmpl w:val="651E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97A68"/>
    <w:multiLevelType w:val="hybridMultilevel"/>
    <w:tmpl w:val="7568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01A24"/>
    <w:multiLevelType w:val="hybridMultilevel"/>
    <w:tmpl w:val="CFB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D5B8F"/>
    <w:multiLevelType w:val="hybridMultilevel"/>
    <w:tmpl w:val="79CE3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6636E"/>
    <w:multiLevelType w:val="hybridMultilevel"/>
    <w:tmpl w:val="83F4B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61C0C"/>
    <w:multiLevelType w:val="hybridMultilevel"/>
    <w:tmpl w:val="614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A28B8"/>
    <w:multiLevelType w:val="hybridMultilevel"/>
    <w:tmpl w:val="E6B08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380AA7"/>
    <w:multiLevelType w:val="hybridMultilevel"/>
    <w:tmpl w:val="BED0B85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5EFD6207"/>
    <w:multiLevelType w:val="hybridMultilevel"/>
    <w:tmpl w:val="C6A0A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567B3"/>
    <w:multiLevelType w:val="hybridMultilevel"/>
    <w:tmpl w:val="2FC29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B12C3"/>
    <w:multiLevelType w:val="hybridMultilevel"/>
    <w:tmpl w:val="CC0E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95264A"/>
    <w:multiLevelType w:val="hybridMultilevel"/>
    <w:tmpl w:val="4A5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92042"/>
    <w:multiLevelType w:val="hybridMultilevel"/>
    <w:tmpl w:val="8CF4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273DF"/>
    <w:multiLevelType w:val="hybridMultilevel"/>
    <w:tmpl w:val="EFDA0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5"/>
  </w:num>
  <w:num w:numId="4">
    <w:abstractNumId w:val="1"/>
  </w:num>
  <w:num w:numId="5">
    <w:abstractNumId w:val="0"/>
  </w:num>
  <w:num w:numId="6">
    <w:abstractNumId w:val="6"/>
  </w:num>
  <w:num w:numId="7">
    <w:abstractNumId w:val="23"/>
  </w:num>
  <w:num w:numId="8">
    <w:abstractNumId w:val="2"/>
  </w:num>
  <w:num w:numId="9">
    <w:abstractNumId w:val="47"/>
  </w:num>
  <w:num w:numId="10">
    <w:abstractNumId w:val="3"/>
  </w:num>
  <w:num w:numId="11">
    <w:abstractNumId w:val="16"/>
  </w:num>
  <w:num w:numId="12">
    <w:abstractNumId w:val="36"/>
  </w:num>
  <w:num w:numId="13">
    <w:abstractNumId w:val="42"/>
  </w:num>
  <w:num w:numId="14">
    <w:abstractNumId w:val="39"/>
  </w:num>
  <w:num w:numId="15">
    <w:abstractNumId w:val="46"/>
  </w:num>
  <w:num w:numId="16">
    <w:abstractNumId w:val="19"/>
  </w:num>
  <w:num w:numId="17">
    <w:abstractNumId w:val="11"/>
  </w:num>
  <w:num w:numId="18">
    <w:abstractNumId w:val="40"/>
  </w:num>
  <w:num w:numId="19">
    <w:abstractNumId w:val="20"/>
  </w:num>
  <w:num w:numId="20">
    <w:abstractNumId w:val="44"/>
  </w:num>
  <w:num w:numId="21">
    <w:abstractNumId w:val="22"/>
  </w:num>
  <w:num w:numId="22">
    <w:abstractNumId w:val="14"/>
  </w:num>
  <w:num w:numId="23">
    <w:abstractNumId w:val="35"/>
  </w:num>
  <w:num w:numId="24">
    <w:abstractNumId w:val="38"/>
  </w:num>
  <w:num w:numId="25">
    <w:abstractNumId w:val="25"/>
  </w:num>
  <w:num w:numId="26">
    <w:abstractNumId w:val="13"/>
  </w:num>
  <w:num w:numId="27">
    <w:abstractNumId w:val="28"/>
  </w:num>
  <w:num w:numId="28">
    <w:abstractNumId w:val="5"/>
  </w:num>
  <w:num w:numId="29">
    <w:abstractNumId w:val="8"/>
  </w:num>
  <w:num w:numId="30">
    <w:abstractNumId w:val="31"/>
  </w:num>
  <w:num w:numId="31">
    <w:abstractNumId w:val="12"/>
  </w:num>
  <w:num w:numId="32">
    <w:abstractNumId w:val="32"/>
  </w:num>
  <w:num w:numId="33">
    <w:abstractNumId w:val="34"/>
  </w:num>
  <w:num w:numId="34">
    <w:abstractNumId w:val="41"/>
  </w:num>
  <w:num w:numId="35">
    <w:abstractNumId w:val="18"/>
  </w:num>
  <w:num w:numId="36">
    <w:abstractNumId w:val="7"/>
  </w:num>
  <w:num w:numId="37">
    <w:abstractNumId w:val="29"/>
  </w:num>
  <w:num w:numId="38">
    <w:abstractNumId w:val="24"/>
  </w:num>
  <w:num w:numId="39">
    <w:abstractNumId w:val="30"/>
  </w:num>
  <w:num w:numId="40">
    <w:abstractNumId w:val="27"/>
  </w:num>
  <w:num w:numId="41">
    <w:abstractNumId w:val="10"/>
  </w:num>
  <w:num w:numId="42">
    <w:abstractNumId w:val="45"/>
  </w:num>
  <w:num w:numId="43">
    <w:abstractNumId w:val="26"/>
  </w:num>
  <w:num w:numId="44">
    <w:abstractNumId w:val="33"/>
  </w:num>
  <w:num w:numId="45">
    <w:abstractNumId w:val="43"/>
  </w:num>
  <w:num w:numId="46">
    <w:abstractNumId w:val="4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jI3MTU1tTQzNzJX0lEKTi0uzszPAykwrgUA0InuUSwAAAA="/>
  </w:docVars>
  <w:rsids>
    <w:rsidRoot w:val="008C7C51"/>
    <w:rsid w:val="000004D4"/>
    <w:rsid w:val="000039D9"/>
    <w:rsid w:val="00032F06"/>
    <w:rsid w:val="0007147C"/>
    <w:rsid w:val="00081642"/>
    <w:rsid w:val="000E4004"/>
    <w:rsid w:val="000F4D55"/>
    <w:rsid w:val="00114AAF"/>
    <w:rsid w:val="001203AE"/>
    <w:rsid w:val="00156058"/>
    <w:rsid w:val="00175153"/>
    <w:rsid w:val="001C1450"/>
    <w:rsid w:val="001F41DA"/>
    <w:rsid w:val="00207B8C"/>
    <w:rsid w:val="00211311"/>
    <w:rsid w:val="00223920"/>
    <w:rsid w:val="00252A11"/>
    <w:rsid w:val="0029357D"/>
    <w:rsid w:val="002A2856"/>
    <w:rsid w:val="002D73FE"/>
    <w:rsid w:val="003020A2"/>
    <w:rsid w:val="003038D3"/>
    <w:rsid w:val="003220E5"/>
    <w:rsid w:val="003225CD"/>
    <w:rsid w:val="00362E75"/>
    <w:rsid w:val="00382C8D"/>
    <w:rsid w:val="003B0A1D"/>
    <w:rsid w:val="003C0800"/>
    <w:rsid w:val="003F70CA"/>
    <w:rsid w:val="004A25F0"/>
    <w:rsid w:val="004A4C93"/>
    <w:rsid w:val="004A5FC2"/>
    <w:rsid w:val="004C2330"/>
    <w:rsid w:val="004C4442"/>
    <w:rsid w:val="004D208D"/>
    <w:rsid w:val="005151D8"/>
    <w:rsid w:val="00515546"/>
    <w:rsid w:val="00516BBA"/>
    <w:rsid w:val="00554171"/>
    <w:rsid w:val="005638D0"/>
    <w:rsid w:val="005D1877"/>
    <w:rsid w:val="00611928"/>
    <w:rsid w:val="00633320"/>
    <w:rsid w:val="006E2340"/>
    <w:rsid w:val="006E2E94"/>
    <w:rsid w:val="006E3263"/>
    <w:rsid w:val="007067BE"/>
    <w:rsid w:val="007827C1"/>
    <w:rsid w:val="007A4D9B"/>
    <w:rsid w:val="007B26B1"/>
    <w:rsid w:val="007F7D66"/>
    <w:rsid w:val="00857027"/>
    <w:rsid w:val="008C7C51"/>
    <w:rsid w:val="008F0A8D"/>
    <w:rsid w:val="009165E9"/>
    <w:rsid w:val="009325A7"/>
    <w:rsid w:val="00975A60"/>
    <w:rsid w:val="009956F9"/>
    <w:rsid w:val="00995B0F"/>
    <w:rsid w:val="009A287D"/>
    <w:rsid w:val="009B44BE"/>
    <w:rsid w:val="009B5E0C"/>
    <w:rsid w:val="009F5B1B"/>
    <w:rsid w:val="00A1443D"/>
    <w:rsid w:val="00A312D8"/>
    <w:rsid w:val="00A41080"/>
    <w:rsid w:val="00A97101"/>
    <w:rsid w:val="00B063BF"/>
    <w:rsid w:val="00B31AC4"/>
    <w:rsid w:val="00B844E8"/>
    <w:rsid w:val="00B95951"/>
    <w:rsid w:val="00BB02F0"/>
    <w:rsid w:val="00BB3E6B"/>
    <w:rsid w:val="00BB4C2E"/>
    <w:rsid w:val="00BC0EF5"/>
    <w:rsid w:val="00BD08AB"/>
    <w:rsid w:val="00C46DE9"/>
    <w:rsid w:val="00C67021"/>
    <w:rsid w:val="00CC3CF5"/>
    <w:rsid w:val="00CD4A1D"/>
    <w:rsid w:val="00D03AB2"/>
    <w:rsid w:val="00D13825"/>
    <w:rsid w:val="00DA20ED"/>
    <w:rsid w:val="00DC1CC5"/>
    <w:rsid w:val="00DC54E3"/>
    <w:rsid w:val="00DC590C"/>
    <w:rsid w:val="00DE3D6D"/>
    <w:rsid w:val="00DF345F"/>
    <w:rsid w:val="00E162DA"/>
    <w:rsid w:val="00E700D6"/>
    <w:rsid w:val="00EA6C2F"/>
    <w:rsid w:val="00F03F25"/>
    <w:rsid w:val="00F25C4C"/>
    <w:rsid w:val="00F53968"/>
    <w:rsid w:val="00F71F11"/>
    <w:rsid w:val="00FC4BF0"/>
    <w:rsid w:val="00FD614C"/>
    <w:rsid w:val="00F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84AB87"/>
  <w15:docId w15:val="{E6098CED-5AC4-4FE9-ABC8-55C70C9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39"/>
    <w:qFormat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90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0</TotalTime>
  <Pages>4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3</cp:revision>
  <cp:lastPrinted>2019-04-29T14:50:00Z</cp:lastPrinted>
  <dcterms:created xsi:type="dcterms:W3CDTF">2020-10-28T11:53:00Z</dcterms:created>
  <dcterms:modified xsi:type="dcterms:W3CDTF">2020-10-28T16:19:00Z</dcterms:modified>
</cp:coreProperties>
</file>