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147AD" w14:textId="49464017" w:rsidR="001203AE" w:rsidRPr="003C0800" w:rsidRDefault="003D63AD" w:rsidP="001203AE">
      <w:pPr>
        <w:pStyle w:val="Heading1"/>
        <w:rPr>
          <w:rFonts w:cs="Arial"/>
          <w:szCs w:val="22"/>
        </w:rPr>
      </w:pPr>
      <w:bookmarkStart w:id="0" w:name="_GoBack"/>
      <w:bookmarkEnd w:id="0"/>
      <w:proofErr w:type="spellStart"/>
      <w:r>
        <w:rPr>
          <w:rFonts w:cs="Arial"/>
          <w:szCs w:val="22"/>
        </w:rPr>
        <w:t>Hypocalcaemia</w:t>
      </w:r>
      <w:proofErr w:type="spellEnd"/>
      <w:r>
        <w:rPr>
          <w:rFonts w:cs="Arial"/>
          <w:szCs w:val="22"/>
        </w:rPr>
        <w:t xml:space="preserve"> and </w:t>
      </w:r>
      <w:proofErr w:type="spellStart"/>
      <w:r>
        <w:rPr>
          <w:rFonts w:cs="Arial"/>
          <w:szCs w:val="22"/>
        </w:rPr>
        <w:t>hypercalcaemia</w:t>
      </w:r>
      <w:proofErr w:type="spellEnd"/>
    </w:p>
    <w:p w14:paraId="60979907" w14:textId="77777777" w:rsidR="00584E1E" w:rsidRPr="00F94418" w:rsidRDefault="00584E1E" w:rsidP="00584E1E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32D691F0" w14:textId="77777777" w:rsidR="00584E1E" w:rsidRDefault="00584E1E" w:rsidP="00584E1E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6CA96958" w14:textId="4E2AD709" w:rsidR="00584E1E" w:rsidRDefault="003D63AD" w:rsidP="00584E1E">
      <w:pPr>
        <w:pStyle w:val="Heading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Abnormalities in calcium levels are less common than other electrolyte disturbances. They are important to note as they often indicate a serious underlying condition. Calcium levels should always be corrected for the albumin level before being interpreted. </w:t>
      </w:r>
    </w:p>
    <w:p w14:paraId="5C8848A4" w14:textId="12898631" w:rsidR="003D63AD" w:rsidRPr="003D63AD" w:rsidRDefault="003D63AD" w:rsidP="003D63AD">
      <w:pPr>
        <w:pStyle w:val="ListParagraph"/>
        <w:numPr>
          <w:ilvl w:val="0"/>
          <w:numId w:val="35"/>
        </w:numPr>
      </w:pPr>
      <w:r w:rsidRPr="00797D70">
        <w:t>Corrected Ca mmol/</w:t>
      </w:r>
      <w:r>
        <w:t>l</w:t>
      </w:r>
      <w:r w:rsidRPr="00797D70">
        <w:t xml:space="preserve"> = (0.02</w:t>
      </w:r>
      <w:r>
        <w:t xml:space="preserve"> x </w:t>
      </w:r>
      <w:r w:rsidRPr="00797D70">
        <w:t>(</w:t>
      </w:r>
      <w:r>
        <w:t>40</w:t>
      </w:r>
      <w:r w:rsidRPr="00797D70">
        <w:t xml:space="preserve"> </w:t>
      </w:r>
      <w:r>
        <w:t>–</w:t>
      </w:r>
      <w:r w:rsidRPr="00797D70">
        <w:t xml:space="preserve"> </w:t>
      </w:r>
      <w:r>
        <w:t>serum a</w:t>
      </w:r>
      <w:r w:rsidRPr="00797D70">
        <w:t xml:space="preserve">lbumin)) + </w:t>
      </w:r>
      <w:r>
        <w:t>Ca</w:t>
      </w:r>
    </w:p>
    <w:p w14:paraId="3A3B47E9" w14:textId="77777777" w:rsidR="00584E1E" w:rsidRDefault="00584E1E" w:rsidP="00584E1E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</w:t>
      </w:r>
      <w:r>
        <w:rPr>
          <w:rFonts w:eastAsia="MS Mincho" w:cs="Arial"/>
          <w:bCs w:val="0"/>
          <w:sz w:val="24"/>
          <w:szCs w:val="22"/>
          <w:u w:val="none"/>
        </w:rPr>
        <w:t>u</w:t>
      </w:r>
      <w:r w:rsidRPr="00612AEE">
        <w:rPr>
          <w:rFonts w:eastAsia="MS Mincho" w:cs="Arial"/>
          <w:bCs w:val="0"/>
          <w:sz w:val="24"/>
          <w:szCs w:val="22"/>
          <w:u w:val="none"/>
        </w:rPr>
        <w:t>ser</w:t>
      </w:r>
      <w:r>
        <w:rPr>
          <w:rFonts w:eastAsia="MS Mincho" w:cs="Arial"/>
          <w:bCs w:val="0"/>
          <w:sz w:val="24"/>
          <w:szCs w:val="22"/>
          <w:u w:val="none"/>
        </w:rPr>
        <w:t>s</w:t>
      </w:r>
    </w:p>
    <w:p w14:paraId="0F4281B3" w14:textId="0E5014D9" w:rsidR="00584E1E" w:rsidRDefault="007A7118" w:rsidP="00584E1E">
      <w:pPr>
        <w:pStyle w:val="ListParagraph"/>
        <w:numPr>
          <w:ilvl w:val="0"/>
          <w:numId w:val="29"/>
        </w:numPr>
      </w:pPr>
      <w:r>
        <w:t>Doctors</w:t>
      </w:r>
    </w:p>
    <w:p w14:paraId="05767185" w14:textId="0EFD3D28" w:rsidR="00584E1E" w:rsidRPr="00584E1E" w:rsidRDefault="007A7118" w:rsidP="00584E1E">
      <w:pPr>
        <w:pStyle w:val="ListParagraph"/>
        <w:numPr>
          <w:ilvl w:val="0"/>
          <w:numId w:val="29"/>
        </w:numPr>
      </w:pPr>
      <w:r>
        <w:t>Nurses</w:t>
      </w:r>
    </w:p>
    <w:p w14:paraId="2BEDA55A" w14:textId="77777777" w:rsidR="00584E1E" w:rsidRDefault="00584E1E" w:rsidP="00584E1E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area of use </w:t>
      </w:r>
    </w:p>
    <w:p w14:paraId="56ED43B6" w14:textId="2E6F95C1" w:rsidR="00584E1E" w:rsidRDefault="007A7118" w:rsidP="00584E1E">
      <w:pPr>
        <w:pStyle w:val="ListParagraph"/>
        <w:numPr>
          <w:ilvl w:val="0"/>
          <w:numId w:val="29"/>
        </w:numPr>
      </w:pPr>
      <w:r>
        <w:t>Outpatient department</w:t>
      </w:r>
    </w:p>
    <w:p w14:paraId="674B8B09" w14:textId="57EB512F" w:rsidR="00584E1E" w:rsidRPr="00584E1E" w:rsidRDefault="007A7118" w:rsidP="00584E1E">
      <w:pPr>
        <w:pStyle w:val="ListParagraph"/>
        <w:numPr>
          <w:ilvl w:val="0"/>
          <w:numId w:val="29"/>
        </w:numPr>
      </w:pPr>
      <w:r>
        <w:t>Ward</w:t>
      </w:r>
    </w:p>
    <w:p w14:paraId="5821C404" w14:textId="77777777" w:rsidR="00584E1E" w:rsidRDefault="00584E1E" w:rsidP="00584E1E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>
        <w:rPr>
          <w:rFonts w:eastAsia="MS Mincho" w:cs="Arial"/>
          <w:bCs w:val="0"/>
          <w:sz w:val="24"/>
          <w:szCs w:val="22"/>
          <w:u w:val="none"/>
        </w:rPr>
        <w:t xml:space="preserve">Key areas of focus / 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New additions / </w:t>
      </w:r>
      <w:r>
        <w:rPr>
          <w:rFonts w:eastAsia="MS Mincho" w:cs="Arial"/>
          <w:bCs w:val="0"/>
          <w:sz w:val="24"/>
          <w:szCs w:val="22"/>
          <w:u w:val="none"/>
        </w:rPr>
        <w:t>C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hanges </w:t>
      </w:r>
    </w:p>
    <w:p w14:paraId="2269AEF0" w14:textId="74AB6CF0" w:rsidR="00584E1E" w:rsidRPr="00584E1E" w:rsidRDefault="00584E1E" w:rsidP="00584E1E">
      <w:pPr>
        <w:pStyle w:val="Heading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T</w:t>
      </w:r>
      <w:r w:rsidR="007A7118">
        <w:rPr>
          <w:rFonts w:cs="Arial"/>
          <w:b w:val="0"/>
          <w:sz w:val="22"/>
          <w:szCs w:val="22"/>
        </w:rPr>
        <w:t xml:space="preserve">his guideline outlines the correction of abnormal calcium levels. </w:t>
      </w:r>
    </w:p>
    <w:p w14:paraId="4B68ECBA" w14:textId="77777777" w:rsidR="00584E1E" w:rsidRDefault="00584E1E" w:rsidP="00584E1E">
      <w:pPr>
        <w:pStyle w:val="Heading2"/>
        <w:rPr>
          <w:rFonts w:cs="Arial"/>
          <w:szCs w:val="22"/>
        </w:rPr>
      </w:pPr>
      <w:r w:rsidRPr="00612AEE">
        <w:rPr>
          <w:rFonts w:cs="Arial"/>
          <w:szCs w:val="22"/>
        </w:rPr>
        <w:t>Limitations</w:t>
      </w:r>
    </w:p>
    <w:p w14:paraId="44290CBF" w14:textId="42B8C562" w:rsidR="00584E1E" w:rsidRPr="007A7118" w:rsidRDefault="007A7118" w:rsidP="007A7118">
      <w:pPr>
        <w:pStyle w:val="Heading2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We do not keep bisphosphonates, but they are often available locally for purchase.</w:t>
      </w:r>
    </w:p>
    <w:p w14:paraId="75DADF90" w14:textId="77777777" w:rsidR="00584E1E" w:rsidRDefault="00584E1E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7465266B" w14:textId="77777777" w:rsidR="003D63AD" w:rsidRDefault="003D63AD" w:rsidP="003D63AD">
      <w:pPr>
        <w:pStyle w:val="Heading1"/>
      </w:pPr>
      <w:proofErr w:type="spellStart"/>
      <w:r w:rsidRPr="00797D70">
        <w:lastRenderedPageBreak/>
        <w:t>Hypocalcaemia</w:t>
      </w:r>
      <w:proofErr w:type="spellEnd"/>
    </w:p>
    <w:p w14:paraId="677FCCA8" w14:textId="5A9DCB7D" w:rsidR="003D63AD" w:rsidRDefault="003D63AD" w:rsidP="003D63AD">
      <w:pPr>
        <w:rPr>
          <w:szCs w:val="22"/>
        </w:rPr>
      </w:pPr>
      <w:r w:rsidRPr="00797D70">
        <w:rPr>
          <w:szCs w:val="22"/>
        </w:rPr>
        <w:t xml:space="preserve">This </w:t>
      </w:r>
      <w:r>
        <w:rPr>
          <w:szCs w:val="22"/>
        </w:rPr>
        <w:t>is defined as</w:t>
      </w:r>
      <w:r w:rsidRPr="00797D70">
        <w:rPr>
          <w:szCs w:val="22"/>
        </w:rPr>
        <w:t xml:space="preserve"> </w:t>
      </w:r>
      <w:r>
        <w:rPr>
          <w:szCs w:val="22"/>
        </w:rPr>
        <w:t>corrected serum</w:t>
      </w:r>
      <w:r w:rsidRPr="00797D70">
        <w:rPr>
          <w:szCs w:val="22"/>
        </w:rPr>
        <w:t xml:space="preserve"> calcium </w:t>
      </w:r>
      <w:r>
        <w:rPr>
          <w:szCs w:val="22"/>
        </w:rPr>
        <w:t>&lt;</w:t>
      </w:r>
      <w:r w:rsidRPr="00797D70">
        <w:rPr>
          <w:szCs w:val="22"/>
        </w:rPr>
        <w:t xml:space="preserve"> 2.15</w:t>
      </w:r>
      <w:r>
        <w:rPr>
          <w:szCs w:val="22"/>
        </w:rPr>
        <w:t xml:space="preserve"> </w:t>
      </w:r>
      <w:r w:rsidRPr="00797D70">
        <w:rPr>
          <w:szCs w:val="22"/>
        </w:rPr>
        <w:t>mmol/</w:t>
      </w:r>
      <w:r>
        <w:rPr>
          <w:szCs w:val="22"/>
        </w:rPr>
        <w:t>l</w:t>
      </w:r>
      <w:r w:rsidRPr="00797D70">
        <w:rPr>
          <w:szCs w:val="22"/>
        </w:rPr>
        <w:t xml:space="preserve">. </w:t>
      </w:r>
      <w:r>
        <w:rPr>
          <w:szCs w:val="22"/>
        </w:rPr>
        <w:t xml:space="preserve">Mild </w:t>
      </w:r>
      <w:proofErr w:type="spellStart"/>
      <w:r>
        <w:rPr>
          <w:szCs w:val="22"/>
        </w:rPr>
        <w:t>hypocalcaemia</w:t>
      </w:r>
      <w:proofErr w:type="spellEnd"/>
      <w:r>
        <w:rPr>
          <w:szCs w:val="22"/>
        </w:rPr>
        <w:t xml:space="preserve"> is between 1.9 mmol/l and </w:t>
      </w:r>
      <w:r w:rsidRPr="00797D70">
        <w:rPr>
          <w:szCs w:val="22"/>
        </w:rPr>
        <w:t>2.1</w:t>
      </w:r>
      <w:r>
        <w:rPr>
          <w:szCs w:val="22"/>
        </w:rPr>
        <w:t xml:space="preserve">4 mmol/l while moderate </w:t>
      </w:r>
      <w:proofErr w:type="spellStart"/>
      <w:r>
        <w:rPr>
          <w:szCs w:val="22"/>
        </w:rPr>
        <w:t>hypocalcaemia</w:t>
      </w:r>
      <w:proofErr w:type="spellEnd"/>
      <w:r>
        <w:rPr>
          <w:szCs w:val="22"/>
        </w:rPr>
        <w:t xml:space="preserve"> is between 1.5 mmol/l and 1.8 mmol/l. S</w:t>
      </w:r>
      <w:r w:rsidRPr="00797D70">
        <w:rPr>
          <w:szCs w:val="22"/>
        </w:rPr>
        <w:t>evere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hypocalcaemia</w:t>
      </w:r>
      <w:proofErr w:type="spellEnd"/>
      <w:r>
        <w:rPr>
          <w:szCs w:val="22"/>
        </w:rPr>
        <w:t xml:space="preserve"> is </w:t>
      </w:r>
      <w:r w:rsidRPr="00797D70">
        <w:rPr>
          <w:szCs w:val="22"/>
        </w:rPr>
        <w:t>&lt;1</w:t>
      </w:r>
      <w:r>
        <w:rPr>
          <w:szCs w:val="22"/>
        </w:rPr>
        <w:t xml:space="preserve"> </w:t>
      </w:r>
      <w:r w:rsidRPr="00797D70">
        <w:rPr>
          <w:szCs w:val="22"/>
        </w:rPr>
        <w:t>.5</w:t>
      </w:r>
      <w:r>
        <w:rPr>
          <w:szCs w:val="22"/>
        </w:rPr>
        <w:t xml:space="preserve"> mmol/l. </w:t>
      </w:r>
    </w:p>
    <w:p w14:paraId="19ECBACA" w14:textId="7518AF97" w:rsidR="003D63AD" w:rsidRPr="002507ED" w:rsidRDefault="003D63AD" w:rsidP="003D63AD">
      <w:pPr>
        <w:pStyle w:val="Heading2"/>
      </w:pPr>
      <w:r w:rsidRPr="002507ED">
        <w:t>Causes</w:t>
      </w:r>
    </w:p>
    <w:p w14:paraId="29C699FF" w14:textId="77777777" w:rsidR="003D63AD" w:rsidRDefault="003D63AD" w:rsidP="003D63AD">
      <w:pPr>
        <w:pStyle w:val="ListParagraph"/>
        <w:numPr>
          <w:ilvl w:val="0"/>
          <w:numId w:val="31"/>
        </w:numPr>
      </w:pPr>
      <w:r>
        <w:t>Hypoparathyroidism</w:t>
      </w:r>
    </w:p>
    <w:p w14:paraId="430E9178" w14:textId="77777777" w:rsidR="003D63AD" w:rsidRDefault="003D63AD" w:rsidP="003D63AD">
      <w:pPr>
        <w:pStyle w:val="ListParagraph"/>
        <w:numPr>
          <w:ilvl w:val="0"/>
          <w:numId w:val="31"/>
        </w:numPr>
      </w:pPr>
      <w:r>
        <w:t xml:space="preserve">Pancreatitis </w:t>
      </w:r>
    </w:p>
    <w:p w14:paraId="20EF8D86" w14:textId="77777777" w:rsidR="003D63AD" w:rsidRDefault="003D63AD" w:rsidP="003D63AD">
      <w:pPr>
        <w:pStyle w:val="ListParagraph"/>
        <w:numPr>
          <w:ilvl w:val="0"/>
          <w:numId w:val="31"/>
        </w:numPr>
      </w:pPr>
      <w:r>
        <w:t xml:space="preserve">Sarcoidosis </w:t>
      </w:r>
    </w:p>
    <w:p w14:paraId="21151ADC" w14:textId="77777777" w:rsidR="003D63AD" w:rsidRDefault="003D63AD" w:rsidP="003D63AD">
      <w:pPr>
        <w:pStyle w:val="ListParagraph"/>
        <w:numPr>
          <w:ilvl w:val="0"/>
          <w:numId w:val="31"/>
        </w:numPr>
      </w:pPr>
      <w:r>
        <w:t>Hypomagnesaemia</w:t>
      </w:r>
    </w:p>
    <w:p w14:paraId="41B420D8" w14:textId="77777777" w:rsidR="003D63AD" w:rsidRDefault="003D63AD" w:rsidP="003D63AD">
      <w:pPr>
        <w:pStyle w:val="ListParagraph"/>
        <w:numPr>
          <w:ilvl w:val="0"/>
          <w:numId w:val="31"/>
        </w:numPr>
      </w:pPr>
      <w:proofErr w:type="spellStart"/>
      <w:r>
        <w:t>Hypophosphataemia</w:t>
      </w:r>
      <w:proofErr w:type="spellEnd"/>
    </w:p>
    <w:p w14:paraId="365CDDC7" w14:textId="77777777" w:rsidR="003D63AD" w:rsidRDefault="003D63AD" w:rsidP="003D63AD">
      <w:pPr>
        <w:pStyle w:val="ListParagraph"/>
        <w:numPr>
          <w:ilvl w:val="0"/>
          <w:numId w:val="31"/>
        </w:numPr>
      </w:pPr>
      <w:r>
        <w:t>Hypoalbuminemia</w:t>
      </w:r>
    </w:p>
    <w:p w14:paraId="23B4F6EF" w14:textId="77777777" w:rsidR="003D63AD" w:rsidRDefault="003D63AD" w:rsidP="003D63AD">
      <w:pPr>
        <w:pStyle w:val="ListParagraph"/>
        <w:numPr>
          <w:ilvl w:val="0"/>
          <w:numId w:val="31"/>
        </w:numPr>
      </w:pPr>
      <w:r>
        <w:t xml:space="preserve">Vitamin D deficiency </w:t>
      </w:r>
    </w:p>
    <w:p w14:paraId="7071E7EB" w14:textId="77777777" w:rsidR="003D63AD" w:rsidRDefault="003D63AD" w:rsidP="003D63AD">
      <w:pPr>
        <w:pStyle w:val="ListParagraph"/>
        <w:numPr>
          <w:ilvl w:val="0"/>
          <w:numId w:val="31"/>
        </w:numPr>
      </w:pPr>
      <w:r>
        <w:t>Chronic Kidney disease</w:t>
      </w:r>
    </w:p>
    <w:p w14:paraId="5CDB0BF2" w14:textId="77777777" w:rsidR="003D63AD" w:rsidRPr="004C6C91" w:rsidRDefault="003D63AD" w:rsidP="003D63AD">
      <w:pPr>
        <w:pStyle w:val="Heading2"/>
      </w:pPr>
      <w:bookmarkStart w:id="1" w:name="_Hlk534627309"/>
      <w:r w:rsidRPr="004C6C91">
        <w:t xml:space="preserve">Presenting symptoms and signs </w:t>
      </w:r>
    </w:p>
    <w:bookmarkEnd w:id="1"/>
    <w:p w14:paraId="5A661A34" w14:textId="4F152AFE" w:rsidR="003D63AD" w:rsidRDefault="003D63AD" w:rsidP="003D63AD">
      <w:pPr>
        <w:pStyle w:val="ListParagraph"/>
        <w:numPr>
          <w:ilvl w:val="0"/>
          <w:numId w:val="30"/>
        </w:numPr>
      </w:pPr>
      <w:r>
        <w:t xml:space="preserve">Perioral or finger </w:t>
      </w:r>
      <w:proofErr w:type="spellStart"/>
      <w:r>
        <w:t>paraesthesiae</w:t>
      </w:r>
      <w:proofErr w:type="spellEnd"/>
      <w:r>
        <w:t xml:space="preserve"> </w:t>
      </w:r>
    </w:p>
    <w:p w14:paraId="1A082E2F" w14:textId="7A1F24EB" w:rsidR="003D63AD" w:rsidRDefault="003D63AD" w:rsidP="003D63AD">
      <w:pPr>
        <w:pStyle w:val="ListParagraph"/>
        <w:numPr>
          <w:ilvl w:val="0"/>
          <w:numId w:val="30"/>
        </w:numPr>
      </w:pPr>
      <w:r>
        <w:t xml:space="preserve">Tetany evidenced by the presence of:  </w:t>
      </w:r>
    </w:p>
    <w:p w14:paraId="46E08D20" w14:textId="77777777" w:rsidR="003D63AD" w:rsidRDefault="003D63AD" w:rsidP="003D63AD">
      <w:pPr>
        <w:pStyle w:val="ListParagraph"/>
        <w:numPr>
          <w:ilvl w:val="1"/>
          <w:numId w:val="30"/>
        </w:numPr>
      </w:pPr>
      <w:r>
        <w:t xml:space="preserve">Chvostek </w:t>
      </w:r>
      <w:proofErr w:type="gramStart"/>
      <w:r>
        <w:t>sign :T</w:t>
      </w:r>
      <w:r w:rsidRPr="005A7BEE">
        <w:t>witching</w:t>
      </w:r>
      <w:proofErr w:type="gramEnd"/>
      <w:r w:rsidRPr="005A7BEE">
        <w:t xml:space="preserve"> of facial muscles in response to tapping over the area of the facial nerve</w:t>
      </w:r>
    </w:p>
    <w:p w14:paraId="2F92EC7A" w14:textId="77777777" w:rsidR="003D63AD" w:rsidRDefault="003D63AD" w:rsidP="003D63AD">
      <w:pPr>
        <w:pStyle w:val="ListParagraph"/>
        <w:numPr>
          <w:ilvl w:val="1"/>
          <w:numId w:val="30"/>
        </w:numPr>
      </w:pPr>
      <w:r>
        <w:t>Trousseau’s sign:</w:t>
      </w:r>
      <w:r w:rsidRPr="005A7BEE">
        <w:t xml:space="preserve"> carpopedal spasm that results from ischemia, such as that induced by pressure applied to the upper arm from an inflated sphygmomanometer cuff</w:t>
      </w:r>
    </w:p>
    <w:p w14:paraId="3286D4B8" w14:textId="77777777" w:rsidR="003D63AD" w:rsidRDefault="003D63AD" w:rsidP="003D63AD">
      <w:pPr>
        <w:pStyle w:val="ListParagraph"/>
        <w:numPr>
          <w:ilvl w:val="0"/>
          <w:numId w:val="30"/>
        </w:numPr>
      </w:pPr>
      <w:r>
        <w:t xml:space="preserve">Seizures </w:t>
      </w:r>
    </w:p>
    <w:p w14:paraId="799B6CDC" w14:textId="77777777" w:rsidR="003D63AD" w:rsidRPr="00873AFB" w:rsidRDefault="003D63AD" w:rsidP="003D63AD">
      <w:pPr>
        <w:pStyle w:val="Heading2"/>
      </w:pPr>
      <w:r w:rsidRPr="00873AFB">
        <w:t xml:space="preserve">Management </w:t>
      </w:r>
    </w:p>
    <w:p w14:paraId="5AAC21D7" w14:textId="2ECD3C56" w:rsidR="003D63AD" w:rsidRDefault="003D63AD" w:rsidP="003D63AD">
      <w:r>
        <w:t xml:space="preserve">For mild to moderate </w:t>
      </w:r>
      <w:proofErr w:type="spellStart"/>
      <w:r>
        <w:t>hypocalcaemia</w:t>
      </w:r>
      <w:proofErr w:type="spellEnd"/>
      <w:r>
        <w:t xml:space="preserve"> </w:t>
      </w:r>
      <w:proofErr w:type="gramStart"/>
      <w:r>
        <w:t>and  in</w:t>
      </w:r>
      <w:proofErr w:type="gramEnd"/>
      <w:r>
        <w:t xml:space="preserve"> chronic </w:t>
      </w:r>
      <w:proofErr w:type="spellStart"/>
      <w:r>
        <w:t>hypocalcaemia</w:t>
      </w:r>
      <w:proofErr w:type="spellEnd"/>
      <w:r>
        <w:t xml:space="preserve"> , oral therapy with effervescent or non-effervescent calcium carbonate tablets at 1000-1500 mg OD or BD should be prescribed with food. </w:t>
      </w:r>
    </w:p>
    <w:p w14:paraId="189B20EE" w14:textId="0F4A41DC" w:rsidR="003D63AD" w:rsidRDefault="003D63AD" w:rsidP="003D63AD">
      <w:r>
        <w:t xml:space="preserve">Severe and symptomatic </w:t>
      </w:r>
      <w:proofErr w:type="spellStart"/>
      <w:r>
        <w:t>hypocalcaemia</w:t>
      </w:r>
      <w:proofErr w:type="spellEnd"/>
      <w:r>
        <w:t xml:space="preserve"> is treated </w:t>
      </w:r>
      <w:proofErr w:type="gramStart"/>
      <w:r>
        <w:t>with  intravenous</w:t>
      </w:r>
      <w:proofErr w:type="gramEnd"/>
      <w:r>
        <w:t xml:space="preserve"> calcium gluconate infusion. IV 10% Calcium gluconate 20 </w:t>
      </w:r>
      <w:proofErr w:type="spellStart"/>
      <w:r>
        <w:t>mls</w:t>
      </w:r>
      <w:proofErr w:type="spellEnd"/>
      <w:r>
        <w:t xml:space="preserve"> in 100ml of 0.9% saline infusion over 20 minutes. Then 100 ml of 10% calcium gluconate in 900 ml of 0.9% saline infusion at 50 ml/</w:t>
      </w:r>
      <w:proofErr w:type="spellStart"/>
      <w:r>
        <w:t>hr</w:t>
      </w:r>
      <w:proofErr w:type="spellEnd"/>
      <w:r>
        <w:t xml:space="preserve"> over the next 24 hours. Check serum calcium every 4 hours.</w:t>
      </w:r>
    </w:p>
    <w:p w14:paraId="642D38A4" w14:textId="7C0117D7" w:rsidR="003D63AD" w:rsidRDefault="003D63AD" w:rsidP="003D63AD">
      <w:r>
        <w:t xml:space="preserve">Treat underlying condition. </w:t>
      </w:r>
    </w:p>
    <w:p w14:paraId="37D60054" w14:textId="77777777" w:rsidR="003D63AD" w:rsidRDefault="003D63AD">
      <w:pPr>
        <w:spacing w:after="0"/>
        <w:outlineLvl w:val="9"/>
        <w:rPr>
          <w:rFonts w:cs="Times New Roman"/>
          <w:b/>
          <w:sz w:val="28"/>
          <w:szCs w:val="36"/>
        </w:rPr>
      </w:pPr>
      <w:r>
        <w:br w:type="page"/>
      </w:r>
    </w:p>
    <w:p w14:paraId="35E2C6FE" w14:textId="7CB145F7" w:rsidR="003D63AD" w:rsidRDefault="003D63AD" w:rsidP="003D63AD">
      <w:pPr>
        <w:pStyle w:val="Heading1"/>
      </w:pPr>
      <w:proofErr w:type="spellStart"/>
      <w:r w:rsidRPr="00873AFB">
        <w:lastRenderedPageBreak/>
        <w:t>Hypercalcaemia</w:t>
      </w:r>
      <w:proofErr w:type="spellEnd"/>
      <w:r w:rsidRPr="00873AFB">
        <w:t xml:space="preserve"> </w:t>
      </w:r>
    </w:p>
    <w:p w14:paraId="57F8C8D3" w14:textId="4003AB95" w:rsidR="003D63AD" w:rsidRDefault="003D63AD" w:rsidP="003D63AD">
      <w:pPr>
        <w:rPr>
          <w:szCs w:val="22"/>
        </w:rPr>
      </w:pPr>
      <w:proofErr w:type="gramStart"/>
      <w:r w:rsidRPr="00873AFB">
        <w:rPr>
          <w:szCs w:val="22"/>
        </w:rPr>
        <w:t xml:space="preserve">This </w:t>
      </w:r>
      <w:r>
        <w:rPr>
          <w:szCs w:val="22"/>
        </w:rPr>
        <w:t xml:space="preserve"> is</w:t>
      </w:r>
      <w:proofErr w:type="gramEnd"/>
      <w:r>
        <w:rPr>
          <w:szCs w:val="22"/>
        </w:rPr>
        <w:t xml:space="preserve"> </w:t>
      </w:r>
      <w:r w:rsidRPr="00873AFB">
        <w:rPr>
          <w:szCs w:val="22"/>
        </w:rPr>
        <w:t xml:space="preserve">defined as </w:t>
      </w:r>
      <w:r>
        <w:rPr>
          <w:szCs w:val="22"/>
        </w:rPr>
        <w:t xml:space="preserve">corrected serum calcium &gt; 2.55 mmol/l. </w:t>
      </w:r>
      <w:r w:rsidRPr="00873AFB">
        <w:rPr>
          <w:szCs w:val="22"/>
        </w:rPr>
        <w:t>Mild</w:t>
      </w:r>
      <w:r>
        <w:rPr>
          <w:szCs w:val="22"/>
        </w:rPr>
        <w:t xml:space="preserve"> hypercalcemia is from </w:t>
      </w:r>
      <w:r w:rsidRPr="00873AFB">
        <w:rPr>
          <w:szCs w:val="22"/>
        </w:rPr>
        <w:t>2.5</w:t>
      </w:r>
      <w:r>
        <w:rPr>
          <w:szCs w:val="22"/>
        </w:rPr>
        <w:t>6-</w:t>
      </w:r>
      <w:r w:rsidRPr="00873AFB">
        <w:rPr>
          <w:szCs w:val="22"/>
        </w:rPr>
        <w:t>2.59</w:t>
      </w:r>
      <w:r>
        <w:rPr>
          <w:szCs w:val="22"/>
        </w:rPr>
        <w:t xml:space="preserve"> mmol/l, moderate is </w:t>
      </w:r>
      <w:r w:rsidRPr="00873AFB">
        <w:rPr>
          <w:szCs w:val="22"/>
        </w:rPr>
        <w:t>3.0-3.2</w:t>
      </w:r>
      <w:r w:rsidR="00C44E46">
        <w:rPr>
          <w:szCs w:val="22"/>
        </w:rPr>
        <w:t xml:space="preserve"> </w:t>
      </w:r>
      <w:r>
        <w:rPr>
          <w:szCs w:val="22"/>
        </w:rPr>
        <w:t>mmol/l</w:t>
      </w:r>
      <w:r w:rsidRPr="00873AFB">
        <w:rPr>
          <w:szCs w:val="22"/>
        </w:rPr>
        <w:t>,</w:t>
      </w:r>
      <w:r>
        <w:rPr>
          <w:szCs w:val="22"/>
        </w:rPr>
        <w:t xml:space="preserve"> while s</w:t>
      </w:r>
      <w:r w:rsidRPr="00873AFB">
        <w:rPr>
          <w:szCs w:val="22"/>
        </w:rPr>
        <w:t>evere</w:t>
      </w:r>
      <w:r>
        <w:rPr>
          <w:szCs w:val="22"/>
        </w:rPr>
        <w:t xml:space="preserve"> is </w:t>
      </w:r>
      <w:r w:rsidRPr="00873AFB">
        <w:rPr>
          <w:szCs w:val="22"/>
        </w:rPr>
        <w:t>&gt;</w:t>
      </w:r>
      <w:r>
        <w:rPr>
          <w:szCs w:val="22"/>
        </w:rPr>
        <w:t xml:space="preserve"> </w:t>
      </w:r>
      <w:r w:rsidRPr="00873AFB">
        <w:rPr>
          <w:szCs w:val="22"/>
        </w:rPr>
        <w:t>3.2</w:t>
      </w:r>
      <w:r>
        <w:rPr>
          <w:szCs w:val="22"/>
        </w:rPr>
        <w:t xml:space="preserve"> mmol/l. </w:t>
      </w:r>
      <w:proofErr w:type="spellStart"/>
      <w:r>
        <w:rPr>
          <w:szCs w:val="22"/>
        </w:rPr>
        <w:t>Hypercalcaemia</w:t>
      </w:r>
      <w:proofErr w:type="spellEnd"/>
      <w:r>
        <w:rPr>
          <w:szCs w:val="22"/>
        </w:rPr>
        <w:t xml:space="preserve"> can result in nephrolithiasis as well as renal failure.</w:t>
      </w:r>
    </w:p>
    <w:p w14:paraId="7E3D3C96" w14:textId="77777777" w:rsidR="003D63AD" w:rsidRPr="004C6C91" w:rsidRDefault="003D63AD" w:rsidP="003D63AD">
      <w:pPr>
        <w:pStyle w:val="Heading2"/>
      </w:pPr>
      <w:r w:rsidRPr="004C6C91">
        <w:t>Causes</w:t>
      </w:r>
    </w:p>
    <w:p w14:paraId="0E4A42F4" w14:textId="52DE689D" w:rsidR="003D63AD" w:rsidRPr="002507ED" w:rsidRDefault="003D63AD" w:rsidP="003D63AD">
      <w:pPr>
        <w:pStyle w:val="ListParagraph"/>
        <w:numPr>
          <w:ilvl w:val="0"/>
          <w:numId w:val="30"/>
        </w:numPr>
        <w:rPr>
          <w:szCs w:val="22"/>
        </w:rPr>
      </w:pPr>
      <w:r w:rsidRPr="002507ED">
        <w:rPr>
          <w:szCs w:val="22"/>
        </w:rPr>
        <w:t xml:space="preserve">Hyperparathyroidism </w:t>
      </w:r>
    </w:p>
    <w:p w14:paraId="51F732E0" w14:textId="39602175" w:rsidR="003D63AD" w:rsidRPr="002507ED" w:rsidRDefault="003D63AD" w:rsidP="003D63AD">
      <w:pPr>
        <w:pStyle w:val="ListParagraph"/>
        <w:numPr>
          <w:ilvl w:val="0"/>
          <w:numId w:val="30"/>
        </w:numPr>
        <w:rPr>
          <w:szCs w:val="22"/>
        </w:rPr>
      </w:pPr>
      <w:r w:rsidRPr="002507ED">
        <w:rPr>
          <w:szCs w:val="22"/>
        </w:rPr>
        <w:t>Sarcoidosis</w:t>
      </w:r>
    </w:p>
    <w:p w14:paraId="1367A9F9" w14:textId="77777777" w:rsidR="003D63AD" w:rsidRDefault="003D63AD" w:rsidP="003D63AD">
      <w:pPr>
        <w:pStyle w:val="ListParagraph"/>
        <w:numPr>
          <w:ilvl w:val="0"/>
          <w:numId w:val="30"/>
        </w:numPr>
        <w:rPr>
          <w:szCs w:val="22"/>
        </w:rPr>
      </w:pPr>
      <w:r w:rsidRPr="002507ED">
        <w:rPr>
          <w:szCs w:val="22"/>
        </w:rPr>
        <w:t>Malignancies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e.g</w:t>
      </w:r>
      <w:proofErr w:type="spellEnd"/>
      <w:r>
        <w:rPr>
          <w:szCs w:val="22"/>
        </w:rPr>
        <w:t xml:space="preserve"> multiple myeloma</w:t>
      </w:r>
    </w:p>
    <w:p w14:paraId="0AF06CD5" w14:textId="77777777" w:rsidR="003D63AD" w:rsidRDefault="003D63AD" w:rsidP="003D63AD">
      <w:pPr>
        <w:pStyle w:val="ListParagraph"/>
        <w:numPr>
          <w:ilvl w:val="0"/>
          <w:numId w:val="30"/>
        </w:numPr>
        <w:rPr>
          <w:szCs w:val="22"/>
        </w:rPr>
      </w:pPr>
      <w:r>
        <w:rPr>
          <w:szCs w:val="22"/>
        </w:rPr>
        <w:t>Hypervitaminosis D</w:t>
      </w:r>
    </w:p>
    <w:p w14:paraId="448BE3C5" w14:textId="77777777" w:rsidR="003D63AD" w:rsidRDefault="003D63AD" w:rsidP="003D63AD">
      <w:pPr>
        <w:pStyle w:val="ListParagraph"/>
        <w:numPr>
          <w:ilvl w:val="0"/>
          <w:numId w:val="30"/>
        </w:numPr>
        <w:rPr>
          <w:szCs w:val="22"/>
        </w:rPr>
      </w:pPr>
      <w:r>
        <w:rPr>
          <w:szCs w:val="22"/>
        </w:rPr>
        <w:t>Hyperthyroidism</w:t>
      </w:r>
    </w:p>
    <w:p w14:paraId="45ADE5D7" w14:textId="77777777" w:rsidR="003D63AD" w:rsidRDefault="003D63AD" w:rsidP="003D63AD">
      <w:pPr>
        <w:pStyle w:val="Heading2"/>
      </w:pPr>
      <w:bookmarkStart w:id="2" w:name="_Hlk534628665"/>
      <w:r w:rsidRPr="004C6C91">
        <w:t>Presenting symptoms and signs</w:t>
      </w:r>
    </w:p>
    <w:bookmarkEnd w:id="2"/>
    <w:p w14:paraId="3B574AD0" w14:textId="77777777" w:rsidR="003D63AD" w:rsidRPr="004C6C91" w:rsidRDefault="003D63AD" w:rsidP="003D63AD">
      <w:pPr>
        <w:rPr>
          <w:szCs w:val="22"/>
        </w:rPr>
      </w:pPr>
      <w:r w:rsidRPr="004C6C91">
        <w:rPr>
          <w:szCs w:val="22"/>
        </w:rPr>
        <w:t>These occur as hypercalcemia becomes more severe</w:t>
      </w:r>
      <w:r>
        <w:rPr>
          <w:szCs w:val="22"/>
        </w:rPr>
        <w:t>.</w:t>
      </w:r>
    </w:p>
    <w:p w14:paraId="1EDDE202" w14:textId="77777777" w:rsidR="003D63AD" w:rsidRPr="008F1700" w:rsidRDefault="003D63AD" w:rsidP="003D63AD">
      <w:pPr>
        <w:pStyle w:val="ListParagraph"/>
        <w:numPr>
          <w:ilvl w:val="0"/>
          <w:numId w:val="34"/>
        </w:numPr>
        <w:rPr>
          <w:szCs w:val="22"/>
        </w:rPr>
      </w:pPr>
      <w:r w:rsidRPr="008F1700">
        <w:rPr>
          <w:szCs w:val="22"/>
        </w:rPr>
        <w:t>Lethargy</w:t>
      </w:r>
    </w:p>
    <w:p w14:paraId="41343567" w14:textId="77777777" w:rsidR="003D63AD" w:rsidRPr="004C6C91" w:rsidRDefault="003D63AD" w:rsidP="003D63AD">
      <w:pPr>
        <w:pStyle w:val="ListParagraph"/>
        <w:numPr>
          <w:ilvl w:val="0"/>
          <w:numId w:val="33"/>
        </w:numPr>
        <w:rPr>
          <w:szCs w:val="22"/>
        </w:rPr>
      </w:pPr>
      <w:r w:rsidRPr="004C6C91">
        <w:rPr>
          <w:szCs w:val="22"/>
        </w:rPr>
        <w:t>Weakness</w:t>
      </w:r>
    </w:p>
    <w:p w14:paraId="0AF17F9F" w14:textId="77777777" w:rsidR="003D63AD" w:rsidRPr="004C6C91" w:rsidRDefault="003D63AD" w:rsidP="003D63AD">
      <w:pPr>
        <w:pStyle w:val="ListParagraph"/>
        <w:numPr>
          <w:ilvl w:val="0"/>
          <w:numId w:val="33"/>
        </w:numPr>
        <w:rPr>
          <w:szCs w:val="22"/>
        </w:rPr>
      </w:pPr>
      <w:r w:rsidRPr="004C6C91">
        <w:rPr>
          <w:szCs w:val="22"/>
        </w:rPr>
        <w:t>Confusion</w:t>
      </w:r>
    </w:p>
    <w:p w14:paraId="6DB9AA03" w14:textId="77777777" w:rsidR="003D63AD" w:rsidRPr="004C6C91" w:rsidRDefault="003D63AD" w:rsidP="003D63AD">
      <w:pPr>
        <w:pStyle w:val="ListParagraph"/>
        <w:numPr>
          <w:ilvl w:val="0"/>
          <w:numId w:val="33"/>
        </w:numPr>
        <w:rPr>
          <w:szCs w:val="22"/>
        </w:rPr>
      </w:pPr>
      <w:r w:rsidRPr="004C6C91">
        <w:rPr>
          <w:szCs w:val="22"/>
        </w:rPr>
        <w:t>Coma</w:t>
      </w:r>
    </w:p>
    <w:p w14:paraId="06BC1839" w14:textId="77777777" w:rsidR="003D63AD" w:rsidRPr="004C6C91" w:rsidRDefault="003D63AD" w:rsidP="003D63AD">
      <w:pPr>
        <w:pStyle w:val="ListParagraph"/>
        <w:numPr>
          <w:ilvl w:val="0"/>
          <w:numId w:val="33"/>
        </w:numPr>
        <w:rPr>
          <w:szCs w:val="22"/>
        </w:rPr>
      </w:pPr>
      <w:r w:rsidRPr="004C6C91">
        <w:rPr>
          <w:szCs w:val="22"/>
        </w:rPr>
        <w:t>Polyuria</w:t>
      </w:r>
    </w:p>
    <w:p w14:paraId="78FA022B" w14:textId="77777777" w:rsidR="003D63AD" w:rsidRPr="004C6C91" w:rsidRDefault="003D63AD" w:rsidP="003D63AD">
      <w:pPr>
        <w:pStyle w:val="ListParagraph"/>
        <w:numPr>
          <w:ilvl w:val="0"/>
          <w:numId w:val="33"/>
        </w:numPr>
        <w:rPr>
          <w:szCs w:val="22"/>
        </w:rPr>
      </w:pPr>
      <w:r w:rsidRPr="004C6C91">
        <w:rPr>
          <w:szCs w:val="22"/>
        </w:rPr>
        <w:t>Nocturia</w:t>
      </w:r>
    </w:p>
    <w:p w14:paraId="2A32260E" w14:textId="77777777" w:rsidR="003D63AD" w:rsidRPr="004C6C91" w:rsidRDefault="003D63AD" w:rsidP="003D63AD">
      <w:pPr>
        <w:pStyle w:val="ListParagraph"/>
        <w:numPr>
          <w:ilvl w:val="0"/>
          <w:numId w:val="32"/>
        </w:numPr>
        <w:rPr>
          <w:szCs w:val="22"/>
        </w:rPr>
      </w:pPr>
      <w:r w:rsidRPr="004C6C91">
        <w:rPr>
          <w:szCs w:val="22"/>
        </w:rPr>
        <w:t>Dehydration</w:t>
      </w:r>
    </w:p>
    <w:p w14:paraId="60EAB96E" w14:textId="77777777" w:rsidR="003D63AD" w:rsidRPr="004C6C91" w:rsidRDefault="003D63AD" w:rsidP="003D63AD">
      <w:pPr>
        <w:pStyle w:val="ListParagraph"/>
        <w:numPr>
          <w:ilvl w:val="0"/>
          <w:numId w:val="32"/>
        </w:numPr>
        <w:rPr>
          <w:szCs w:val="22"/>
        </w:rPr>
      </w:pPr>
      <w:r w:rsidRPr="004C6C91">
        <w:rPr>
          <w:szCs w:val="22"/>
        </w:rPr>
        <w:t>Constipation</w:t>
      </w:r>
    </w:p>
    <w:p w14:paraId="27D8A2B4" w14:textId="77777777" w:rsidR="003D63AD" w:rsidRPr="004C6C91" w:rsidRDefault="003D63AD" w:rsidP="003D63AD">
      <w:pPr>
        <w:pStyle w:val="ListParagraph"/>
        <w:numPr>
          <w:ilvl w:val="0"/>
          <w:numId w:val="32"/>
        </w:numPr>
        <w:rPr>
          <w:szCs w:val="22"/>
        </w:rPr>
      </w:pPr>
      <w:r w:rsidRPr="004C6C91">
        <w:rPr>
          <w:szCs w:val="22"/>
        </w:rPr>
        <w:t>Nausea</w:t>
      </w:r>
    </w:p>
    <w:p w14:paraId="3CE6A2E4" w14:textId="77777777" w:rsidR="003D63AD" w:rsidRPr="004C6C91" w:rsidRDefault="003D63AD" w:rsidP="003D63AD">
      <w:pPr>
        <w:pStyle w:val="ListParagraph"/>
        <w:numPr>
          <w:ilvl w:val="0"/>
          <w:numId w:val="32"/>
        </w:numPr>
        <w:rPr>
          <w:szCs w:val="22"/>
        </w:rPr>
      </w:pPr>
      <w:r w:rsidRPr="004C6C91">
        <w:rPr>
          <w:szCs w:val="22"/>
        </w:rPr>
        <w:t>Anorexia</w:t>
      </w:r>
    </w:p>
    <w:p w14:paraId="7703D3F3" w14:textId="77777777" w:rsidR="003D63AD" w:rsidRPr="004C6C91" w:rsidRDefault="003D63AD" w:rsidP="003D63AD">
      <w:pPr>
        <w:pStyle w:val="ListParagraph"/>
        <w:numPr>
          <w:ilvl w:val="0"/>
          <w:numId w:val="32"/>
        </w:numPr>
        <w:rPr>
          <w:szCs w:val="22"/>
        </w:rPr>
      </w:pPr>
      <w:r w:rsidRPr="004C6C91">
        <w:rPr>
          <w:szCs w:val="22"/>
        </w:rPr>
        <w:t>Abdominal pains</w:t>
      </w:r>
    </w:p>
    <w:p w14:paraId="68E70A49" w14:textId="77777777" w:rsidR="003D63AD" w:rsidRPr="005845B9" w:rsidRDefault="003D63AD" w:rsidP="003D63AD">
      <w:pPr>
        <w:pStyle w:val="Heading2"/>
      </w:pPr>
      <w:r w:rsidRPr="005845B9">
        <w:t xml:space="preserve">Management </w:t>
      </w:r>
    </w:p>
    <w:p w14:paraId="028279DA" w14:textId="1ECA6723" w:rsidR="003D63AD" w:rsidRDefault="003D63AD" w:rsidP="003D63AD">
      <w:pPr>
        <w:rPr>
          <w:szCs w:val="22"/>
        </w:rPr>
      </w:pPr>
      <w:r>
        <w:rPr>
          <w:szCs w:val="22"/>
        </w:rPr>
        <w:t xml:space="preserve">Severe </w:t>
      </w:r>
      <w:proofErr w:type="spellStart"/>
      <w:r>
        <w:rPr>
          <w:szCs w:val="22"/>
        </w:rPr>
        <w:t>hypercalcaemia</w:t>
      </w:r>
      <w:proofErr w:type="spellEnd"/>
      <w:r>
        <w:rPr>
          <w:szCs w:val="22"/>
        </w:rPr>
        <w:t xml:space="preserve"> is a medical emergency and is corrected by rehydration with 0.9% saline at 60 ml/</w:t>
      </w:r>
      <w:proofErr w:type="spellStart"/>
      <w:proofErr w:type="gramStart"/>
      <w:r>
        <w:rPr>
          <w:szCs w:val="22"/>
        </w:rPr>
        <w:t>hr</w:t>
      </w:r>
      <w:proofErr w:type="spellEnd"/>
      <w:r>
        <w:rPr>
          <w:szCs w:val="22"/>
        </w:rPr>
        <w:t xml:space="preserve">  to</w:t>
      </w:r>
      <w:proofErr w:type="gramEnd"/>
      <w:r>
        <w:rPr>
          <w:szCs w:val="22"/>
        </w:rPr>
        <w:t xml:space="preserve"> as high as 200-300 ml/hr. </w:t>
      </w:r>
    </w:p>
    <w:p w14:paraId="62893FD0" w14:textId="0904A5FE" w:rsidR="003D63AD" w:rsidRDefault="003D63AD" w:rsidP="003D63AD">
      <w:pPr>
        <w:rPr>
          <w:szCs w:val="22"/>
        </w:rPr>
      </w:pPr>
      <w:proofErr w:type="spellStart"/>
      <w:r>
        <w:rPr>
          <w:szCs w:val="22"/>
        </w:rPr>
        <w:t>Bisphophonate</w:t>
      </w:r>
      <w:proofErr w:type="spellEnd"/>
      <w:r>
        <w:rPr>
          <w:szCs w:val="22"/>
        </w:rPr>
        <w:t xml:space="preserve"> therapy is required for severe </w:t>
      </w:r>
      <w:proofErr w:type="spellStart"/>
      <w:r>
        <w:rPr>
          <w:szCs w:val="22"/>
        </w:rPr>
        <w:t>hypercalcaemia</w:t>
      </w:r>
      <w:proofErr w:type="spellEnd"/>
      <w:r>
        <w:rPr>
          <w:szCs w:val="22"/>
        </w:rPr>
        <w:t>. If the patient cannot afford this, then furosemide can be added to the treatment, but this may not be very effective.</w:t>
      </w:r>
    </w:p>
    <w:p w14:paraId="4662016E" w14:textId="77777777" w:rsidR="003D63AD" w:rsidRDefault="003D63AD" w:rsidP="003D63AD">
      <w:pPr>
        <w:rPr>
          <w:szCs w:val="22"/>
        </w:rPr>
      </w:pPr>
      <w:r>
        <w:rPr>
          <w:szCs w:val="22"/>
        </w:rPr>
        <w:t xml:space="preserve">Dialysis may be necessary. </w:t>
      </w:r>
    </w:p>
    <w:p w14:paraId="7B608AA8" w14:textId="23F4708F" w:rsidR="00F03F25" w:rsidRPr="00F03F25" w:rsidRDefault="003D63AD" w:rsidP="00F03F25">
      <w:pPr>
        <w:rPr>
          <w:szCs w:val="22"/>
        </w:rPr>
      </w:pPr>
      <w:r>
        <w:rPr>
          <w:szCs w:val="22"/>
        </w:rPr>
        <w:t xml:space="preserve">For mild to moderate </w:t>
      </w:r>
      <w:proofErr w:type="spellStart"/>
      <w:r>
        <w:rPr>
          <w:szCs w:val="22"/>
        </w:rPr>
        <w:t>hypercalcaemia</w:t>
      </w:r>
      <w:proofErr w:type="spellEnd"/>
      <w:r>
        <w:rPr>
          <w:szCs w:val="22"/>
        </w:rPr>
        <w:t>, dietary restriction and increased oral fluid intake is appropriate treatment.</w:t>
      </w:r>
    </w:p>
    <w:p w14:paraId="41B442CC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Key Issues for Nursing care</w:t>
      </w:r>
    </w:p>
    <w:p w14:paraId="53048E82" w14:textId="77777777" w:rsidR="00C44E46" w:rsidRDefault="00C44E46" w:rsidP="00C44E46">
      <w:pPr>
        <w:pStyle w:val="ListParagraph"/>
        <w:numPr>
          <w:ilvl w:val="0"/>
          <w:numId w:val="36"/>
        </w:numPr>
      </w:pPr>
      <w:r>
        <w:t xml:space="preserve">Follow the fluid instructions very carefully. </w:t>
      </w:r>
    </w:p>
    <w:p w14:paraId="70DBE5E5" w14:textId="77777777" w:rsidR="00C44E46" w:rsidRDefault="00C44E46" w:rsidP="00C44E46">
      <w:pPr>
        <w:pStyle w:val="ListParagraph"/>
        <w:numPr>
          <w:ilvl w:val="0"/>
          <w:numId w:val="36"/>
        </w:numPr>
      </w:pPr>
      <w:r>
        <w:t xml:space="preserve">Make sure repeat tests are done on time and are reviewed by a doctor promptly. </w:t>
      </w:r>
    </w:p>
    <w:p w14:paraId="3F0F65C6" w14:textId="10BECB3C" w:rsidR="00C44E46" w:rsidRPr="007B69A0" w:rsidRDefault="00C44E46" w:rsidP="00C44E46">
      <w:pPr>
        <w:pStyle w:val="ListParagraph"/>
        <w:numPr>
          <w:ilvl w:val="0"/>
          <w:numId w:val="36"/>
        </w:numPr>
      </w:pPr>
      <w:r>
        <w:t>All patients with abnormal Ca levels should have strict monitoring of fluid input and output.</w:t>
      </w:r>
    </w:p>
    <w:p w14:paraId="6841D134" w14:textId="77777777" w:rsidR="00C44E46" w:rsidRDefault="00C44E46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53044501" w14:textId="095A4CD2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018D59A2" w14:textId="77777777" w:rsidR="00BF3C77" w:rsidRDefault="00BF3C77" w:rsidP="00BF3C77">
      <w:pPr>
        <w:rPr>
          <w:sz w:val="20"/>
          <w:szCs w:val="20"/>
        </w:rPr>
      </w:pPr>
      <w:proofErr w:type="spellStart"/>
      <w:r w:rsidRPr="000A0D85">
        <w:rPr>
          <w:sz w:val="20"/>
          <w:szCs w:val="20"/>
        </w:rPr>
        <w:t>Bartel</w:t>
      </w:r>
      <w:proofErr w:type="spellEnd"/>
      <w:r w:rsidRPr="000A0D85">
        <w:rPr>
          <w:sz w:val="20"/>
          <w:szCs w:val="20"/>
        </w:rPr>
        <w:t xml:space="preserve"> B, </w:t>
      </w:r>
      <w:proofErr w:type="spellStart"/>
      <w:r w:rsidRPr="000A0D85">
        <w:rPr>
          <w:sz w:val="20"/>
          <w:szCs w:val="20"/>
        </w:rPr>
        <w:t>Gau</w:t>
      </w:r>
      <w:proofErr w:type="spellEnd"/>
      <w:r w:rsidRPr="000A0D85">
        <w:rPr>
          <w:sz w:val="20"/>
          <w:szCs w:val="20"/>
        </w:rPr>
        <w:t xml:space="preserve"> E. Fluid and Electrolyte Management. Critical Care Pharmacotherapeutics. Burlington, MA: Jones &amp; Bartlett Learning. 2012 Feb 8:125-50</w:t>
      </w:r>
      <w:r>
        <w:rPr>
          <w:sz w:val="20"/>
          <w:szCs w:val="20"/>
        </w:rPr>
        <w:t>.</w:t>
      </w:r>
    </w:p>
    <w:p w14:paraId="26B4467D" w14:textId="77777777" w:rsidR="00BF3C77" w:rsidRDefault="00BF3C77" w:rsidP="00BF3C77">
      <w:pPr>
        <w:rPr>
          <w:sz w:val="20"/>
          <w:szCs w:val="20"/>
        </w:rPr>
      </w:pPr>
      <w:r w:rsidRPr="000A0D85">
        <w:rPr>
          <w:sz w:val="20"/>
          <w:szCs w:val="20"/>
        </w:rPr>
        <w:t xml:space="preserve">Hoorn EJ, </w:t>
      </w:r>
      <w:proofErr w:type="spellStart"/>
      <w:r w:rsidRPr="000A0D85">
        <w:rPr>
          <w:sz w:val="20"/>
          <w:szCs w:val="20"/>
        </w:rPr>
        <w:t>Tuut</w:t>
      </w:r>
      <w:proofErr w:type="spellEnd"/>
      <w:r w:rsidRPr="000A0D85">
        <w:rPr>
          <w:sz w:val="20"/>
          <w:szCs w:val="20"/>
        </w:rPr>
        <w:t xml:space="preserve"> MK, </w:t>
      </w:r>
      <w:proofErr w:type="spellStart"/>
      <w:r w:rsidRPr="000A0D85">
        <w:rPr>
          <w:sz w:val="20"/>
          <w:szCs w:val="20"/>
        </w:rPr>
        <w:t>Hoorntje</w:t>
      </w:r>
      <w:proofErr w:type="spellEnd"/>
      <w:r w:rsidRPr="000A0D85">
        <w:rPr>
          <w:sz w:val="20"/>
          <w:szCs w:val="20"/>
        </w:rPr>
        <w:t xml:space="preserve"> SJ, van </w:t>
      </w:r>
      <w:proofErr w:type="spellStart"/>
      <w:r w:rsidRPr="000A0D85">
        <w:rPr>
          <w:sz w:val="20"/>
          <w:szCs w:val="20"/>
        </w:rPr>
        <w:t>Saase</w:t>
      </w:r>
      <w:proofErr w:type="spellEnd"/>
      <w:r w:rsidRPr="000A0D85">
        <w:rPr>
          <w:sz w:val="20"/>
          <w:szCs w:val="20"/>
        </w:rPr>
        <w:t xml:space="preserve"> JL, </w:t>
      </w:r>
      <w:proofErr w:type="spellStart"/>
      <w:r w:rsidRPr="000A0D85">
        <w:rPr>
          <w:sz w:val="20"/>
          <w:szCs w:val="20"/>
        </w:rPr>
        <w:t>Zietse</w:t>
      </w:r>
      <w:proofErr w:type="spellEnd"/>
      <w:r w:rsidRPr="000A0D85">
        <w:rPr>
          <w:sz w:val="20"/>
          <w:szCs w:val="20"/>
        </w:rPr>
        <w:t xml:space="preserve"> R, </w:t>
      </w:r>
      <w:proofErr w:type="spellStart"/>
      <w:r w:rsidRPr="000A0D85">
        <w:rPr>
          <w:sz w:val="20"/>
          <w:szCs w:val="20"/>
        </w:rPr>
        <w:t>Geers</w:t>
      </w:r>
      <w:proofErr w:type="spellEnd"/>
      <w:r w:rsidRPr="000A0D85">
        <w:rPr>
          <w:sz w:val="20"/>
          <w:szCs w:val="20"/>
        </w:rPr>
        <w:t xml:space="preserve"> AB. Dutch guideline for the management of electrolyte disorders-2012 revision. </w:t>
      </w:r>
      <w:proofErr w:type="spellStart"/>
      <w:r w:rsidRPr="000A0D85">
        <w:rPr>
          <w:sz w:val="20"/>
          <w:szCs w:val="20"/>
        </w:rPr>
        <w:t>Neth</w:t>
      </w:r>
      <w:proofErr w:type="spellEnd"/>
      <w:r w:rsidRPr="000A0D85">
        <w:rPr>
          <w:sz w:val="20"/>
          <w:szCs w:val="20"/>
        </w:rPr>
        <w:t xml:space="preserve"> J Med. 2013 Apr 1;71(3):153-65.</w:t>
      </w:r>
    </w:p>
    <w:p w14:paraId="6D00EA72" w14:textId="77777777" w:rsidR="00BF3C77" w:rsidRPr="005638D0" w:rsidRDefault="00BF3C77" w:rsidP="00BF3C77">
      <w:pPr>
        <w:rPr>
          <w:sz w:val="20"/>
          <w:szCs w:val="20"/>
        </w:rPr>
      </w:pPr>
      <w:r w:rsidRPr="000A0D85">
        <w:rPr>
          <w:sz w:val="20"/>
          <w:szCs w:val="20"/>
        </w:rPr>
        <w:t xml:space="preserve">Kraft MD, </w:t>
      </w:r>
      <w:proofErr w:type="spellStart"/>
      <w:r w:rsidRPr="000A0D85">
        <w:rPr>
          <w:sz w:val="20"/>
          <w:szCs w:val="20"/>
        </w:rPr>
        <w:t>Btaiche</w:t>
      </w:r>
      <w:proofErr w:type="spellEnd"/>
      <w:r w:rsidRPr="000A0D85">
        <w:rPr>
          <w:sz w:val="20"/>
          <w:szCs w:val="20"/>
        </w:rPr>
        <w:t xml:space="preserve"> IF, Sacks GS, </w:t>
      </w:r>
      <w:proofErr w:type="spellStart"/>
      <w:r w:rsidRPr="000A0D85">
        <w:rPr>
          <w:sz w:val="20"/>
          <w:szCs w:val="20"/>
        </w:rPr>
        <w:t>Kudsk</w:t>
      </w:r>
      <w:proofErr w:type="spellEnd"/>
      <w:r w:rsidRPr="000A0D85">
        <w:rPr>
          <w:sz w:val="20"/>
          <w:szCs w:val="20"/>
        </w:rPr>
        <w:t xml:space="preserve"> KA. Treatment of electrolyte disorders in adult patients in the intensive care unit. American Journal of Health-System Pharmacy. 2005 Aug 15;62(16):1663-82</w:t>
      </w:r>
      <w:r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7A7118" w:rsidRPr="00515546" w14:paraId="31F9E3A5" w14:textId="77777777" w:rsidTr="00810C7B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692D474" w14:textId="77777777" w:rsidR="007A7118" w:rsidRPr="00515546" w:rsidRDefault="007A7118" w:rsidP="007A7118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9ED2E60" w14:textId="369B879C" w:rsidR="007A7118" w:rsidRPr="00515546" w:rsidRDefault="007A7118" w:rsidP="007A7118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Orighomisan Agboghoroma</w:t>
            </w:r>
          </w:p>
        </w:tc>
        <w:tc>
          <w:tcPr>
            <w:tcW w:w="2869" w:type="dxa"/>
            <w:shd w:val="clear" w:color="auto" w:fill="auto"/>
          </w:tcPr>
          <w:p w14:paraId="6B18D03F" w14:textId="0D3AE43F" w:rsidR="007A7118" w:rsidRPr="00515546" w:rsidRDefault="007A7118" w:rsidP="007A7118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>
              <w:rPr>
                <w:szCs w:val="22"/>
              </w:rPr>
              <w:t>07 January 2019</w:t>
            </w:r>
          </w:p>
        </w:tc>
      </w:tr>
      <w:tr w:rsidR="004C4442" w:rsidRPr="00515546" w14:paraId="33ED73D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A9EF400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F0393A5" w14:textId="1C9EA8A1" w:rsidR="004C4442" w:rsidRPr="00515546" w:rsidRDefault="007A7118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Karen Forrest</w:t>
            </w:r>
            <w:r w:rsidR="004C4442" w:rsidRPr="00515546">
              <w:rPr>
                <w:szCs w:val="22"/>
              </w:rPr>
              <w:t xml:space="preserve"> 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6743ED24" w14:textId="00038231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7A7118">
              <w:rPr>
                <w:szCs w:val="22"/>
              </w:rPr>
              <w:t>09 May 2019</w:t>
            </w:r>
          </w:p>
        </w:tc>
      </w:tr>
      <w:tr w:rsidR="004C4442" w:rsidRPr="00515546" w14:paraId="26B26F31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782D3CE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1045C9B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F6166D3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5D8B29C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66069AB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BC287CE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0E0DD00" w14:textId="1406859F" w:rsidR="004C4442" w:rsidRPr="00515546" w:rsidRDefault="006351D7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May 2021</w:t>
            </w:r>
          </w:p>
        </w:tc>
      </w:tr>
      <w:tr w:rsidR="005638D0" w:rsidRPr="00515546" w14:paraId="50BE7E8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ECFB7C0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1C91A84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5B0B04A8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37096859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9CCA3" w14:textId="77777777" w:rsidR="00126545" w:rsidRDefault="00126545" w:rsidP="00975A60">
      <w:pPr>
        <w:spacing w:after="0"/>
      </w:pPr>
      <w:r>
        <w:separator/>
      </w:r>
    </w:p>
  </w:endnote>
  <w:endnote w:type="continuationSeparator" w:id="0">
    <w:p w14:paraId="61F37B29" w14:textId="77777777" w:rsidR="00126545" w:rsidRDefault="00126545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5A613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90EC4A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7BE8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D970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D925C" w14:textId="77777777" w:rsidR="00126545" w:rsidRDefault="00126545" w:rsidP="00975A60">
      <w:pPr>
        <w:spacing w:after="0"/>
      </w:pPr>
      <w:r>
        <w:separator/>
      </w:r>
    </w:p>
  </w:footnote>
  <w:footnote w:type="continuationSeparator" w:id="0">
    <w:p w14:paraId="6FCCBC4F" w14:textId="77777777" w:rsidR="00126545" w:rsidRDefault="00126545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9FBBA" w14:textId="1A69E222" w:rsidR="00D13825" w:rsidRPr="00F87812" w:rsidRDefault="00D13825" w:rsidP="00D13825">
    <w:pPr>
      <w:pStyle w:val="Header"/>
    </w:pPr>
    <w:r w:rsidRPr="00F87812">
      <w:t>Identification code: MeG-CLS-</w:t>
    </w:r>
    <w:r w:rsidR="007A7118">
      <w:t>074</w:t>
    </w:r>
    <w:r w:rsidRPr="00F87812">
      <w:tab/>
    </w:r>
  </w:p>
  <w:p w14:paraId="474AB89B" w14:textId="5403D892" w:rsidR="005D1877" w:rsidRPr="0095050B" w:rsidRDefault="00D13825" w:rsidP="00D13825">
    <w:pPr>
      <w:pStyle w:val="Header"/>
    </w:pPr>
    <w:r w:rsidRPr="0095050B">
      <w:t xml:space="preserve">Version: 1.0 – </w:t>
    </w:r>
    <w:r w:rsidR="006351D7">
      <w:t>31 May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ECC67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0288" behindDoc="1" locked="0" layoutInCell="1" allowOverlap="1" wp14:anchorId="0BE71329" wp14:editId="3AD6CA16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45E9F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780F0221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72D19C4E" w14:textId="11B3D7AD" w:rsidR="00D13825" w:rsidRPr="00F87812" w:rsidRDefault="00D13825" w:rsidP="00D13825">
    <w:pPr>
      <w:pStyle w:val="Header"/>
    </w:pPr>
    <w:r w:rsidRPr="00F87812">
      <w:t>Identification code: MeG-CLS-</w:t>
    </w:r>
    <w:r w:rsidR="007A7118">
      <w:t>074</w:t>
    </w:r>
    <w:r w:rsidRPr="00F87812">
      <w:tab/>
    </w:r>
  </w:p>
  <w:p w14:paraId="6E6640F6" w14:textId="6A121044" w:rsidR="00D13825" w:rsidRPr="00F87812" w:rsidRDefault="00D13825" w:rsidP="00D13825">
    <w:pPr>
      <w:pStyle w:val="Header"/>
    </w:pPr>
    <w:r w:rsidRPr="00F87812">
      <w:t xml:space="preserve">Version: </w:t>
    </w:r>
    <w:r w:rsidRPr="0095050B">
      <w:t>1.0 –</w:t>
    </w:r>
    <w:r w:rsidR="006351D7">
      <w:t xml:space="preserve"> 31 May 2019</w:t>
    </w:r>
  </w:p>
  <w:p w14:paraId="63D71B78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45A3"/>
    <w:multiLevelType w:val="hybridMultilevel"/>
    <w:tmpl w:val="2FB0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06446"/>
    <w:multiLevelType w:val="hybridMultilevel"/>
    <w:tmpl w:val="A5809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7867"/>
    <w:multiLevelType w:val="hybridMultilevel"/>
    <w:tmpl w:val="A4FCD63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59F70D3"/>
    <w:multiLevelType w:val="hybridMultilevel"/>
    <w:tmpl w:val="60EEE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04BD4"/>
    <w:multiLevelType w:val="hybridMultilevel"/>
    <w:tmpl w:val="AE72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34355"/>
    <w:multiLevelType w:val="hybridMultilevel"/>
    <w:tmpl w:val="BE4E4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D4E37"/>
    <w:multiLevelType w:val="hybridMultilevel"/>
    <w:tmpl w:val="66D0AC3A"/>
    <w:lvl w:ilvl="0" w:tplc="A0FEB37C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D3C24"/>
    <w:multiLevelType w:val="hybridMultilevel"/>
    <w:tmpl w:val="E7BC9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18E53A5"/>
    <w:multiLevelType w:val="hybridMultilevel"/>
    <w:tmpl w:val="5ED22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A3FF0"/>
    <w:multiLevelType w:val="hybridMultilevel"/>
    <w:tmpl w:val="EFD69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E42C5"/>
    <w:multiLevelType w:val="hybridMultilevel"/>
    <w:tmpl w:val="832CA2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1"/>
  </w:num>
  <w:num w:numId="4">
    <w:abstractNumId w:val="1"/>
  </w:num>
  <w:num w:numId="5">
    <w:abstractNumId w:val="0"/>
  </w:num>
  <w:num w:numId="6">
    <w:abstractNumId w:val="5"/>
  </w:num>
  <w:num w:numId="7">
    <w:abstractNumId w:val="18"/>
  </w:num>
  <w:num w:numId="8">
    <w:abstractNumId w:val="2"/>
  </w:num>
  <w:num w:numId="9">
    <w:abstractNumId w:val="35"/>
  </w:num>
  <w:num w:numId="10">
    <w:abstractNumId w:val="3"/>
  </w:num>
  <w:num w:numId="11">
    <w:abstractNumId w:val="12"/>
  </w:num>
  <w:num w:numId="12">
    <w:abstractNumId w:val="25"/>
  </w:num>
  <w:num w:numId="13">
    <w:abstractNumId w:val="31"/>
  </w:num>
  <w:num w:numId="14">
    <w:abstractNumId w:val="29"/>
  </w:num>
  <w:num w:numId="15">
    <w:abstractNumId w:val="34"/>
  </w:num>
  <w:num w:numId="16">
    <w:abstractNumId w:val="14"/>
  </w:num>
  <w:num w:numId="17">
    <w:abstractNumId w:val="9"/>
  </w:num>
  <w:num w:numId="18">
    <w:abstractNumId w:val="30"/>
  </w:num>
  <w:num w:numId="19">
    <w:abstractNumId w:val="15"/>
  </w:num>
  <w:num w:numId="20">
    <w:abstractNumId w:val="33"/>
  </w:num>
  <w:num w:numId="21">
    <w:abstractNumId w:val="17"/>
  </w:num>
  <w:num w:numId="22">
    <w:abstractNumId w:val="10"/>
  </w:num>
  <w:num w:numId="23">
    <w:abstractNumId w:val="24"/>
  </w:num>
  <w:num w:numId="24">
    <w:abstractNumId w:val="27"/>
  </w:num>
  <w:num w:numId="25">
    <w:abstractNumId w:val="20"/>
  </w:num>
  <w:num w:numId="26">
    <w:abstractNumId w:val="13"/>
  </w:num>
  <w:num w:numId="27">
    <w:abstractNumId w:val="7"/>
  </w:num>
  <w:num w:numId="28">
    <w:abstractNumId w:val="32"/>
  </w:num>
  <w:num w:numId="29">
    <w:abstractNumId w:val="22"/>
  </w:num>
  <w:num w:numId="30">
    <w:abstractNumId w:val="4"/>
  </w:num>
  <w:num w:numId="31">
    <w:abstractNumId w:val="28"/>
  </w:num>
  <w:num w:numId="32">
    <w:abstractNumId w:val="21"/>
  </w:num>
  <w:num w:numId="33">
    <w:abstractNumId w:val="23"/>
  </w:num>
  <w:num w:numId="34">
    <w:abstractNumId w:val="19"/>
  </w:num>
  <w:num w:numId="35">
    <w:abstractNumId w:val="8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NzE1MDU0MzM0NjNR0lEKTi0uzszPAykwqQUAgSuQwCwAAAA="/>
  </w:docVars>
  <w:rsids>
    <w:rsidRoot w:val="003D63AD"/>
    <w:rsid w:val="000039D9"/>
    <w:rsid w:val="0007147C"/>
    <w:rsid w:val="00081642"/>
    <w:rsid w:val="000B10E5"/>
    <w:rsid w:val="00114AAF"/>
    <w:rsid w:val="001203AE"/>
    <w:rsid w:val="00126545"/>
    <w:rsid w:val="00175153"/>
    <w:rsid w:val="001C1450"/>
    <w:rsid w:val="00223920"/>
    <w:rsid w:val="00252A11"/>
    <w:rsid w:val="0029357D"/>
    <w:rsid w:val="002A2856"/>
    <w:rsid w:val="003020A2"/>
    <w:rsid w:val="003038D3"/>
    <w:rsid w:val="003225CD"/>
    <w:rsid w:val="003C0800"/>
    <w:rsid w:val="003D63AD"/>
    <w:rsid w:val="003F70CA"/>
    <w:rsid w:val="004A25F0"/>
    <w:rsid w:val="004A4C93"/>
    <w:rsid w:val="004C4442"/>
    <w:rsid w:val="005151D8"/>
    <w:rsid w:val="00515546"/>
    <w:rsid w:val="005638D0"/>
    <w:rsid w:val="00584E1E"/>
    <w:rsid w:val="005B166C"/>
    <w:rsid w:val="005D1877"/>
    <w:rsid w:val="00633320"/>
    <w:rsid w:val="006351D7"/>
    <w:rsid w:val="007067BE"/>
    <w:rsid w:val="007A7118"/>
    <w:rsid w:val="007B26B1"/>
    <w:rsid w:val="00857027"/>
    <w:rsid w:val="009165E9"/>
    <w:rsid w:val="009325A7"/>
    <w:rsid w:val="0095050B"/>
    <w:rsid w:val="009747D5"/>
    <w:rsid w:val="00975A60"/>
    <w:rsid w:val="009956F9"/>
    <w:rsid w:val="009B44BE"/>
    <w:rsid w:val="009F5B1B"/>
    <w:rsid w:val="00A312D8"/>
    <w:rsid w:val="00A41080"/>
    <w:rsid w:val="00B31AC4"/>
    <w:rsid w:val="00B844E8"/>
    <w:rsid w:val="00BD08AB"/>
    <w:rsid w:val="00BF3C77"/>
    <w:rsid w:val="00C44E46"/>
    <w:rsid w:val="00C67021"/>
    <w:rsid w:val="00CC3CF5"/>
    <w:rsid w:val="00CD4A1D"/>
    <w:rsid w:val="00D03AB2"/>
    <w:rsid w:val="00D13825"/>
    <w:rsid w:val="00DA20ED"/>
    <w:rsid w:val="00DC1CC5"/>
    <w:rsid w:val="00DC590C"/>
    <w:rsid w:val="00DE2628"/>
    <w:rsid w:val="00DE3D6D"/>
    <w:rsid w:val="00DF345F"/>
    <w:rsid w:val="00E162DA"/>
    <w:rsid w:val="00F03F25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017D4"/>
  <w15:docId w15:val="{C75F571F-F287-4E00-9EFD-7FBDE75C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2019</Template>
  <TotalTime>23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8</cp:revision>
  <cp:lastPrinted>2019-05-31T09:45:00Z</cp:lastPrinted>
  <dcterms:created xsi:type="dcterms:W3CDTF">2019-05-09T11:21:00Z</dcterms:created>
  <dcterms:modified xsi:type="dcterms:W3CDTF">2019-05-31T09:46:00Z</dcterms:modified>
</cp:coreProperties>
</file>