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BEE0" w14:textId="2E272C5E" w:rsidR="001203AE" w:rsidRPr="003C0800" w:rsidRDefault="003C2776" w:rsidP="00504405">
      <w:pPr>
        <w:pStyle w:val="Heading1"/>
      </w:pPr>
      <w:bookmarkStart w:id="0" w:name="_GoBack"/>
      <w:bookmarkEnd w:id="0"/>
      <w:proofErr w:type="spellStart"/>
      <w:r>
        <w:t>Hyponatraemia</w:t>
      </w:r>
      <w:proofErr w:type="spellEnd"/>
      <w:r>
        <w:t xml:space="preserve"> and </w:t>
      </w:r>
      <w:proofErr w:type="spellStart"/>
      <w:r>
        <w:t>hypernatraemia</w:t>
      </w:r>
      <w:proofErr w:type="spellEnd"/>
    </w:p>
    <w:p w14:paraId="58095DA8" w14:textId="77777777" w:rsidR="00584E1E" w:rsidRPr="00F94418" w:rsidRDefault="00584E1E" w:rsidP="00584E1E">
      <w:pPr>
        <w:pStyle w:val="Heading2"/>
        <w:rPr>
          <w:rFonts w:cs="Arial"/>
          <w:i/>
          <w:szCs w:val="22"/>
        </w:rPr>
      </w:pPr>
      <w:r w:rsidRPr="00F94418">
        <w:rPr>
          <w:rFonts w:cs="Arial"/>
          <w:i/>
          <w:szCs w:val="22"/>
        </w:rPr>
        <w:t>Executive summary</w:t>
      </w:r>
    </w:p>
    <w:p w14:paraId="7A5ADE67" w14:textId="36D5F255" w:rsidR="00584E1E" w:rsidRDefault="00584E1E" w:rsidP="00584E1E">
      <w:pPr>
        <w:pStyle w:val="Heading2"/>
        <w:rPr>
          <w:rFonts w:cs="Arial"/>
          <w:szCs w:val="22"/>
        </w:rPr>
      </w:pPr>
      <w:r w:rsidRPr="00DC590C">
        <w:rPr>
          <w:rFonts w:cs="Arial"/>
          <w:szCs w:val="22"/>
        </w:rPr>
        <w:t>Introduction</w:t>
      </w:r>
    </w:p>
    <w:p w14:paraId="354BD9C5" w14:textId="506432F2" w:rsidR="002E0AA9" w:rsidRDefault="00046991" w:rsidP="00046991">
      <w:r>
        <w:t xml:space="preserve">Abnormalities in serum sodium are relatively common in our admitted population – especially in those with hypertension, heart failure or liver disease. </w:t>
      </w:r>
      <w:r w:rsidR="002E0AA9">
        <w:t xml:space="preserve">An abnormal sodium level has been shown to be associated with poor outcome following hospital admission. </w:t>
      </w:r>
      <w:r w:rsidR="00F93219">
        <w:t xml:space="preserve">It is very important that these abnormalities are noticed and responded to as soon as possible. </w:t>
      </w:r>
    </w:p>
    <w:p w14:paraId="2F034D13" w14:textId="78615517" w:rsidR="00F93219" w:rsidRDefault="00F93219" w:rsidP="00046991">
      <w:r>
        <w:t xml:space="preserve">Remember that abnormalities can result from laboratory errors or </w:t>
      </w:r>
      <w:r w:rsidR="000E0B05">
        <w:t>other factors around specimen collection and storage. It is very important to relate any abnormal results to the clinical state of the patient and to repeat the laboratory test whenever there is a</w:t>
      </w:r>
      <w:r w:rsidR="00AF32B1">
        <w:t xml:space="preserve">ny uncertainty. </w:t>
      </w:r>
    </w:p>
    <w:p w14:paraId="490A3F2D" w14:textId="115E7A1C" w:rsidR="00AF32B1" w:rsidRPr="00046991" w:rsidRDefault="00AF32B1" w:rsidP="00046991">
      <w:r>
        <w:t xml:space="preserve">Note: </w:t>
      </w:r>
    </w:p>
    <w:p w14:paraId="43620DF1" w14:textId="77777777" w:rsidR="006415C6" w:rsidRDefault="006415C6" w:rsidP="00AF32B1">
      <w:pPr>
        <w:spacing w:after="0"/>
        <w:ind w:firstLine="720"/>
      </w:pPr>
      <w:r>
        <w:t xml:space="preserve">TBW (men) = 0.6 L/kg × weight in kg </w:t>
      </w:r>
    </w:p>
    <w:p w14:paraId="23BDB3C3" w14:textId="77777777" w:rsidR="006415C6" w:rsidRDefault="006415C6" w:rsidP="00AF32B1">
      <w:pPr>
        <w:spacing w:after="0"/>
        <w:ind w:firstLine="720"/>
      </w:pPr>
      <w:r>
        <w:t>TBW (women) = 0.5 L/kg × weight in kg</w:t>
      </w:r>
    </w:p>
    <w:p w14:paraId="7656A4C0" w14:textId="77777777" w:rsidR="00584E1E" w:rsidRDefault="00584E1E" w:rsidP="00504405">
      <w:pPr>
        <w:pStyle w:val="Heading2"/>
        <w:rPr>
          <w:bCs/>
        </w:rPr>
      </w:pPr>
      <w:r w:rsidRPr="00612AEE">
        <w:t xml:space="preserve">Target </w:t>
      </w:r>
      <w:r>
        <w:t>u</w:t>
      </w:r>
      <w:r w:rsidRPr="00612AEE">
        <w:t>ser</w:t>
      </w:r>
      <w:r>
        <w:t>s</w:t>
      </w:r>
    </w:p>
    <w:p w14:paraId="74FB4A4A" w14:textId="1A077E04" w:rsidR="00584E1E" w:rsidRDefault="00AF32B1" w:rsidP="00584E1E">
      <w:pPr>
        <w:pStyle w:val="ListParagraph"/>
        <w:numPr>
          <w:ilvl w:val="0"/>
          <w:numId w:val="29"/>
        </w:numPr>
      </w:pPr>
      <w:r>
        <w:t>Doctors</w:t>
      </w:r>
    </w:p>
    <w:p w14:paraId="675DF27D" w14:textId="1CC6B60F" w:rsidR="00584E1E" w:rsidRPr="00584E1E" w:rsidRDefault="00AF32B1" w:rsidP="00584E1E">
      <w:pPr>
        <w:pStyle w:val="ListParagraph"/>
        <w:numPr>
          <w:ilvl w:val="0"/>
          <w:numId w:val="29"/>
        </w:numPr>
      </w:pPr>
      <w:r>
        <w:t>Nurses</w:t>
      </w:r>
    </w:p>
    <w:p w14:paraId="1A2C9E1F" w14:textId="77777777" w:rsidR="00584E1E" w:rsidRDefault="00584E1E" w:rsidP="00504405">
      <w:pPr>
        <w:pStyle w:val="Heading2"/>
        <w:rPr>
          <w:bCs/>
        </w:rPr>
      </w:pPr>
      <w:r w:rsidRPr="00612AEE">
        <w:t xml:space="preserve">Target area of use </w:t>
      </w:r>
    </w:p>
    <w:p w14:paraId="3CBAD6A4" w14:textId="467C5A24" w:rsidR="00584E1E" w:rsidRDefault="00AF32B1" w:rsidP="00584E1E">
      <w:pPr>
        <w:pStyle w:val="ListParagraph"/>
        <w:numPr>
          <w:ilvl w:val="0"/>
          <w:numId w:val="29"/>
        </w:numPr>
      </w:pPr>
      <w:r>
        <w:t>Outpatient department</w:t>
      </w:r>
    </w:p>
    <w:p w14:paraId="66C92113" w14:textId="618CBD2D" w:rsidR="00584E1E" w:rsidRPr="00584E1E" w:rsidRDefault="00AF32B1" w:rsidP="00584E1E">
      <w:pPr>
        <w:pStyle w:val="ListParagraph"/>
        <w:numPr>
          <w:ilvl w:val="0"/>
          <w:numId w:val="29"/>
        </w:numPr>
      </w:pPr>
      <w:r>
        <w:t>Ward</w:t>
      </w:r>
    </w:p>
    <w:p w14:paraId="4D06CB64"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27787FBC" w14:textId="7CBFC7A8" w:rsidR="000277D5" w:rsidRDefault="00AF32B1" w:rsidP="00504405">
      <w:r>
        <w:t xml:space="preserve">This guideline describes the correction of abnormal sodium results. </w:t>
      </w:r>
    </w:p>
    <w:p w14:paraId="707A155E" w14:textId="645B84E5" w:rsidR="00AF32B1" w:rsidRDefault="00AF32B1" w:rsidP="00504405">
      <w:r>
        <w:t>Note that great care should be taken in correcting the sodium level in malnourished children</w:t>
      </w:r>
      <w:r w:rsidR="00E860DD">
        <w:t xml:space="preserve">. Commonly, </w:t>
      </w:r>
      <w:r w:rsidR="008C03B6">
        <w:t xml:space="preserve">these children have raised total body sodium even if the serum sodium level is reduced. </w:t>
      </w:r>
      <w:r w:rsidR="00E860DD">
        <w:t xml:space="preserve">Usually </w:t>
      </w:r>
      <w:r w:rsidR="008C03B6">
        <w:t>the blood results</w:t>
      </w:r>
      <w:r w:rsidR="00E860DD">
        <w:t xml:space="preserve"> will improve as the nutrition status improves. </w:t>
      </w:r>
    </w:p>
    <w:p w14:paraId="2606319D" w14:textId="67A0BC0A" w:rsidR="000277D5" w:rsidRPr="00584E1E" w:rsidRDefault="000277D5" w:rsidP="00504405">
      <w:pPr>
        <w:rPr>
          <w:b/>
        </w:rPr>
      </w:pPr>
      <w:r>
        <w:t xml:space="preserve">Rapid shifts in serum sodium are associated with </w:t>
      </w:r>
      <w:r w:rsidR="009A1ED4">
        <w:t>irreversible brain injury so correction must be undertaken cautiously.</w:t>
      </w:r>
    </w:p>
    <w:p w14:paraId="081470B6" w14:textId="77777777" w:rsidR="00584E1E" w:rsidRDefault="00584E1E" w:rsidP="00504405">
      <w:pPr>
        <w:pStyle w:val="Heading2"/>
      </w:pPr>
      <w:r w:rsidRPr="00504405">
        <w:t>Limitations</w:t>
      </w:r>
    </w:p>
    <w:p w14:paraId="1334B523" w14:textId="5EE4DA36" w:rsidR="00584E1E" w:rsidRPr="00504405" w:rsidRDefault="008C03B6" w:rsidP="00584E1E">
      <w:pPr>
        <w:rPr>
          <w:b/>
        </w:rPr>
      </w:pPr>
      <w:r>
        <w:t>We do not keep hypertonic or hypotonic sodium solutions.</w:t>
      </w:r>
    </w:p>
    <w:p w14:paraId="6815A9F9" w14:textId="77777777" w:rsidR="00584E1E" w:rsidRDefault="00584E1E">
      <w:pPr>
        <w:spacing w:after="0"/>
        <w:outlineLvl w:val="9"/>
        <w:rPr>
          <w:b/>
          <w:sz w:val="24"/>
          <w:szCs w:val="22"/>
        </w:rPr>
      </w:pPr>
      <w:r>
        <w:rPr>
          <w:szCs w:val="22"/>
        </w:rPr>
        <w:br w:type="page"/>
      </w:r>
    </w:p>
    <w:p w14:paraId="7A9D93B6" w14:textId="7C97D8E9" w:rsidR="003F0BE3" w:rsidRDefault="003F0BE3" w:rsidP="003F0BE3">
      <w:pPr>
        <w:pStyle w:val="Heading1"/>
      </w:pPr>
      <w:bookmarkStart w:id="1" w:name="_Hlk534367223"/>
      <w:proofErr w:type="spellStart"/>
      <w:r>
        <w:lastRenderedPageBreak/>
        <w:t>Hyponatraemia</w:t>
      </w:r>
      <w:proofErr w:type="spellEnd"/>
    </w:p>
    <w:p w14:paraId="68696A6A" w14:textId="29E164D8" w:rsidR="0014404C" w:rsidRPr="0014404C" w:rsidRDefault="001A6D6F" w:rsidP="0014404C">
      <w:r>
        <w:t xml:space="preserve">This is defined as Na &lt; 135 mmol/L. It is severe if ≤ 120 mmol/L. </w:t>
      </w:r>
    </w:p>
    <w:p w14:paraId="662E0607" w14:textId="77777777" w:rsidR="00837AE9" w:rsidRPr="00AE38DD" w:rsidRDefault="00837AE9" w:rsidP="00837AE9">
      <w:pPr>
        <w:pStyle w:val="Heading2"/>
      </w:pPr>
      <w:r w:rsidRPr="00AE38DD">
        <w:t>Causes</w:t>
      </w:r>
    </w:p>
    <w:p w14:paraId="0EAA1CA1" w14:textId="77777777" w:rsidR="00837AE9" w:rsidRDefault="00837AE9" w:rsidP="00837AE9">
      <w:pPr>
        <w:pStyle w:val="ListParagraph"/>
        <w:numPr>
          <w:ilvl w:val="0"/>
          <w:numId w:val="33"/>
        </w:numPr>
      </w:pPr>
      <w:r w:rsidRPr="008E5D63">
        <w:t xml:space="preserve">Isotonic </w:t>
      </w:r>
      <w:proofErr w:type="spellStart"/>
      <w:r w:rsidRPr="008E5D63">
        <w:t>hyponatr</w:t>
      </w:r>
      <w:r>
        <w:t>a</w:t>
      </w:r>
      <w:r w:rsidRPr="008E5D63">
        <w:t>emia</w:t>
      </w:r>
      <w:proofErr w:type="spellEnd"/>
      <w:r>
        <w:t xml:space="preserve">: </w:t>
      </w:r>
      <w:r w:rsidRPr="008E5D63">
        <w:t xml:space="preserve">hyperlipidemia or </w:t>
      </w:r>
      <w:proofErr w:type="spellStart"/>
      <w:r w:rsidRPr="008E5D63">
        <w:t>proteinaemia</w:t>
      </w:r>
      <w:proofErr w:type="spellEnd"/>
    </w:p>
    <w:p w14:paraId="2F18F70D" w14:textId="77777777" w:rsidR="00837AE9" w:rsidRDefault="00837AE9" w:rsidP="00837AE9">
      <w:pPr>
        <w:pStyle w:val="ListParagraph"/>
        <w:numPr>
          <w:ilvl w:val="0"/>
          <w:numId w:val="33"/>
        </w:numPr>
      </w:pPr>
      <w:r w:rsidRPr="000D0567">
        <w:t xml:space="preserve">Hypertonic </w:t>
      </w:r>
      <w:proofErr w:type="spellStart"/>
      <w:r w:rsidRPr="000D0567">
        <w:t>hyponatraemia</w:t>
      </w:r>
      <w:proofErr w:type="spellEnd"/>
      <w:r w:rsidRPr="000D0567">
        <w:t xml:space="preserve">: </w:t>
      </w:r>
      <w:r>
        <w:t>g</w:t>
      </w:r>
      <w:r w:rsidRPr="000D0567">
        <w:t>lucose</w:t>
      </w:r>
      <w:r>
        <w:t xml:space="preserve"> or </w:t>
      </w:r>
      <w:r w:rsidRPr="000D0567">
        <w:t>mannitol infusion.</w:t>
      </w:r>
    </w:p>
    <w:p w14:paraId="6BCA67CA" w14:textId="77777777" w:rsidR="00837AE9" w:rsidRDefault="00837AE9" w:rsidP="00837AE9">
      <w:pPr>
        <w:pStyle w:val="ListParagraph"/>
        <w:numPr>
          <w:ilvl w:val="0"/>
          <w:numId w:val="33"/>
        </w:numPr>
      </w:pPr>
      <w:r w:rsidRPr="0062477E">
        <w:t>Euvolemic</w:t>
      </w:r>
      <w:r>
        <w:t xml:space="preserve"> </w:t>
      </w:r>
      <w:proofErr w:type="spellStart"/>
      <w:r>
        <w:t>hyponatraemia</w:t>
      </w:r>
      <w:proofErr w:type="spellEnd"/>
      <w:r>
        <w:t>: syndrome of inappropriate A</w:t>
      </w:r>
      <w:r w:rsidRPr="0062477E">
        <w:t>DH</w:t>
      </w:r>
      <w:r>
        <w:t xml:space="preserve"> (SIADH) secretion</w:t>
      </w:r>
      <w:r w:rsidRPr="0062477E">
        <w:t xml:space="preserve">, </w:t>
      </w:r>
      <w:r>
        <w:t>h</w:t>
      </w:r>
      <w:r w:rsidRPr="0062477E">
        <w:t xml:space="preserve">ypothyroidism, </w:t>
      </w:r>
      <w:r>
        <w:t>adrenal insufficiency</w:t>
      </w:r>
      <w:r w:rsidRPr="0062477E">
        <w:t xml:space="preserve"> and </w:t>
      </w:r>
      <w:r>
        <w:t>m</w:t>
      </w:r>
      <w:r w:rsidRPr="0062477E">
        <w:t>edications</w:t>
      </w:r>
      <w:r>
        <w:t xml:space="preserve"> such as thiazide diuretics, NSAIDs and SSRIs </w:t>
      </w:r>
    </w:p>
    <w:p w14:paraId="4EFCA7D1" w14:textId="77777777" w:rsidR="00837AE9" w:rsidRDefault="00837AE9" w:rsidP="00837AE9">
      <w:pPr>
        <w:pStyle w:val="ListParagraph"/>
        <w:numPr>
          <w:ilvl w:val="0"/>
          <w:numId w:val="33"/>
        </w:numPr>
      </w:pPr>
      <w:r w:rsidRPr="0070351E">
        <w:t>Hypovolemi</w:t>
      </w:r>
      <w:r>
        <w:t xml:space="preserve">c: </w:t>
      </w:r>
      <w:proofErr w:type="spellStart"/>
      <w:r w:rsidRPr="0070351E">
        <w:t>haemorrhage</w:t>
      </w:r>
      <w:proofErr w:type="spellEnd"/>
      <w:r w:rsidRPr="0070351E">
        <w:t xml:space="preserve">, </w:t>
      </w:r>
      <w:r>
        <w:t xml:space="preserve">vomiting, </w:t>
      </w:r>
      <w:proofErr w:type="spellStart"/>
      <w:r w:rsidRPr="0070351E">
        <w:t>diarrhoea</w:t>
      </w:r>
      <w:proofErr w:type="spellEnd"/>
      <w:r w:rsidRPr="0070351E">
        <w:t>, burns</w:t>
      </w:r>
    </w:p>
    <w:p w14:paraId="4DBEEB72" w14:textId="77777777" w:rsidR="00837AE9" w:rsidRDefault="00837AE9" w:rsidP="00837AE9">
      <w:pPr>
        <w:pStyle w:val="ListParagraph"/>
        <w:numPr>
          <w:ilvl w:val="0"/>
          <w:numId w:val="33"/>
        </w:numPr>
      </w:pPr>
      <w:r w:rsidRPr="0070351E">
        <w:t>Hypervolemic</w:t>
      </w:r>
      <w:r>
        <w:t>:</w:t>
      </w:r>
      <w:r w:rsidRPr="0070351E">
        <w:t xml:space="preserve"> </w:t>
      </w:r>
      <w:r>
        <w:t>congestive heart failure, liver cirrhosis</w:t>
      </w:r>
      <w:r w:rsidRPr="0070351E">
        <w:t>.</w:t>
      </w:r>
    </w:p>
    <w:p w14:paraId="41BEF7A9" w14:textId="13FDA6D4" w:rsidR="003F0BE3" w:rsidRPr="00AE38DD" w:rsidRDefault="003F0BE3" w:rsidP="003F0BE3">
      <w:pPr>
        <w:pStyle w:val="Heading2"/>
      </w:pPr>
      <w:r w:rsidRPr="00AE38DD">
        <w:t>Presenting symptoms and signs</w:t>
      </w:r>
    </w:p>
    <w:bookmarkEnd w:id="1"/>
    <w:p w14:paraId="562FE622" w14:textId="77777777" w:rsidR="003F0BE3" w:rsidRDefault="003F0BE3" w:rsidP="003F0BE3">
      <w:r>
        <w:t xml:space="preserve">Symptoms and signs are usually obvious in patients who have sudden onset of </w:t>
      </w:r>
      <w:proofErr w:type="spellStart"/>
      <w:r>
        <w:t>hyponatraemia</w:t>
      </w:r>
      <w:proofErr w:type="spellEnd"/>
      <w:r>
        <w:t xml:space="preserve"> or have severe </w:t>
      </w:r>
      <w:proofErr w:type="spellStart"/>
      <w:r>
        <w:t>hyponatraemia</w:t>
      </w:r>
      <w:proofErr w:type="spellEnd"/>
      <w:r>
        <w:t xml:space="preserve"> and they </w:t>
      </w:r>
      <w:proofErr w:type="gramStart"/>
      <w:r>
        <w:t>include :</w:t>
      </w:r>
      <w:proofErr w:type="gramEnd"/>
    </w:p>
    <w:p w14:paraId="069C9B18" w14:textId="77777777" w:rsidR="003F0BE3" w:rsidRDefault="003F0BE3" w:rsidP="003F0BE3">
      <w:pPr>
        <w:pStyle w:val="ListParagraph"/>
        <w:numPr>
          <w:ilvl w:val="0"/>
          <w:numId w:val="30"/>
        </w:numPr>
      </w:pPr>
      <w:r w:rsidRPr="008E5D63">
        <w:t xml:space="preserve">Headache </w:t>
      </w:r>
    </w:p>
    <w:p w14:paraId="40F69B0B" w14:textId="77777777" w:rsidR="003F0BE3" w:rsidRDefault="003F0BE3" w:rsidP="003F0BE3">
      <w:pPr>
        <w:pStyle w:val="ListParagraph"/>
        <w:numPr>
          <w:ilvl w:val="0"/>
          <w:numId w:val="30"/>
        </w:numPr>
      </w:pPr>
      <w:r w:rsidRPr="008E5D63">
        <w:t>Lethargy</w:t>
      </w:r>
    </w:p>
    <w:p w14:paraId="4FA6DF18" w14:textId="77777777" w:rsidR="003F0BE3" w:rsidRDefault="003F0BE3" w:rsidP="003F0BE3">
      <w:pPr>
        <w:pStyle w:val="ListParagraph"/>
        <w:numPr>
          <w:ilvl w:val="0"/>
          <w:numId w:val="30"/>
        </w:numPr>
      </w:pPr>
      <w:r w:rsidRPr="008E5D63">
        <w:t>Nausea</w:t>
      </w:r>
    </w:p>
    <w:p w14:paraId="4FC97D5A" w14:textId="77777777" w:rsidR="003F0BE3" w:rsidRDefault="003F0BE3" w:rsidP="003F0BE3">
      <w:pPr>
        <w:pStyle w:val="ListParagraph"/>
        <w:numPr>
          <w:ilvl w:val="0"/>
          <w:numId w:val="30"/>
        </w:numPr>
      </w:pPr>
      <w:r w:rsidRPr="008E5D63">
        <w:t xml:space="preserve">Depressed reflexes </w:t>
      </w:r>
    </w:p>
    <w:p w14:paraId="7FDAB32B" w14:textId="77777777" w:rsidR="003F0BE3" w:rsidRDefault="003F0BE3" w:rsidP="003F0BE3">
      <w:pPr>
        <w:pStyle w:val="ListParagraph"/>
        <w:numPr>
          <w:ilvl w:val="0"/>
          <w:numId w:val="30"/>
        </w:numPr>
      </w:pPr>
      <w:r w:rsidRPr="008E5D63">
        <w:t xml:space="preserve">Disorientation </w:t>
      </w:r>
    </w:p>
    <w:p w14:paraId="041871C9" w14:textId="77777777" w:rsidR="003F0BE3" w:rsidRDefault="003F0BE3" w:rsidP="003F0BE3">
      <w:pPr>
        <w:pStyle w:val="ListParagraph"/>
        <w:numPr>
          <w:ilvl w:val="0"/>
          <w:numId w:val="30"/>
        </w:numPr>
      </w:pPr>
      <w:r w:rsidRPr="008E5D63">
        <w:t xml:space="preserve">Seizures  </w:t>
      </w:r>
    </w:p>
    <w:p w14:paraId="38D1D48E" w14:textId="77777777" w:rsidR="003F0BE3" w:rsidRDefault="003F0BE3" w:rsidP="003F0BE3">
      <w:pPr>
        <w:pStyle w:val="ListParagraph"/>
        <w:numPr>
          <w:ilvl w:val="0"/>
          <w:numId w:val="30"/>
        </w:numPr>
      </w:pPr>
      <w:r w:rsidRPr="008E5D63">
        <w:t>Coma</w:t>
      </w:r>
    </w:p>
    <w:p w14:paraId="64D42FB0" w14:textId="61FABFA5" w:rsidR="003F0BE3" w:rsidRDefault="003F0BE3" w:rsidP="003F0BE3">
      <w:r>
        <w:t>Other symptoms and signs are dependent on the volume status of the patient:</w:t>
      </w:r>
    </w:p>
    <w:p w14:paraId="3B36668D" w14:textId="77777777" w:rsidR="003F0BE3" w:rsidRDefault="003F0BE3" w:rsidP="003F0BE3">
      <w:pPr>
        <w:pStyle w:val="ListParagraph"/>
        <w:numPr>
          <w:ilvl w:val="0"/>
          <w:numId w:val="31"/>
        </w:numPr>
      </w:pPr>
      <w:r>
        <w:t xml:space="preserve">Dizziness, postural hypotension and syncope – </w:t>
      </w:r>
      <w:proofErr w:type="spellStart"/>
      <w:r>
        <w:t>hypovolaemia</w:t>
      </w:r>
      <w:proofErr w:type="spellEnd"/>
      <w:r>
        <w:t xml:space="preserve"> </w:t>
      </w:r>
    </w:p>
    <w:p w14:paraId="3109137A" w14:textId="77777777" w:rsidR="003F0BE3" w:rsidRDefault="003F0BE3" w:rsidP="003F0BE3">
      <w:pPr>
        <w:pStyle w:val="ListParagraph"/>
        <w:numPr>
          <w:ilvl w:val="0"/>
          <w:numId w:val="31"/>
        </w:numPr>
      </w:pPr>
      <w:r>
        <w:t xml:space="preserve">Peripheral </w:t>
      </w:r>
      <w:proofErr w:type="spellStart"/>
      <w:r>
        <w:t>oedema</w:t>
      </w:r>
      <w:proofErr w:type="spellEnd"/>
      <w:r>
        <w:t xml:space="preserve">, pleural effusion or ascites – </w:t>
      </w:r>
      <w:proofErr w:type="spellStart"/>
      <w:r>
        <w:t>hypervolaemia</w:t>
      </w:r>
      <w:proofErr w:type="spellEnd"/>
    </w:p>
    <w:p w14:paraId="6B9DF45D" w14:textId="77777777" w:rsidR="003F0BE3" w:rsidRPr="00AE38DD" w:rsidRDefault="003F0BE3" w:rsidP="003F0BE3">
      <w:pPr>
        <w:pStyle w:val="Heading2"/>
      </w:pPr>
      <w:r>
        <w:t>Management</w:t>
      </w:r>
    </w:p>
    <w:p w14:paraId="25B4969D" w14:textId="77777777" w:rsidR="003F0BE3" w:rsidRDefault="003F0BE3" w:rsidP="003F0BE3">
      <w:r>
        <w:t xml:space="preserve">Medications such as diuretics should be reviewed or stopped if they are thought to be responsible for </w:t>
      </w:r>
      <w:proofErr w:type="spellStart"/>
      <w:r>
        <w:t>hyponatraemia</w:t>
      </w:r>
      <w:proofErr w:type="spellEnd"/>
      <w:r>
        <w:t xml:space="preserve">. </w:t>
      </w:r>
    </w:p>
    <w:p w14:paraId="1C02BE35" w14:textId="77777777" w:rsidR="003F0BE3" w:rsidRDefault="003F0BE3" w:rsidP="003F0BE3">
      <w:r>
        <w:t xml:space="preserve">The causes of </w:t>
      </w:r>
      <w:proofErr w:type="spellStart"/>
      <w:r>
        <w:t>hyperlipidaemia</w:t>
      </w:r>
      <w:proofErr w:type="spellEnd"/>
      <w:r>
        <w:t xml:space="preserve"> and </w:t>
      </w:r>
      <w:proofErr w:type="spellStart"/>
      <w:r>
        <w:t>hyperproteinaemia</w:t>
      </w:r>
      <w:proofErr w:type="spellEnd"/>
      <w:r>
        <w:t xml:space="preserve"> should be found and treated.</w:t>
      </w:r>
    </w:p>
    <w:p w14:paraId="3047C16F" w14:textId="77777777" w:rsidR="003F0BE3" w:rsidRDefault="003F0BE3" w:rsidP="003F0BE3">
      <w:r>
        <w:t xml:space="preserve">Endocrinologic disorders should be managed accordingly. SIADH is managed with fluid restriction at first and then diuresis if there is no improvement.  </w:t>
      </w:r>
    </w:p>
    <w:p w14:paraId="4BD4926B" w14:textId="77777777" w:rsidR="003F0BE3" w:rsidRDefault="003F0BE3" w:rsidP="003F0BE3">
      <w:r>
        <w:t xml:space="preserve">The treatment of hypervolemic </w:t>
      </w:r>
      <w:proofErr w:type="spellStart"/>
      <w:r>
        <w:t>hyponatraemia</w:t>
      </w:r>
      <w:proofErr w:type="spellEnd"/>
      <w:r>
        <w:t xml:space="preserve"> is with diuresis - preferably loop diuretics.</w:t>
      </w:r>
    </w:p>
    <w:p w14:paraId="3501FD92" w14:textId="4A2DD712" w:rsidR="003F0BE3" w:rsidRPr="00AE38DD" w:rsidRDefault="003F0BE3" w:rsidP="00F90949">
      <w:pPr>
        <w:pStyle w:val="Heading3"/>
      </w:pPr>
      <w:r w:rsidRPr="00AE38DD">
        <w:t>Correction</w:t>
      </w:r>
    </w:p>
    <w:p w14:paraId="286996B1" w14:textId="0EE220D0" w:rsidR="003F0BE3" w:rsidRDefault="000134E8" w:rsidP="00AD4CA5">
      <w:pPr>
        <w:pStyle w:val="ListParagraph"/>
        <w:numPr>
          <w:ilvl w:val="0"/>
          <w:numId w:val="35"/>
        </w:numPr>
      </w:pPr>
      <w:r>
        <w:t>Na</w:t>
      </w:r>
      <w:r w:rsidR="003F0BE3" w:rsidRPr="00AA6202">
        <w:t xml:space="preserve"> deficit (mmol/L) = Total Body Water (TBW) ×</w:t>
      </w:r>
      <w:r w:rsidR="00AD4CA5">
        <w:t xml:space="preserve"> </w:t>
      </w:r>
      <w:r w:rsidR="003F0BE3" w:rsidRPr="00AA6202">
        <w:t xml:space="preserve">(140 – measured serum </w:t>
      </w:r>
      <w:r>
        <w:t>Na</w:t>
      </w:r>
      <w:r w:rsidR="003F0BE3" w:rsidRPr="00AA6202">
        <w:t xml:space="preserve"> concentration)</w:t>
      </w:r>
    </w:p>
    <w:p w14:paraId="0B3B70A4" w14:textId="53DCA97F" w:rsidR="0013799F" w:rsidRDefault="003F0BE3" w:rsidP="00AD4CA5">
      <w:r w:rsidRPr="00AA6202">
        <w:t xml:space="preserve">Normal saline is used for correction of hyponatremia in our setting and this can be calculated using </w:t>
      </w:r>
      <w:r>
        <w:t>the following formula:</w:t>
      </w:r>
    </w:p>
    <w:p w14:paraId="4B1D886C" w14:textId="58F6E588" w:rsidR="006415C6" w:rsidRDefault="001C12A5" w:rsidP="006415C6">
      <w:pPr>
        <w:pStyle w:val="ListParagraph"/>
        <w:numPr>
          <w:ilvl w:val="0"/>
          <w:numId w:val="35"/>
        </w:numPr>
        <w:spacing w:after="0"/>
      </w:pPr>
      <w:r>
        <w:t xml:space="preserve">Change in serum Na = </w:t>
      </w:r>
      <w:proofErr w:type="spellStart"/>
      <w:r>
        <w:t>Infusate</w:t>
      </w:r>
      <w:proofErr w:type="spellEnd"/>
      <w:r>
        <w:t xml:space="preserve"> Na – Serum Na / (total body water +1) </w:t>
      </w:r>
    </w:p>
    <w:p w14:paraId="12D08008" w14:textId="77777777" w:rsidR="00BA2777" w:rsidRDefault="00BA2777" w:rsidP="00BA2777">
      <w:pPr>
        <w:pStyle w:val="ListParagraph"/>
        <w:spacing w:after="0"/>
      </w:pPr>
    </w:p>
    <w:p w14:paraId="39AFE726" w14:textId="0A85D3DD" w:rsidR="006415C6" w:rsidRDefault="006415C6" w:rsidP="006415C6">
      <w:pPr>
        <w:spacing w:after="0"/>
      </w:pPr>
      <w:r>
        <w:t xml:space="preserve">This gives the change in serum sodium per </w:t>
      </w:r>
      <w:proofErr w:type="spellStart"/>
      <w:r>
        <w:t>litre</w:t>
      </w:r>
      <w:proofErr w:type="spellEnd"/>
      <w:r>
        <w:t xml:space="preserve"> of </w:t>
      </w:r>
      <w:proofErr w:type="spellStart"/>
      <w:r>
        <w:t>infusate</w:t>
      </w:r>
      <w:proofErr w:type="spellEnd"/>
      <w:r>
        <w:t xml:space="preserve">. Note: </w:t>
      </w:r>
      <w:proofErr w:type="spellStart"/>
      <w:r>
        <w:t>I</w:t>
      </w:r>
      <w:r w:rsidRPr="00AA6202">
        <w:t>nfusate</w:t>
      </w:r>
      <w:proofErr w:type="spellEnd"/>
      <w:r w:rsidRPr="00AA6202">
        <w:t xml:space="preserve"> </w:t>
      </w:r>
      <w:r>
        <w:t>Na</w:t>
      </w:r>
      <w:r w:rsidRPr="00AA6202">
        <w:t xml:space="preserve"> is 154</w:t>
      </w:r>
      <w:r>
        <w:t xml:space="preserve"> </w:t>
      </w:r>
      <w:r w:rsidRPr="00AA6202">
        <w:t>mmol/L</w:t>
      </w:r>
      <w:r>
        <w:t xml:space="preserve"> for </w:t>
      </w:r>
      <w:r w:rsidRPr="00AA6202">
        <w:t xml:space="preserve">0.9% </w:t>
      </w:r>
      <w:r>
        <w:t>saline</w:t>
      </w:r>
      <w:r w:rsidRPr="00AA6202">
        <w:t xml:space="preserve"> intravenous infusion</w:t>
      </w:r>
      <w:r>
        <w:t>.</w:t>
      </w:r>
    </w:p>
    <w:p w14:paraId="2CF97B10" w14:textId="3F4448F6" w:rsidR="003F0BE3" w:rsidRDefault="006B1BE4" w:rsidP="00AD4CA5">
      <w:pPr>
        <w:pStyle w:val="ListParagraph"/>
        <w:ind w:left="0"/>
      </w:pPr>
      <w:r>
        <w:lastRenderedPageBreak/>
        <w:t>U</w:t>
      </w:r>
      <w:r w:rsidR="003F0BE3">
        <w:t>se the calculator on this website to determine the infusion rate:</w:t>
      </w:r>
      <w:r w:rsidR="003F0BE3" w:rsidRPr="00AD10C1">
        <w:t xml:space="preserve"> </w:t>
      </w:r>
      <w:hyperlink r:id="rId7" w:history="1">
        <w:r w:rsidRPr="004B76E8">
          <w:rPr>
            <w:rStyle w:val="Hyperlink"/>
          </w:rPr>
          <w:t>https://www.mdcalc.com/sodium-correction-rate-hyponatremia-hypernatremia</w:t>
        </w:r>
      </w:hyperlink>
      <w:r>
        <w:t xml:space="preserve"> </w:t>
      </w:r>
    </w:p>
    <w:p w14:paraId="79F2EFD9" w14:textId="2BA9DCD6" w:rsidR="003F0BE3" w:rsidRDefault="003F0BE3" w:rsidP="00AD4CA5">
      <w:r>
        <w:t xml:space="preserve">Correction should be done at a rate of </w:t>
      </w:r>
      <w:r w:rsidRPr="005935EF">
        <w:t>1-2 mmol/L/h</w:t>
      </w:r>
      <w:r>
        <w:t>ou</w:t>
      </w:r>
      <w:r w:rsidRPr="005935EF">
        <w:t>r (</w:t>
      </w:r>
      <w:r>
        <w:t xml:space="preserve">in </w:t>
      </w:r>
      <w:r w:rsidRPr="005935EF">
        <w:t>acute</w:t>
      </w:r>
      <w:r>
        <w:t xml:space="preserve"> conditions</w:t>
      </w:r>
      <w:r w:rsidRPr="005935EF">
        <w:t>) or 0.5</w:t>
      </w:r>
      <w:r w:rsidR="006B1BE4">
        <w:t xml:space="preserve"> </w:t>
      </w:r>
      <w:r w:rsidRPr="005935EF">
        <w:t>mmol/L/h</w:t>
      </w:r>
      <w:r>
        <w:t>ou</w:t>
      </w:r>
      <w:r w:rsidRPr="005935EF">
        <w:t>r (</w:t>
      </w:r>
      <w:r>
        <w:t xml:space="preserve">in </w:t>
      </w:r>
      <w:r w:rsidRPr="005935EF">
        <w:t>chronic</w:t>
      </w:r>
      <w:r>
        <w:t xml:space="preserve"> conditions</w:t>
      </w:r>
      <w:r w:rsidRPr="005935EF">
        <w:t xml:space="preserve">) over </w:t>
      </w:r>
      <w:r>
        <w:t>40</w:t>
      </w:r>
      <w:r w:rsidRPr="005935EF">
        <w:t xml:space="preserve"> hours. </w:t>
      </w:r>
      <w:r>
        <w:t xml:space="preserve">Fifty percent </w:t>
      </w:r>
      <w:r w:rsidR="006B1BE4">
        <w:t xml:space="preserve">of the fluid </w:t>
      </w:r>
      <w:r>
        <w:t xml:space="preserve">should be given </w:t>
      </w:r>
      <w:r w:rsidRPr="005935EF">
        <w:t>in the 1st 24</w:t>
      </w:r>
      <w:r w:rsidR="006B1BE4">
        <w:t xml:space="preserve"> </w:t>
      </w:r>
      <w:proofErr w:type="spellStart"/>
      <w:r w:rsidRPr="005935EF">
        <w:t>hrs</w:t>
      </w:r>
      <w:proofErr w:type="spellEnd"/>
      <w:r w:rsidRPr="005935EF">
        <w:t xml:space="preserve"> and not exceeding 12</w:t>
      </w:r>
      <w:r w:rsidR="006B1BE4">
        <w:t xml:space="preserve"> </w:t>
      </w:r>
      <w:r w:rsidRPr="005935EF">
        <w:t>mmol/24hrs</w:t>
      </w:r>
      <w:r>
        <w:t>. This is to prevent cerebral pontine myelinolysis</w:t>
      </w:r>
    </w:p>
    <w:p w14:paraId="77E84C44" w14:textId="5A3ADCAF" w:rsidR="003F0BE3" w:rsidRDefault="003F0BE3" w:rsidP="00AD4CA5">
      <w:r>
        <w:t xml:space="preserve">Monitoring of serum </w:t>
      </w:r>
      <w:r w:rsidR="006B1BE4">
        <w:t>Na</w:t>
      </w:r>
      <w:r>
        <w:t xml:space="preserve"> should be done after every 4-6 hours.</w:t>
      </w:r>
    </w:p>
    <w:p w14:paraId="76421DE4" w14:textId="1F3113CC" w:rsidR="001F6D60" w:rsidRDefault="001F6D60" w:rsidP="00010CC0">
      <w:pPr>
        <w:pStyle w:val="Heading1"/>
      </w:pPr>
      <w:proofErr w:type="spellStart"/>
      <w:r>
        <w:t>Hypernatraemia</w:t>
      </w:r>
      <w:proofErr w:type="spellEnd"/>
    </w:p>
    <w:p w14:paraId="03CFC4E2" w14:textId="5D6E64B6" w:rsidR="0014404C" w:rsidRDefault="0014404C" w:rsidP="0014404C">
      <w:r>
        <w:t xml:space="preserve">This is defined as </w:t>
      </w:r>
      <w:r w:rsidR="001A6D6F">
        <w:t>Na</w:t>
      </w:r>
      <w:r>
        <w:t xml:space="preserve"> &gt; 145</w:t>
      </w:r>
      <w:r w:rsidR="001A6D6F">
        <w:t xml:space="preserve"> </w:t>
      </w:r>
      <w:r>
        <w:t>mmol/L. It is severe if ≥ 160 mmol/L.</w:t>
      </w:r>
    </w:p>
    <w:p w14:paraId="54C0D516" w14:textId="77777777" w:rsidR="0014404C" w:rsidRPr="00FE4394" w:rsidRDefault="0014404C" w:rsidP="00A26035">
      <w:pPr>
        <w:pStyle w:val="Heading2"/>
      </w:pPr>
      <w:r w:rsidRPr="00FE4394">
        <w:t xml:space="preserve">Causes </w:t>
      </w:r>
    </w:p>
    <w:tbl>
      <w:tblPr>
        <w:tblStyle w:val="TableGrid"/>
        <w:tblW w:w="0" w:type="auto"/>
        <w:tblLook w:val="04A0" w:firstRow="1" w:lastRow="0" w:firstColumn="1" w:lastColumn="0" w:noHBand="0" w:noVBand="1"/>
      </w:tblPr>
      <w:tblGrid>
        <w:gridCol w:w="2122"/>
        <w:gridCol w:w="6508"/>
      </w:tblGrid>
      <w:tr w:rsidR="0014404C" w:rsidRPr="00A26035" w14:paraId="0BFD9178" w14:textId="77777777" w:rsidTr="00A07A52">
        <w:tc>
          <w:tcPr>
            <w:tcW w:w="2122" w:type="dxa"/>
          </w:tcPr>
          <w:p w14:paraId="04BB95AC" w14:textId="434E61F3" w:rsidR="0014404C" w:rsidRPr="00A26035" w:rsidRDefault="0014404C" w:rsidP="00961AE4">
            <w:pPr>
              <w:rPr>
                <w:b/>
              </w:rPr>
            </w:pPr>
            <w:r w:rsidRPr="00A26035">
              <w:rPr>
                <w:b/>
              </w:rPr>
              <w:t xml:space="preserve">Type of fluid loss or gain </w:t>
            </w:r>
          </w:p>
        </w:tc>
        <w:tc>
          <w:tcPr>
            <w:tcW w:w="6508" w:type="dxa"/>
          </w:tcPr>
          <w:p w14:paraId="2B699172" w14:textId="77777777" w:rsidR="0014404C" w:rsidRPr="00A26035" w:rsidRDefault="0014404C" w:rsidP="00961AE4">
            <w:pPr>
              <w:rPr>
                <w:b/>
              </w:rPr>
            </w:pPr>
            <w:r w:rsidRPr="00A26035">
              <w:rPr>
                <w:b/>
              </w:rPr>
              <w:t xml:space="preserve">Causes </w:t>
            </w:r>
          </w:p>
        </w:tc>
      </w:tr>
      <w:tr w:rsidR="0014404C" w14:paraId="318DB6A7" w14:textId="77777777" w:rsidTr="00A07A52">
        <w:tc>
          <w:tcPr>
            <w:tcW w:w="2122" w:type="dxa"/>
          </w:tcPr>
          <w:p w14:paraId="19C24DE9" w14:textId="77777777" w:rsidR="0014404C" w:rsidRDefault="0014404C" w:rsidP="00961AE4">
            <w:r w:rsidRPr="00FE4394">
              <w:t>Net water loss</w:t>
            </w:r>
          </w:p>
        </w:tc>
        <w:tc>
          <w:tcPr>
            <w:tcW w:w="6508" w:type="dxa"/>
          </w:tcPr>
          <w:p w14:paraId="4E33A8A7" w14:textId="77777777" w:rsidR="0014404C" w:rsidRDefault="0014404C" w:rsidP="0014404C">
            <w:pPr>
              <w:pStyle w:val="ListParagraph"/>
              <w:numPr>
                <w:ilvl w:val="0"/>
                <w:numId w:val="36"/>
              </w:numPr>
            </w:pPr>
            <w:r>
              <w:t>Unreplaced insensible loss (dermal and respiratory)</w:t>
            </w:r>
          </w:p>
          <w:p w14:paraId="2ED9F3AC" w14:textId="51250325" w:rsidR="0014404C" w:rsidRDefault="00A07A52" w:rsidP="0014404C">
            <w:pPr>
              <w:pStyle w:val="ListParagraph"/>
              <w:numPr>
                <w:ilvl w:val="0"/>
                <w:numId w:val="36"/>
              </w:numPr>
            </w:pPr>
            <w:r>
              <w:t>I</w:t>
            </w:r>
            <w:r w:rsidR="0014404C">
              <w:t>nadequate fluid intake/impaired thirst – typically in elderly people</w:t>
            </w:r>
          </w:p>
          <w:p w14:paraId="7A65E1A0" w14:textId="74242FA4" w:rsidR="0014404C" w:rsidRDefault="00A07A52" w:rsidP="0014404C">
            <w:pPr>
              <w:pStyle w:val="ListParagraph"/>
              <w:numPr>
                <w:ilvl w:val="0"/>
                <w:numId w:val="36"/>
              </w:numPr>
            </w:pPr>
            <w:r>
              <w:t>D</w:t>
            </w:r>
            <w:r w:rsidR="0014404C">
              <w:t>iabetes insipidus</w:t>
            </w:r>
          </w:p>
        </w:tc>
      </w:tr>
      <w:tr w:rsidR="0014404C" w14:paraId="1353F3E0" w14:textId="77777777" w:rsidTr="00A07A52">
        <w:tc>
          <w:tcPr>
            <w:tcW w:w="2122" w:type="dxa"/>
          </w:tcPr>
          <w:p w14:paraId="24A50481" w14:textId="77777777" w:rsidR="0014404C" w:rsidRDefault="0014404C" w:rsidP="00961AE4">
            <w:r w:rsidRPr="00FE4394">
              <w:t>Hypotonic fluid loss</w:t>
            </w:r>
          </w:p>
        </w:tc>
        <w:tc>
          <w:tcPr>
            <w:tcW w:w="6508" w:type="dxa"/>
          </w:tcPr>
          <w:p w14:paraId="69AA888D" w14:textId="77777777" w:rsidR="0014404C" w:rsidRDefault="0014404C" w:rsidP="0014404C">
            <w:pPr>
              <w:pStyle w:val="ListParagraph"/>
              <w:numPr>
                <w:ilvl w:val="0"/>
                <w:numId w:val="37"/>
              </w:numPr>
            </w:pPr>
            <w:r>
              <w:t>Renal causes, e.g. osmotic diuresis in uncontrolled diabetes</w:t>
            </w:r>
          </w:p>
          <w:p w14:paraId="4E457232" w14:textId="77777777" w:rsidR="0014404C" w:rsidRDefault="0014404C" w:rsidP="0014404C">
            <w:pPr>
              <w:pStyle w:val="ListParagraph"/>
              <w:numPr>
                <w:ilvl w:val="0"/>
                <w:numId w:val="37"/>
              </w:numPr>
            </w:pPr>
            <w:r>
              <w:t>Medicines, e.g. loop diuretics, mannitol, urea, corticosteroids (increase production of urea), high protein supplements</w:t>
            </w:r>
          </w:p>
          <w:p w14:paraId="593AD45C" w14:textId="77777777" w:rsidR="0014404C" w:rsidRDefault="0014404C" w:rsidP="0014404C">
            <w:pPr>
              <w:pStyle w:val="ListParagraph"/>
              <w:numPr>
                <w:ilvl w:val="0"/>
                <w:numId w:val="37"/>
              </w:numPr>
            </w:pPr>
            <w:r>
              <w:t xml:space="preserve">Gastrointestinal losses, e.g. </w:t>
            </w:r>
            <w:proofErr w:type="spellStart"/>
            <w:r>
              <w:t>diarrhoea</w:t>
            </w:r>
            <w:proofErr w:type="spellEnd"/>
            <w:r>
              <w:t>, vomiting, fistulae, use of osmotic laxatives (lactulose, sorbitol)</w:t>
            </w:r>
          </w:p>
          <w:p w14:paraId="40F1B25A" w14:textId="77777777" w:rsidR="0014404C" w:rsidRDefault="0014404C" w:rsidP="0014404C">
            <w:pPr>
              <w:pStyle w:val="ListParagraph"/>
              <w:numPr>
                <w:ilvl w:val="0"/>
                <w:numId w:val="37"/>
              </w:numPr>
            </w:pPr>
            <w:r>
              <w:t>Cutaneous loss, e.g. burns, excessive sweating</w:t>
            </w:r>
          </w:p>
        </w:tc>
      </w:tr>
      <w:tr w:rsidR="0014404C" w14:paraId="0191B030" w14:textId="77777777" w:rsidTr="00A07A52">
        <w:tc>
          <w:tcPr>
            <w:tcW w:w="2122" w:type="dxa"/>
          </w:tcPr>
          <w:p w14:paraId="16BF8F4D" w14:textId="77777777" w:rsidR="0014404C" w:rsidRDefault="0014404C" w:rsidP="00961AE4">
            <w:r w:rsidRPr="00FE4394">
              <w:t>Hypertonic fluid gain</w:t>
            </w:r>
          </w:p>
        </w:tc>
        <w:tc>
          <w:tcPr>
            <w:tcW w:w="6508" w:type="dxa"/>
          </w:tcPr>
          <w:p w14:paraId="4DE935EB" w14:textId="77777777" w:rsidR="0014404C" w:rsidRDefault="0014404C" w:rsidP="0014404C">
            <w:pPr>
              <w:pStyle w:val="ListParagraph"/>
              <w:numPr>
                <w:ilvl w:val="0"/>
                <w:numId w:val="38"/>
              </w:numPr>
            </w:pPr>
            <w:r>
              <w:t>Ingestion of salt, salt water, sodium rich enemas</w:t>
            </w:r>
          </w:p>
          <w:p w14:paraId="06C65403" w14:textId="77777777" w:rsidR="0014404C" w:rsidRDefault="0014404C" w:rsidP="0014404C">
            <w:pPr>
              <w:pStyle w:val="ListParagraph"/>
              <w:numPr>
                <w:ilvl w:val="0"/>
                <w:numId w:val="38"/>
              </w:numPr>
            </w:pPr>
            <w:r>
              <w:t>IV hypertonic infusions, e.g. sodium bicarbonate, sodium chloride</w:t>
            </w:r>
          </w:p>
        </w:tc>
      </w:tr>
    </w:tbl>
    <w:p w14:paraId="4D20E4A6" w14:textId="77777777" w:rsidR="0014404C" w:rsidRDefault="0014404C" w:rsidP="0014404C">
      <w:pPr>
        <w:rPr>
          <w:b/>
        </w:rPr>
      </w:pPr>
    </w:p>
    <w:p w14:paraId="01F08B87" w14:textId="77777777" w:rsidR="0014404C" w:rsidRPr="002507ED" w:rsidRDefault="0014404C" w:rsidP="00A26035">
      <w:pPr>
        <w:pStyle w:val="Heading2"/>
      </w:pPr>
      <w:r w:rsidRPr="002507ED">
        <w:t xml:space="preserve">Presenting symptoms and signs </w:t>
      </w:r>
    </w:p>
    <w:p w14:paraId="0425631C" w14:textId="77777777" w:rsidR="0014404C" w:rsidRDefault="0014404C" w:rsidP="0014404C">
      <w:r w:rsidRPr="002507ED">
        <w:t xml:space="preserve">These become obvious as the </w:t>
      </w:r>
      <w:proofErr w:type="spellStart"/>
      <w:r w:rsidRPr="002507ED">
        <w:t>hypernatraemia</w:t>
      </w:r>
      <w:proofErr w:type="spellEnd"/>
      <w:r w:rsidRPr="002507ED">
        <w:t xml:space="preserve"> becomes more severe:</w:t>
      </w:r>
    </w:p>
    <w:p w14:paraId="2957CAF8" w14:textId="77777777" w:rsidR="0014404C" w:rsidRPr="002507ED" w:rsidRDefault="0014404C" w:rsidP="0014404C">
      <w:pPr>
        <w:pStyle w:val="ListParagraph"/>
        <w:numPr>
          <w:ilvl w:val="0"/>
          <w:numId w:val="41"/>
        </w:numPr>
      </w:pPr>
      <w:r w:rsidRPr="002507ED">
        <w:t>Thirst</w:t>
      </w:r>
    </w:p>
    <w:p w14:paraId="2812537E" w14:textId="77777777" w:rsidR="0014404C" w:rsidRPr="002507ED" w:rsidRDefault="0014404C" w:rsidP="0014404C">
      <w:pPr>
        <w:pStyle w:val="ListParagraph"/>
        <w:numPr>
          <w:ilvl w:val="0"/>
          <w:numId w:val="40"/>
        </w:numPr>
      </w:pPr>
      <w:r w:rsidRPr="002507ED">
        <w:t xml:space="preserve">Fever </w:t>
      </w:r>
    </w:p>
    <w:p w14:paraId="6219D756" w14:textId="77777777" w:rsidR="0014404C" w:rsidRPr="002507ED" w:rsidRDefault="0014404C" w:rsidP="0014404C">
      <w:pPr>
        <w:pStyle w:val="ListParagraph"/>
        <w:numPr>
          <w:ilvl w:val="0"/>
          <w:numId w:val="40"/>
        </w:numPr>
      </w:pPr>
      <w:r w:rsidRPr="002507ED">
        <w:t>Sensorium change</w:t>
      </w:r>
    </w:p>
    <w:p w14:paraId="1466D62C" w14:textId="77777777" w:rsidR="0014404C" w:rsidRPr="002507ED" w:rsidRDefault="0014404C" w:rsidP="0014404C">
      <w:pPr>
        <w:pStyle w:val="ListParagraph"/>
        <w:numPr>
          <w:ilvl w:val="0"/>
          <w:numId w:val="40"/>
        </w:numPr>
      </w:pPr>
      <w:r w:rsidRPr="002507ED">
        <w:t xml:space="preserve">Seizure </w:t>
      </w:r>
    </w:p>
    <w:p w14:paraId="48332290" w14:textId="77777777" w:rsidR="0014404C" w:rsidRDefault="0014404C" w:rsidP="0014404C">
      <w:pPr>
        <w:pStyle w:val="ListParagraph"/>
        <w:numPr>
          <w:ilvl w:val="0"/>
          <w:numId w:val="40"/>
        </w:numPr>
      </w:pPr>
      <w:r w:rsidRPr="002507ED">
        <w:t>Focal neurological deficits</w:t>
      </w:r>
    </w:p>
    <w:p w14:paraId="6CC1BA36" w14:textId="77777777" w:rsidR="0014404C" w:rsidRPr="002507ED" w:rsidRDefault="0014404C" w:rsidP="0014404C">
      <w:pPr>
        <w:pStyle w:val="ListParagraph"/>
        <w:numPr>
          <w:ilvl w:val="0"/>
          <w:numId w:val="40"/>
        </w:numPr>
      </w:pPr>
      <w:r w:rsidRPr="002507ED">
        <w:t>Hyperventilation</w:t>
      </w:r>
    </w:p>
    <w:p w14:paraId="15CB702F" w14:textId="77777777" w:rsidR="00A26035" w:rsidRDefault="00A26035">
      <w:pPr>
        <w:spacing w:after="0"/>
        <w:outlineLvl w:val="9"/>
        <w:rPr>
          <w:rFonts w:cs="Times New Roman"/>
          <w:b/>
          <w:sz w:val="24"/>
          <w:szCs w:val="28"/>
        </w:rPr>
      </w:pPr>
      <w:r>
        <w:br w:type="page"/>
      </w:r>
    </w:p>
    <w:p w14:paraId="5F11A9E5" w14:textId="17EA6257" w:rsidR="0014404C" w:rsidRPr="007B69A0" w:rsidRDefault="0014404C" w:rsidP="007B69A0">
      <w:pPr>
        <w:pStyle w:val="Heading2"/>
      </w:pPr>
      <w:r w:rsidRPr="007B69A0">
        <w:lastRenderedPageBreak/>
        <w:t>Management</w:t>
      </w:r>
    </w:p>
    <w:p w14:paraId="43AF8ED5" w14:textId="0FD774ED" w:rsidR="0014404C" w:rsidRDefault="0014404C" w:rsidP="0014404C">
      <w:r>
        <w:t xml:space="preserve">Stop </w:t>
      </w:r>
      <w:r w:rsidR="00EE0D49">
        <w:t xml:space="preserve">or decrease dosage of </w:t>
      </w:r>
      <w:r>
        <w:t>medications and infusions which are likely causes of hypernatremia.</w:t>
      </w:r>
    </w:p>
    <w:p w14:paraId="20F87294" w14:textId="0233ED75" w:rsidR="00F90949" w:rsidRPr="00F90949" w:rsidRDefault="00F90949" w:rsidP="00F90949">
      <w:pPr>
        <w:pStyle w:val="Heading3"/>
      </w:pPr>
      <w:r w:rsidRPr="00F90949">
        <w:t>Adults</w:t>
      </w:r>
    </w:p>
    <w:p w14:paraId="2B05CB7D" w14:textId="71E3F37B" w:rsidR="00BD3424" w:rsidRDefault="008959DE" w:rsidP="0014404C">
      <w:r w:rsidRPr="008959DE">
        <w:rPr>
          <w:b/>
        </w:rPr>
        <w:t>M</w:t>
      </w:r>
      <w:r w:rsidR="0014404C" w:rsidRPr="008959DE">
        <w:rPr>
          <w:b/>
        </w:rPr>
        <w:t xml:space="preserve">ild to moderate </w:t>
      </w:r>
      <w:proofErr w:type="spellStart"/>
      <w:r w:rsidR="0014404C" w:rsidRPr="008959DE">
        <w:rPr>
          <w:b/>
        </w:rPr>
        <w:t>hypernatraemia</w:t>
      </w:r>
      <w:proofErr w:type="spellEnd"/>
      <w:r w:rsidR="00BD3424">
        <w:t xml:space="preserve"> </w:t>
      </w:r>
      <w:r w:rsidR="00877B33">
        <w:t>(</w:t>
      </w:r>
      <w:r w:rsidR="00EE0D49">
        <w:t>Na</w:t>
      </w:r>
      <w:r w:rsidR="0014404C">
        <w:t xml:space="preserve"> 146-159</w:t>
      </w:r>
      <w:r w:rsidR="00BD3424">
        <w:t xml:space="preserve"> </w:t>
      </w:r>
      <w:r w:rsidR="0014404C">
        <w:t>mmol/</w:t>
      </w:r>
      <w:r w:rsidR="00877B33">
        <w:t>l)</w:t>
      </w:r>
      <w:r>
        <w:t>:</w:t>
      </w:r>
      <w:r w:rsidR="0014404C">
        <w:t xml:space="preserve"> oral water therapy may be </w:t>
      </w:r>
      <w:proofErr w:type="gramStart"/>
      <w:r w:rsidR="0014404C">
        <w:t>sufficient</w:t>
      </w:r>
      <w:proofErr w:type="gramEnd"/>
      <w:r w:rsidR="00AF1052">
        <w:t xml:space="preserve">. </w:t>
      </w:r>
    </w:p>
    <w:p w14:paraId="25C01516" w14:textId="042037FE" w:rsidR="00F90949" w:rsidRDefault="00F90949" w:rsidP="00F90949">
      <w:r w:rsidRPr="00F90949">
        <w:rPr>
          <w:b/>
        </w:rPr>
        <w:t xml:space="preserve">Severe </w:t>
      </w:r>
      <w:proofErr w:type="spellStart"/>
      <w:r w:rsidRPr="00F90949">
        <w:rPr>
          <w:b/>
        </w:rPr>
        <w:t>hypernatraemia</w:t>
      </w:r>
      <w:proofErr w:type="spellEnd"/>
      <w:r>
        <w:t xml:space="preserve"> (Na &gt; 160 mmol/l): use IV 5% Dextrose with the aim to reduce Na at a rate of 0.5 mmol/</w:t>
      </w:r>
      <w:proofErr w:type="spellStart"/>
      <w:r>
        <w:t>hr</w:t>
      </w:r>
      <w:proofErr w:type="spellEnd"/>
      <w:r>
        <w:t xml:space="preserve"> and not more than 10 mmol/24hrs. Monitor Na every 4 hours. Note that too rapid a correction of the Na can cause cerebral </w:t>
      </w:r>
      <w:proofErr w:type="spellStart"/>
      <w:r>
        <w:t>oedema</w:t>
      </w:r>
      <w:proofErr w:type="spellEnd"/>
      <w:r>
        <w:t xml:space="preserve">, convulsions and brain injury. </w:t>
      </w:r>
    </w:p>
    <w:p w14:paraId="20381AB4" w14:textId="685A45C7" w:rsidR="00F90949" w:rsidRDefault="00F90949" w:rsidP="00F90949">
      <w:pPr>
        <w:pStyle w:val="Heading3"/>
      </w:pPr>
      <w:r>
        <w:t>Children</w:t>
      </w:r>
    </w:p>
    <w:p w14:paraId="410756A6" w14:textId="703FAFA0" w:rsidR="0014404C" w:rsidRDefault="008959DE" w:rsidP="0014404C">
      <w:r w:rsidRPr="008959DE">
        <w:rPr>
          <w:b/>
        </w:rPr>
        <w:t>M</w:t>
      </w:r>
      <w:r w:rsidR="00BD3424" w:rsidRPr="008959DE">
        <w:rPr>
          <w:b/>
        </w:rPr>
        <w:t xml:space="preserve">ild </w:t>
      </w:r>
      <w:proofErr w:type="spellStart"/>
      <w:r w:rsidR="00BD3424" w:rsidRPr="008959DE">
        <w:rPr>
          <w:b/>
        </w:rPr>
        <w:t>hypernatraemia</w:t>
      </w:r>
      <w:proofErr w:type="spellEnd"/>
      <w:r w:rsidR="00F90949">
        <w:rPr>
          <w:b/>
        </w:rPr>
        <w:t xml:space="preserve"> </w:t>
      </w:r>
      <w:r w:rsidR="00877B33">
        <w:t>(Na 1</w:t>
      </w:r>
      <w:r>
        <w:t>46</w:t>
      </w:r>
      <w:r w:rsidR="00877B33">
        <w:t>-149 mmol/l)</w:t>
      </w:r>
      <w:r>
        <w:t>:</w:t>
      </w:r>
      <w:r w:rsidR="00E1417F">
        <w:t xml:space="preserve"> </w:t>
      </w:r>
      <w:proofErr w:type="spellStart"/>
      <w:r w:rsidR="00E1417F">
        <w:t>enourage</w:t>
      </w:r>
      <w:proofErr w:type="spellEnd"/>
      <w:r w:rsidR="00E1417F">
        <w:t xml:space="preserve"> drinking. </w:t>
      </w:r>
      <w:r w:rsidR="00AF1052">
        <w:t xml:space="preserve">Stop any feed fortifications </w:t>
      </w:r>
      <w:r w:rsidR="00956092">
        <w:t>(</w:t>
      </w:r>
      <w:proofErr w:type="spellStart"/>
      <w:r w:rsidR="00956092">
        <w:t>eg</w:t>
      </w:r>
      <w:proofErr w:type="spellEnd"/>
      <w:r w:rsidR="00956092">
        <w:t xml:space="preserve"> extra scoops of formula – not F75 or F100</w:t>
      </w:r>
      <w:r w:rsidR="00E1417F">
        <w:t>)</w:t>
      </w:r>
      <w:r w:rsidR="00956092">
        <w:t>.</w:t>
      </w:r>
    </w:p>
    <w:p w14:paraId="0C0E7948" w14:textId="2CDCDFCF" w:rsidR="00BD3424" w:rsidRDefault="008959DE" w:rsidP="0014404C">
      <w:r w:rsidRPr="008959DE">
        <w:rPr>
          <w:b/>
        </w:rPr>
        <w:t>M</w:t>
      </w:r>
      <w:r w:rsidR="00E1417F" w:rsidRPr="008959DE">
        <w:rPr>
          <w:b/>
        </w:rPr>
        <w:t xml:space="preserve">oderate </w:t>
      </w:r>
      <w:proofErr w:type="spellStart"/>
      <w:r w:rsidR="00E1417F" w:rsidRPr="008959DE">
        <w:rPr>
          <w:b/>
        </w:rPr>
        <w:t>hypernatraemi</w:t>
      </w:r>
      <w:r w:rsidRPr="008959DE">
        <w:rPr>
          <w:b/>
        </w:rPr>
        <w:t>a</w:t>
      </w:r>
      <w:proofErr w:type="spellEnd"/>
      <w:r w:rsidR="00F90949">
        <w:rPr>
          <w:b/>
        </w:rPr>
        <w:t xml:space="preserve"> </w:t>
      </w:r>
      <w:r>
        <w:t>(Na 150-169 mmol/l):</w:t>
      </w:r>
    </w:p>
    <w:p w14:paraId="70526CBF" w14:textId="77777777" w:rsidR="0051210E" w:rsidRPr="00725726" w:rsidRDefault="0051210E" w:rsidP="0051210E">
      <w:pPr>
        <w:shd w:val="clear" w:color="auto" w:fill="FFFFFF"/>
        <w:spacing w:after="75"/>
        <w:rPr>
          <w:rFonts w:eastAsia="Times New Roman"/>
          <w:lang w:eastAsia="en-GB"/>
        </w:rPr>
      </w:pPr>
      <w:r w:rsidRPr="00725726">
        <w:rPr>
          <w:rFonts w:eastAsia="Times New Roman"/>
          <w:lang w:eastAsia="en-GB"/>
        </w:rPr>
        <w:t>If "shocked", resuscitate with boluses 20ml/kg of 0.9% saline as required.</w:t>
      </w:r>
    </w:p>
    <w:p w14:paraId="6AC04BD7" w14:textId="77777777" w:rsidR="00F0547E" w:rsidRPr="00725726" w:rsidRDefault="00F0547E" w:rsidP="00F0547E">
      <w:pPr>
        <w:rPr>
          <w:rFonts w:eastAsia="Times New Roman"/>
          <w:lang w:eastAsia="en-GB"/>
        </w:rPr>
      </w:pPr>
      <w:r w:rsidRPr="00725726">
        <w:rPr>
          <w:rFonts w:eastAsia="Times New Roman"/>
          <w:lang w:eastAsia="en-GB"/>
        </w:rPr>
        <w:t xml:space="preserve">After initial resuscitation, replace the deficit plus maintenance slowly at a uniform rate </w:t>
      </w:r>
      <w:hyperlink r:id="rId8" w:anchor="1" w:tooltip="over 48 hours" w:history="1">
        <w:r w:rsidRPr="00F0547E">
          <w:rPr>
            <w:rFonts w:eastAsia="Times New Roman"/>
            <w:bCs/>
            <w:u w:val="single"/>
            <w:lang w:eastAsia="en-GB"/>
          </w:rPr>
          <w:t>over 48 hours</w:t>
        </w:r>
      </w:hyperlink>
      <w:r w:rsidRPr="00725726">
        <w:rPr>
          <w:rFonts w:eastAsia="Times New Roman"/>
          <w:b/>
          <w:bCs/>
          <w:lang w:eastAsia="en-GB"/>
        </w:rPr>
        <w:t>.</w:t>
      </w:r>
      <w:r w:rsidRPr="00725726">
        <w:rPr>
          <w:rFonts w:eastAsia="Times New Roman"/>
          <w:lang w:eastAsia="en-GB"/>
        </w:rPr>
        <w:t xml:space="preserve"> </w:t>
      </w:r>
    </w:p>
    <w:p w14:paraId="6E2A59EF" w14:textId="77777777" w:rsidR="00F0547E" w:rsidRPr="0040473B" w:rsidRDefault="00F0547E" w:rsidP="0040473B">
      <w:pPr>
        <w:pStyle w:val="ListParagraph"/>
        <w:numPr>
          <w:ilvl w:val="0"/>
          <w:numId w:val="43"/>
        </w:numPr>
        <w:rPr>
          <w:rFonts w:eastAsia="Times New Roman"/>
          <w:lang w:eastAsia="en-GB"/>
        </w:rPr>
      </w:pPr>
      <w:r w:rsidRPr="0040473B">
        <w:rPr>
          <w:rFonts w:eastAsia="Times New Roman"/>
          <w:lang w:eastAsia="en-GB"/>
        </w:rPr>
        <w:t>Nasogastric rehydration is preferred</w:t>
      </w:r>
    </w:p>
    <w:p w14:paraId="69C91611" w14:textId="77777777" w:rsidR="00F0547E" w:rsidRPr="0040473B" w:rsidRDefault="00F0547E" w:rsidP="00FF7416">
      <w:pPr>
        <w:pStyle w:val="ListParagraph"/>
        <w:numPr>
          <w:ilvl w:val="1"/>
          <w:numId w:val="43"/>
        </w:numPr>
        <w:rPr>
          <w:rFonts w:eastAsia="Times New Roman"/>
          <w:lang w:eastAsia="en-GB"/>
        </w:rPr>
      </w:pPr>
      <w:r w:rsidRPr="0040473B">
        <w:rPr>
          <w:rFonts w:eastAsia="Times New Roman"/>
          <w:lang w:eastAsia="en-GB"/>
        </w:rPr>
        <w:t>Carefully regulate fluid intake - do not allow excessive intake in a thirsty child.</w:t>
      </w:r>
    </w:p>
    <w:p w14:paraId="626067E9" w14:textId="6B255107" w:rsidR="00F0547E" w:rsidRPr="0040473B" w:rsidRDefault="00F0547E" w:rsidP="00FF7416">
      <w:pPr>
        <w:pStyle w:val="ListParagraph"/>
        <w:numPr>
          <w:ilvl w:val="1"/>
          <w:numId w:val="43"/>
        </w:numPr>
        <w:rPr>
          <w:rFonts w:eastAsia="Times New Roman"/>
          <w:lang w:eastAsia="en-GB"/>
        </w:rPr>
      </w:pPr>
      <w:r w:rsidRPr="0040473B">
        <w:rPr>
          <w:rFonts w:eastAsia="Times New Roman"/>
          <w:lang w:eastAsia="en-GB"/>
        </w:rPr>
        <w:t>If the serum sodium falls too rapidly (&gt;</w:t>
      </w:r>
      <w:r w:rsidR="00BB6A1B">
        <w:rPr>
          <w:rFonts w:eastAsia="Times New Roman"/>
          <w:lang w:eastAsia="en-GB"/>
        </w:rPr>
        <w:t xml:space="preserve"> </w:t>
      </w:r>
      <w:r w:rsidRPr="0040473B">
        <w:rPr>
          <w:rFonts w:eastAsia="Times New Roman"/>
          <w:lang w:eastAsia="en-GB"/>
        </w:rPr>
        <w:t>0.5 mmol/l/</w:t>
      </w:r>
      <w:proofErr w:type="spellStart"/>
      <w:r w:rsidRPr="0040473B">
        <w:rPr>
          <w:rFonts w:eastAsia="Times New Roman"/>
          <w:lang w:eastAsia="en-GB"/>
        </w:rPr>
        <w:t>hr</w:t>
      </w:r>
      <w:proofErr w:type="spellEnd"/>
      <w:r w:rsidRPr="0040473B">
        <w:rPr>
          <w:rFonts w:eastAsia="Times New Roman"/>
          <w:lang w:eastAsia="en-GB"/>
        </w:rPr>
        <w:t xml:space="preserve">) slow the rate of rehydration (for example, by 20%) or change to intravenous fluids. </w:t>
      </w:r>
    </w:p>
    <w:p w14:paraId="277F3867" w14:textId="77777777" w:rsidR="00F0547E" w:rsidRPr="0040473B" w:rsidRDefault="00F0547E" w:rsidP="0040473B">
      <w:pPr>
        <w:pStyle w:val="ListParagraph"/>
        <w:numPr>
          <w:ilvl w:val="0"/>
          <w:numId w:val="43"/>
        </w:numPr>
        <w:rPr>
          <w:rFonts w:eastAsia="Times New Roman"/>
          <w:lang w:eastAsia="en-GB"/>
        </w:rPr>
      </w:pPr>
      <w:r w:rsidRPr="0040473B">
        <w:rPr>
          <w:rFonts w:eastAsia="Times New Roman"/>
          <w:lang w:eastAsia="en-GB"/>
        </w:rPr>
        <w:t xml:space="preserve">If needing intravenous rehydration use </w:t>
      </w:r>
      <w:r w:rsidRPr="0040473B">
        <w:rPr>
          <w:rFonts w:eastAsia="Times New Roman"/>
          <w:b/>
          <w:bCs/>
          <w:lang w:eastAsia="en-GB"/>
        </w:rPr>
        <w:t>0.9% sodium chloride (normal saline) and 5% Glucose</w:t>
      </w:r>
      <w:r w:rsidRPr="0040473B">
        <w:rPr>
          <w:rFonts w:eastAsia="Times New Roman"/>
          <w:lang w:eastAsia="en-GB"/>
        </w:rPr>
        <w:t xml:space="preserve">. Add maintenance </w:t>
      </w:r>
      <w:proofErr w:type="spellStart"/>
      <w:r w:rsidRPr="0040473B">
        <w:rPr>
          <w:rFonts w:eastAsia="Times New Roman"/>
          <w:lang w:eastAsia="en-GB"/>
        </w:rPr>
        <w:t>KCl</w:t>
      </w:r>
      <w:proofErr w:type="spellEnd"/>
      <w:r w:rsidRPr="0040473B">
        <w:rPr>
          <w:rFonts w:eastAsia="Times New Roman"/>
          <w:lang w:eastAsia="en-GB"/>
        </w:rPr>
        <w:t xml:space="preserve"> once urine output established. </w:t>
      </w:r>
    </w:p>
    <w:p w14:paraId="56A38A54" w14:textId="390DB518" w:rsidR="00F0547E" w:rsidRPr="0040473B" w:rsidRDefault="00F0547E" w:rsidP="0040473B">
      <w:pPr>
        <w:pStyle w:val="ListParagraph"/>
        <w:numPr>
          <w:ilvl w:val="0"/>
          <w:numId w:val="43"/>
        </w:numPr>
        <w:rPr>
          <w:rFonts w:eastAsia="Times New Roman"/>
          <w:lang w:eastAsia="en-GB"/>
        </w:rPr>
      </w:pPr>
      <w:r w:rsidRPr="0040473B">
        <w:rPr>
          <w:rFonts w:eastAsia="Times New Roman"/>
          <w:lang w:eastAsia="en-GB"/>
        </w:rPr>
        <w:t xml:space="preserve">Check U&amp;Es and glucose </w:t>
      </w:r>
      <w:r w:rsidR="0040473B" w:rsidRPr="0040473B">
        <w:rPr>
          <w:rFonts w:eastAsia="Times New Roman"/>
          <w:lang w:eastAsia="en-GB"/>
        </w:rPr>
        <w:t>frequently</w:t>
      </w:r>
      <w:r w:rsidRPr="0040473B">
        <w:rPr>
          <w:rFonts w:eastAsia="Times New Roman"/>
          <w:lang w:eastAsia="en-GB"/>
        </w:rPr>
        <w:t xml:space="preserve"> </w:t>
      </w:r>
      <w:proofErr w:type="spellStart"/>
      <w:r w:rsidRPr="0040473B">
        <w:rPr>
          <w:rFonts w:eastAsia="Times New Roman"/>
          <w:lang w:eastAsia="en-GB"/>
        </w:rPr>
        <w:t>intially</w:t>
      </w:r>
      <w:proofErr w:type="spellEnd"/>
      <w:r w:rsidRPr="0040473B">
        <w:rPr>
          <w:rFonts w:eastAsia="Times New Roman"/>
          <w:lang w:eastAsia="en-GB"/>
        </w:rPr>
        <w:t xml:space="preserve">. </w:t>
      </w:r>
    </w:p>
    <w:p w14:paraId="5AFE9A39" w14:textId="759D263C" w:rsidR="00F0547E" w:rsidRPr="0040473B" w:rsidRDefault="00F0547E" w:rsidP="0040473B">
      <w:pPr>
        <w:pStyle w:val="ListParagraph"/>
        <w:numPr>
          <w:ilvl w:val="0"/>
          <w:numId w:val="43"/>
        </w:numPr>
        <w:rPr>
          <w:rFonts w:eastAsia="Times New Roman"/>
          <w:lang w:eastAsia="en-GB"/>
        </w:rPr>
      </w:pPr>
      <w:r w:rsidRPr="0040473B">
        <w:rPr>
          <w:rFonts w:eastAsia="Times New Roman"/>
          <w:lang w:eastAsia="en-GB"/>
        </w:rPr>
        <w:t>If after 6 hours of rehydration therapy</w:t>
      </w:r>
      <w:r w:rsidR="0040473B" w:rsidRPr="0040473B">
        <w:rPr>
          <w:rFonts w:eastAsia="Times New Roman"/>
          <w:lang w:eastAsia="en-GB"/>
        </w:rPr>
        <w:t>,</w:t>
      </w:r>
      <w:r w:rsidRPr="0040473B">
        <w:rPr>
          <w:rFonts w:eastAsia="Times New Roman"/>
          <w:lang w:eastAsia="en-GB"/>
        </w:rPr>
        <w:t xml:space="preserve"> the sodium is decreasing at a steady rate then check the U&amp;Es and glucose 4 hourly.</w:t>
      </w:r>
    </w:p>
    <w:p w14:paraId="746F5126" w14:textId="432583D1" w:rsidR="00F0547E" w:rsidRPr="0040473B" w:rsidRDefault="00F0547E" w:rsidP="0040473B">
      <w:pPr>
        <w:pStyle w:val="ListParagraph"/>
        <w:numPr>
          <w:ilvl w:val="0"/>
          <w:numId w:val="43"/>
        </w:numPr>
        <w:rPr>
          <w:rFonts w:eastAsia="Times New Roman"/>
          <w:lang w:eastAsia="en-GB"/>
        </w:rPr>
      </w:pPr>
      <w:r w:rsidRPr="0040473B">
        <w:rPr>
          <w:rFonts w:eastAsia="Times New Roman"/>
          <w:lang w:eastAsia="en-GB"/>
        </w:rPr>
        <w:t>If serum sodium is falling faster than 1 mmol/</w:t>
      </w:r>
      <w:r w:rsidR="0040473B" w:rsidRPr="0040473B">
        <w:rPr>
          <w:rFonts w:eastAsia="Times New Roman"/>
          <w:lang w:eastAsia="en-GB"/>
        </w:rPr>
        <w:t>l</w:t>
      </w:r>
      <w:r w:rsidRPr="0040473B">
        <w:rPr>
          <w:rFonts w:eastAsia="Times New Roman"/>
          <w:lang w:eastAsia="en-GB"/>
        </w:rPr>
        <w:t>/</w:t>
      </w:r>
      <w:proofErr w:type="spellStart"/>
      <w:r w:rsidRPr="0040473B">
        <w:rPr>
          <w:rFonts w:eastAsia="Times New Roman"/>
          <w:lang w:eastAsia="en-GB"/>
        </w:rPr>
        <w:t>hr</w:t>
      </w:r>
      <w:proofErr w:type="spellEnd"/>
      <w:r w:rsidR="0040473B" w:rsidRPr="0040473B">
        <w:rPr>
          <w:rFonts w:eastAsia="Times New Roman"/>
          <w:lang w:eastAsia="en-GB"/>
        </w:rPr>
        <w:t xml:space="preserve">, stop </w:t>
      </w:r>
      <w:proofErr w:type="spellStart"/>
      <w:r w:rsidR="0040473B" w:rsidRPr="0040473B">
        <w:rPr>
          <w:rFonts w:eastAsia="Times New Roman"/>
          <w:lang w:eastAsia="en-GB"/>
        </w:rPr>
        <w:t>infusate</w:t>
      </w:r>
      <w:proofErr w:type="spellEnd"/>
      <w:r w:rsidR="0040473B" w:rsidRPr="0040473B">
        <w:rPr>
          <w:rFonts w:eastAsia="Times New Roman"/>
          <w:lang w:eastAsia="en-GB"/>
        </w:rPr>
        <w:t xml:space="preserve"> and seek senior support.</w:t>
      </w:r>
    </w:p>
    <w:p w14:paraId="5DCC5CCE" w14:textId="1EDB569F" w:rsidR="002759FB" w:rsidRDefault="00F90949" w:rsidP="0014404C">
      <w:r w:rsidRPr="00F90949">
        <w:rPr>
          <w:b/>
        </w:rPr>
        <w:t xml:space="preserve">Severe </w:t>
      </w:r>
      <w:proofErr w:type="spellStart"/>
      <w:r w:rsidRPr="00F90949">
        <w:rPr>
          <w:b/>
        </w:rPr>
        <w:t>hypernatraemia</w:t>
      </w:r>
      <w:proofErr w:type="spellEnd"/>
      <w:r w:rsidRPr="00F90949">
        <w:rPr>
          <w:b/>
        </w:rPr>
        <w:t xml:space="preserve"> </w:t>
      </w:r>
      <w:r>
        <w:t>(Na &gt; 170 mmol/l):</w:t>
      </w:r>
    </w:p>
    <w:p w14:paraId="09F4F73E" w14:textId="1E53E686" w:rsidR="008959DE" w:rsidRDefault="00765862" w:rsidP="0014404C">
      <w:pPr>
        <w:rPr>
          <w:lang w:eastAsia="en-GB"/>
        </w:rPr>
      </w:pPr>
      <w:r>
        <w:t xml:space="preserve">This is a medical emergency. </w:t>
      </w:r>
      <w:r w:rsidR="002B3924" w:rsidRPr="00725726">
        <w:rPr>
          <w:lang w:eastAsia="en-GB"/>
        </w:rPr>
        <w:t>After initial resuscitation, aim to replace deficit and maintenance with</w:t>
      </w:r>
      <w:r w:rsidR="002B3924" w:rsidRPr="00725726" w:rsidDel="002B0400">
        <w:rPr>
          <w:b/>
          <w:bCs/>
          <w:lang w:eastAsia="en-GB"/>
        </w:rPr>
        <w:t xml:space="preserve"> </w:t>
      </w:r>
      <w:r w:rsidR="002B3924" w:rsidRPr="00725726">
        <w:rPr>
          <w:b/>
          <w:bCs/>
          <w:lang w:eastAsia="en-GB"/>
        </w:rPr>
        <w:t xml:space="preserve">0.9% sodium chloride (normal saline) and 5% </w:t>
      </w:r>
      <w:r w:rsidR="00BB6A1B">
        <w:rPr>
          <w:b/>
          <w:bCs/>
          <w:lang w:eastAsia="en-GB"/>
        </w:rPr>
        <w:t>g</w:t>
      </w:r>
      <w:r w:rsidR="002B3924" w:rsidRPr="00725726">
        <w:rPr>
          <w:b/>
          <w:bCs/>
          <w:lang w:eastAsia="en-GB"/>
        </w:rPr>
        <w:t>lucose</w:t>
      </w:r>
      <w:r w:rsidR="002B3924" w:rsidRPr="00725726">
        <w:rPr>
          <w:lang w:eastAsia="en-GB"/>
        </w:rPr>
        <w:t xml:space="preserve"> over 72 - 96 hours</w:t>
      </w:r>
      <w:r w:rsidR="002B3924">
        <w:rPr>
          <w:lang w:eastAsia="en-GB"/>
        </w:rPr>
        <w:t xml:space="preserve">. Seek senior support early and monitor U&amp;Es </w:t>
      </w:r>
      <w:r w:rsidR="00D54F05">
        <w:rPr>
          <w:lang w:eastAsia="en-GB"/>
        </w:rPr>
        <w:t>up to hourly. Involve lab staff as soon as possible.</w:t>
      </w:r>
    </w:p>
    <w:p w14:paraId="0E04ACA4" w14:textId="77777777" w:rsidR="003C5DD8" w:rsidRPr="00F90949" w:rsidRDefault="003C5DD8" w:rsidP="003C5DD8">
      <w:pPr>
        <w:pStyle w:val="Heading3"/>
      </w:pPr>
      <w:r w:rsidRPr="00F90949">
        <w:t>Calculation</w:t>
      </w:r>
    </w:p>
    <w:p w14:paraId="645FB9C3" w14:textId="77777777" w:rsidR="003C5DD8" w:rsidRDefault="003C5DD8" w:rsidP="003C5DD8">
      <w:pPr>
        <w:pStyle w:val="ListParagraph"/>
        <w:numPr>
          <w:ilvl w:val="0"/>
          <w:numId w:val="39"/>
        </w:numPr>
      </w:pPr>
      <w:r w:rsidRPr="002865F0">
        <w:t xml:space="preserve">Water deficit (in </w:t>
      </w:r>
      <w:proofErr w:type="spellStart"/>
      <w:r w:rsidRPr="002865F0">
        <w:t>lit</w:t>
      </w:r>
      <w:r>
        <w:t>re</w:t>
      </w:r>
      <w:r w:rsidRPr="002865F0">
        <w:t>s</w:t>
      </w:r>
      <w:proofErr w:type="spellEnd"/>
      <w:r w:rsidRPr="002865F0">
        <w:t>) = TBW ×</w:t>
      </w:r>
      <w:r>
        <w:t xml:space="preserve"> </w:t>
      </w:r>
      <w:r w:rsidRPr="002865F0">
        <w:t>([</w:t>
      </w:r>
      <w:r>
        <w:t>Na</w:t>
      </w:r>
      <w:r w:rsidRPr="002865F0">
        <w:t>/140] – 1</w:t>
      </w:r>
      <w:r>
        <w:t xml:space="preserve"> </w:t>
      </w:r>
    </w:p>
    <w:p w14:paraId="476651CB" w14:textId="77777777" w:rsidR="003C5DD8" w:rsidRDefault="003C5DD8" w:rsidP="003C5DD8">
      <w:r>
        <w:t xml:space="preserve">This determines the amount of fluid to be infused over 48 hours. </w:t>
      </w:r>
    </w:p>
    <w:p w14:paraId="3B5CBE6D" w14:textId="77777777" w:rsidR="003C5DD8" w:rsidRDefault="003C5DD8" w:rsidP="003C5DD8">
      <w:pPr>
        <w:pStyle w:val="ListParagraph"/>
        <w:numPr>
          <w:ilvl w:val="0"/>
          <w:numId w:val="39"/>
        </w:numPr>
      </w:pPr>
      <w:r>
        <w:t xml:space="preserve">Change in Na = </w:t>
      </w:r>
      <w:proofErr w:type="spellStart"/>
      <w:r>
        <w:t>Infusate</w:t>
      </w:r>
      <w:proofErr w:type="spellEnd"/>
      <w:r>
        <w:t xml:space="preserve"> Na – Na / (total body water +1) </w:t>
      </w:r>
    </w:p>
    <w:p w14:paraId="700221BA" w14:textId="77777777" w:rsidR="003C5DD8" w:rsidRDefault="003C5DD8" w:rsidP="003C5DD8">
      <w:r>
        <w:t xml:space="preserve">This gives the change in Na per </w:t>
      </w:r>
      <w:proofErr w:type="spellStart"/>
      <w:r>
        <w:t>litre</w:t>
      </w:r>
      <w:proofErr w:type="spellEnd"/>
      <w:r>
        <w:t xml:space="preserve"> of </w:t>
      </w:r>
      <w:proofErr w:type="spellStart"/>
      <w:r>
        <w:t>infusate</w:t>
      </w:r>
      <w:proofErr w:type="spellEnd"/>
      <w:r>
        <w:t xml:space="preserve">. If using 5% dextrose the </w:t>
      </w:r>
      <w:proofErr w:type="spellStart"/>
      <w:r>
        <w:t>infusate</w:t>
      </w:r>
      <w:proofErr w:type="spellEnd"/>
      <w:r>
        <w:t xml:space="preserve"> Na is 0.</w:t>
      </w:r>
    </w:p>
    <w:p w14:paraId="1CD4DD60" w14:textId="77777777" w:rsidR="003C5DD8" w:rsidRDefault="003C5DD8" w:rsidP="003C5DD8">
      <w:r>
        <w:lastRenderedPageBreak/>
        <w:t>You may use the calculator on this website to determine the rate of fluid infusion :</w:t>
      </w:r>
      <w:r w:rsidRPr="00AD10C1">
        <w:t xml:space="preserve"> </w:t>
      </w:r>
      <w:hyperlink r:id="rId9" w:history="1">
        <w:r w:rsidRPr="00E70282">
          <w:rPr>
            <w:rStyle w:val="Hyperlink"/>
          </w:rPr>
          <w:t>https://www.mdcalc.com/sodium-correction-rate-hyponatremia-hypernatremia</w:t>
        </w:r>
      </w:hyperlink>
      <w:r>
        <w:t xml:space="preserve"> </w:t>
      </w:r>
    </w:p>
    <w:p w14:paraId="5EE3E367" w14:textId="75469FE8" w:rsidR="00F03F25" w:rsidRPr="003C0800" w:rsidRDefault="00F03F25" w:rsidP="00F03F25">
      <w:pPr>
        <w:pStyle w:val="Heading2"/>
        <w:rPr>
          <w:rFonts w:cs="Arial"/>
          <w:szCs w:val="22"/>
        </w:rPr>
      </w:pPr>
      <w:r w:rsidRPr="003C0800">
        <w:rPr>
          <w:rFonts w:cs="Arial"/>
          <w:szCs w:val="22"/>
        </w:rPr>
        <w:t>Key Issues for Nursing care</w:t>
      </w:r>
    </w:p>
    <w:p w14:paraId="6A74DAE7" w14:textId="2099AD9C" w:rsidR="00AD6820" w:rsidRPr="00AD6820" w:rsidRDefault="007B69A0" w:rsidP="00AD6820">
      <w:pPr>
        <w:pStyle w:val="ListParagraph"/>
        <w:numPr>
          <w:ilvl w:val="0"/>
          <w:numId w:val="39"/>
        </w:numPr>
        <w:rPr>
          <w:rFonts w:cs="Times New Roman"/>
          <w:sz w:val="24"/>
          <w:szCs w:val="28"/>
        </w:rPr>
      </w:pPr>
      <w:r w:rsidRPr="00AD6820">
        <w:t xml:space="preserve">Severe </w:t>
      </w:r>
      <w:proofErr w:type="spellStart"/>
      <w:r w:rsidRPr="00AD6820">
        <w:t>hyponatraemia</w:t>
      </w:r>
      <w:proofErr w:type="spellEnd"/>
      <w:r w:rsidRPr="00AD6820">
        <w:t xml:space="preserve"> and </w:t>
      </w:r>
      <w:proofErr w:type="spellStart"/>
      <w:r w:rsidRPr="00AD6820">
        <w:t>hypernatraemia</w:t>
      </w:r>
      <w:proofErr w:type="spellEnd"/>
      <w:r w:rsidRPr="00AD6820">
        <w:t xml:space="preserve"> can both have serious </w:t>
      </w:r>
      <w:proofErr w:type="gramStart"/>
      <w:r w:rsidRPr="00AD6820">
        <w:t>long term</w:t>
      </w:r>
      <w:proofErr w:type="gramEnd"/>
      <w:r w:rsidRPr="00AD6820">
        <w:t xml:space="preserve"> consequences. These can be worsened if the correction is too rapid</w:t>
      </w:r>
      <w:r w:rsidR="00C06372">
        <w:t>.</w:t>
      </w:r>
    </w:p>
    <w:p w14:paraId="7A63B7E7" w14:textId="26DF9571" w:rsidR="007B69A0" w:rsidRDefault="007B69A0" w:rsidP="00AD6820">
      <w:pPr>
        <w:pStyle w:val="ListParagraph"/>
        <w:numPr>
          <w:ilvl w:val="0"/>
          <w:numId w:val="39"/>
        </w:numPr>
      </w:pPr>
      <w:r>
        <w:t xml:space="preserve">Follow the fluid instructions very carefully. </w:t>
      </w:r>
    </w:p>
    <w:p w14:paraId="401C5682" w14:textId="39F7FEC3" w:rsidR="007B69A0" w:rsidRDefault="007B69A0" w:rsidP="00AD6820">
      <w:pPr>
        <w:pStyle w:val="ListParagraph"/>
        <w:numPr>
          <w:ilvl w:val="0"/>
          <w:numId w:val="39"/>
        </w:numPr>
      </w:pPr>
      <w:r>
        <w:t xml:space="preserve">Make sure repeat tests are done on time and are reviewed by a doctor promptly. </w:t>
      </w:r>
    </w:p>
    <w:p w14:paraId="79F55082" w14:textId="49BCC31F" w:rsidR="00144BA6" w:rsidRPr="007B69A0" w:rsidRDefault="00144BA6" w:rsidP="00AD6820">
      <w:pPr>
        <w:pStyle w:val="ListParagraph"/>
        <w:numPr>
          <w:ilvl w:val="0"/>
          <w:numId w:val="39"/>
        </w:numPr>
      </w:pPr>
      <w:r>
        <w:t xml:space="preserve">All patients with abnormal Na levels should have strict monitoring </w:t>
      </w:r>
      <w:r w:rsidR="000E22F2">
        <w:t>of fluid input and output.</w:t>
      </w:r>
    </w:p>
    <w:p w14:paraId="436144FE" w14:textId="77777777" w:rsidR="00F03F25" w:rsidRPr="00AD6820" w:rsidRDefault="00F03F25" w:rsidP="00AD6820">
      <w:pPr>
        <w:pStyle w:val="Heading2"/>
      </w:pPr>
      <w:r w:rsidRPr="00AD6820">
        <w:t>References</w:t>
      </w:r>
    </w:p>
    <w:p w14:paraId="714783F7" w14:textId="77777777" w:rsidR="006600D0" w:rsidRDefault="006600D0" w:rsidP="006600D0">
      <w:pPr>
        <w:rPr>
          <w:sz w:val="20"/>
          <w:szCs w:val="20"/>
        </w:rPr>
      </w:pPr>
      <w:proofErr w:type="spellStart"/>
      <w:r w:rsidRPr="000A0D85">
        <w:rPr>
          <w:sz w:val="20"/>
          <w:szCs w:val="20"/>
        </w:rPr>
        <w:t>Bartel</w:t>
      </w:r>
      <w:proofErr w:type="spellEnd"/>
      <w:r w:rsidRPr="000A0D85">
        <w:rPr>
          <w:sz w:val="20"/>
          <w:szCs w:val="20"/>
        </w:rPr>
        <w:t xml:space="preserve"> B, </w:t>
      </w:r>
      <w:proofErr w:type="spellStart"/>
      <w:r w:rsidRPr="000A0D85">
        <w:rPr>
          <w:sz w:val="20"/>
          <w:szCs w:val="20"/>
        </w:rPr>
        <w:t>Gau</w:t>
      </w:r>
      <w:proofErr w:type="spellEnd"/>
      <w:r w:rsidRPr="000A0D85">
        <w:rPr>
          <w:sz w:val="20"/>
          <w:szCs w:val="20"/>
        </w:rPr>
        <w:t xml:space="preserve"> E. Fluid and Electrolyte Management. Critical Care Pharmacotherapeutics. Burlington, MA: Jones &amp; Bartlett Learning. 2012 Feb 8:125-50</w:t>
      </w:r>
      <w:r>
        <w:rPr>
          <w:sz w:val="20"/>
          <w:szCs w:val="20"/>
        </w:rPr>
        <w:t>.</w:t>
      </w:r>
    </w:p>
    <w:p w14:paraId="5F9E813B" w14:textId="77777777" w:rsidR="006600D0" w:rsidRDefault="006600D0" w:rsidP="006600D0">
      <w:pPr>
        <w:rPr>
          <w:sz w:val="20"/>
          <w:szCs w:val="20"/>
        </w:rPr>
      </w:pPr>
      <w:r w:rsidRPr="000A0D85">
        <w:rPr>
          <w:sz w:val="20"/>
          <w:szCs w:val="20"/>
        </w:rPr>
        <w:t xml:space="preserve">Hoorn EJ, </w:t>
      </w:r>
      <w:proofErr w:type="spellStart"/>
      <w:r w:rsidRPr="000A0D85">
        <w:rPr>
          <w:sz w:val="20"/>
          <w:szCs w:val="20"/>
        </w:rPr>
        <w:t>Tuut</w:t>
      </w:r>
      <w:proofErr w:type="spellEnd"/>
      <w:r w:rsidRPr="000A0D85">
        <w:rPr>
          <w:sz w:val="20"/>
          <w:szCs w:val="20"/>
        </w:rPr>
        <w:t xml:space="preserve"> MK, </w:t>
      </w:r>
      <w:proofErr w:type="spellStart"/>
      <w:r w:rsidRPr="000A0D85">
        <w:rPr>
          <w:sz w:val="20"/>
          <w:szCs w:val="20"/>
        </w:rPr>
        <w:t>Hoorntje</w:t>
      </w:r>
      <w:proofErr w:type="spellEnd"/>
      <w:r w:rsidRPr="000A0D85">
        <w:rPr>
          <w:sz w:val="20"/>
          <w:szCs w:val="20"/>
        </w:rPr>
        <w:t xml:space="preserve"> SJ, van </w:t>
      </w:r>
      <w:proofErr w:type="spellStart"/>
      <w:r w:rsidRPr="000A0D85">
        <w:rPr>
          <w:sz w:val="20"/>
          <w:szCs w:val="20"/>
        </w:rPr>
        <w:t>Saase</w:t>
      </w:r>
      <w:proofErr w:type="spellEnd"/>
      <w:r w:rsidRPr="000A0D85">
        <w:rPr>
          <w:sz w:val="20"/>
          <w:szCs w:val="20"/>
        </w:rPr>
        <w:t xml:space="preserve"> JL, </w:t>
      </w:r>
      <w:proofErr w:type="spellStart"/>
      <w:r w:rsidRPr="000A0D85">
        <w:rPr>
          <w:sz w:val="20"/>
          <w:szCs w:val="20"/>
        </w:rPr>
        <w:t>Zietse</w:t>
      </w:r>
      <w:proofErr w:type="spellEnd"/>
      <w:r w:rsidRPr="000A0D85">
        <w:rPr>
          <w:sz w:val="20"/>
          <w:szCs w:val="20"/>
        </w:rPr>
        <w:t xml:space="preserve"> R, </w:t>
      </w:r>
      <w:proofErr w:type="spellStart"/>
      <w:r w:rsidRPr="000A0D85">
        <w:rPr>
          <w:sz w:val="20"/>
          <w:szCs w:val="20"/>
        </w:rPr>
        <w:t>Geers</w:t>
      </w:r>
      <w:proofErr w:type="spellEnd"/>
      <w:r w:rsidRPr="000A0D85">
        <w:rPr>
          <w:sz w:val="20"/>
          <w:szCs w:val="20"/>
        </w:rPr>
        <w:t xml:space="preserve"> AB. Dutch guideline for the management of electrolyte disorders-2012 revision. </w:t>
      </w:r>
      <w:proofErr w:type="spellStart"/>
      <w:r w:rsidRPr="000A0D85">
        <w:rPr>
          <w:sz w:val="20"/>
          <w:szCs w:val="20"/>
        </w:rPr>
        <w:t>Neth</w:t>
      </w:r>
      <w:proofErr w:type="spellEnd"/>
      <w:r w:rsidRPr="000A0D85">
        <w:rPr>
          <w:sz w:val="20"/>
          <w:szCs w:val="20"/>
        </w:rPr>
        <w:t xml:space="preserve"> J Med. 2013 Apr 1;71(3):153-65.</w:t>
      </w:r>
    </w:p>
    <w:p w14:paraId="7DE17013" w14:textId="34885112" w:rsidR="00F03F25" w:rsidRPr="005638D0" w:rsidRDefault="006600D0" w:rsidP="005638D0">
      <w:pPr>
        <w:rPr>
          <w:sz w:val="20"/>
          <w:szCs w:val="20"/>
        </w:rPr>
      </w:pPr>
      <w:r w:rsidRPr="000A0D85">
        <w:rPr>
          <w:sz w:val="20"/>
          <w:szCs w:val="20"/>
        </w:rPr>
        <w:t xml:space="preserve">Kraft MD, </w:t>
      </w:r>
      <w:proofErr w:type="spellStart"/>
      <w:r w:rsidRPr="000A0D85">
        <w:rPr>
          <w:sz w:val="20"/>
          <w:szCs w:val="20"/>
        </w:rPr>
        <w:t>Btaiche</w:t>
      </w:r>
      <w:proofErr w:type="spellEnd"/>
      <w:r w:rsidRPr="000A0D85">
        <w:rPr>
          <w:sz w:val="20"/>
          <w:szCs w:val="20"/>
        </w:rPr>
        <w:t xml:space="preserve"> IF, Sacks GS, </w:t>
      </w:r>
      <w:proofErr w:type="spellStart"/>
      <w:r w:rsidRPr="000A0D85">
        <w:rPr>
          <w:sz w:val="20"/>
          <w:szCs w:val="20"/>
        </w:rPr>
        <w:t>Kudsk</w:t>
      </w:r>
      <w:proofErr w:type="spellEnd"/>
      <w:r w:rsidRPr="000A0D85">
        <w:rPr>
          <w:sz w:val="20"/>
          <w:szCs w:val="20"/>
        </w:rPr>
        <w:t xml:space="preserve"> KA. Treatment of electrolyte disorders in adult patients in the intensive care unit. American Journal of Health-System Pharmacy. 2005 Aug 15;62(16):1663-82</w:t>
      </w:r>
      <w:r>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0D4B88B" w14:textId="77777777" w:rsidTr="00611761">
        <w:trPr>
          <w:trHeight w:val="20"/>
        </w:trPr>
        <w:tc>
          <w:tcPr>
            <w:tcW w:w="2139" w:type="dxa"/>
            <w:shd w:val="clear" w:color="auto" w:fill="auto"/>
          </w:tcPr>
          <w:p w14:paraId="4C958489" w14:textId="77777777" w:rsidR="004C4442" w:rsidRPr="00515546" w:rsidRDefault="004C4442" w:rsidP="00611761">
            <w:pPr>
              <w:spacing w:after="0"/>
              <w:rPr>
                <w:b/>
                <w:szCs w:val="22"/>
              </w:rPr>
            </w:pPr>
            <w:r w:rsidRPr="00515546">
              <w:rPr>
                <w:b/>
                <w:szCs w:val="22"/>
              </w:rPr>
              <w:t>Written by:</w:t>
            </w:r>
          </w:p>
        </w:tc>
        <w:tc>
          <w:tcPr>
            <w:tcW w:w="3622" w:type="dxa"/>
            <w:shd w:val="clear" w:color="auto" w:fill="auto"/>
            <w:vAlign w:val="bottom"/>
          </w:tcPr>
          <w:p w14:paraId="1EB9CF4F" w14:textId="77777777" w:rsidR="004C4442" w:rsidRDefault="00E93ACD" w:rsidP="00522C6C">
            <w:pPr>
              <w:spacing w:after="0"/>
              <w:rPr>
                <w:szCs w:val="22"/>
              </w:rPr>
            </w:pPr>
            <w:r>
              <w:rPr>
                <w:szCs w:val="22"/>
              </w:rPr>
              <w:t>Orighomisan Agboghoroma</w:t>
            </w:r>
          </w:p>
          <w:p w14:paraId="1F0A4A86" w14:textId="5CE12826" w:rsidR="00611761" w:rsidRPr="00515546" w:rsidRDefault="00611761" w:rsidP="00522C6C">
            <w:pPr>
              <w:spacing w:after="0"/>
              <w:rPr>
                <w:szCs w:val="22"/>
              </w:rPr>
            </w:pPr>
            <w:r>
              <w:rPr>
                <w:szCs w:val="22"/>
              </w:rPr>
              <w:t>Mariama Sonko</w:t>
            </w:r>
          </w:p>
        </w:tc>
        <w:tc>
          <w:tcPr>
            <w:tcW w:w="2869" w:type="dxa"/>
            <w:shd w:val="clear" w:color="auto" w:fill="auto"/>
          </w:tcPr>
          <w:p w14:paraId="68D9A67B" w14:textId="143DC79F" w:rsidR="004C4442" w:rsidRPr="00515546" w:rsidRDefault="004C4442" w:rsidP="00611761">
            <w:pPr>
              <w:spacing w:after="0"/>
              <w:rPr>
                <w:szCs w:val="22"/>
              </w:rPr>
            </w:pPr>
            <w:r w:rsidRPr="00515546">
              <w:rPr>
                <w:szCs w:val="22"/>
              </w:rPr>
              <w:t xml:space="preserve">Date: </w:t>
            </w:r>
            <w:r w:rsidR="001804DA">
              <w:rPr>
                <w:szCs w:val="22"/>
              </w:rPr>
              <w:t>07 January 2019</w:t>
            </w:r>
          </w:p>
        </w:tc>
      </w:tr>
      <w:tr w:rsidR="004C4442" w:rsidRPr="00515546" w14:paraId="3D2E99A6" w14:textId="77777777" w:rsidTr="00515546">
        <w:trPr>
          <w:trHeight w:val="20"/>
        </w:trPr>
        <w:tc>
          <w:tcPr>
            <w:tcW w:w="2139" w:type="dxa"/>
            <w:shd w:val="clear" w:color="auto" w:fill="auto"/>
            <w:vAlign w:val="bottom"/>
          </w:tcPr>
          <w:p w14:paraId="7BB869A2"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6CB97472" w14:textId="4C96B66A" w:rsidR="004C4442" w:rsidRPr="00515546" w:rsidRDefault="001804DA" w:rsidP="00522C6C">
            <w:pPr>
              <w:spacing w:after="0"/>
              <w:rPr>
                <w:szCs w:val="22"/>
              </w:rPr>
            </w:pPr>
            <w:r>
              <w:rPr>
                <w:szCs w:val="22"/>
              </w:rPr>
              <w:t>Karen Forrest</w:t>
            </w:r>
          </w:p>
        </w:tc>
        <w:tc>
          <w:tcPr>
            <w:tcW w:w="2869" w:type="dxa"/>
            <w:shd w:val="clear" w:color="auto" w:fill="auto"/>
            <w:vAlign w:val="bottom"/>
          </w:tcPr>
          <w:p w14:paraId="21B523E4" w14:textId="7EA57F9B" w:rsidR="004C4442" w:rsidRPr="00515546" w:rsidRDefault="004C4442" w:rsidP="00522C6C">
            <w:pPr>
              <w:spacing w:after="0"/>
              <w:rPr>
                <w:szCs w:val="22"/>
              </w:rPr>
            </w:pPr>
            <w:r w:rsidRPr="00515546">
              <w:rPr>
                <w:szCs w:val="22"/>
              </w:rPr>
              <w:t xml:space="preserve">Date: </w:t>
            </w:r>
            <w:r w:rsidR="001804DA">
              <w:rPr>
                <w:szCs w:val="22"/>
              </w:rPr>
              <w:t>08 May 2019</w:t>
            </w:r>
          </w:p>
        </w:tc>
      </w:tr>
      <w:tr w:rsidR="004C4442" w:rsidRPr="00515546" w14:paraId="729F60C7" w14:textId="77777777" w:rsidTr="00515546">
        <w:trPr>
          <w:trHeight w:val="20"/>
        </w:trPr>
        <w:tc>
          <w:tcPr>
            <w:tcW w:w="2139" w:type="dxa"/>
            <w:shd w:val="clear" w:color="auto" w:fill="auto"/>
            <w:vAlign w:val="bottom"/>
          </w:tcPr>
          <w:p w14:paraId="3FC95B82"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2AC85AC7"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34F41E2" w14:textId="77777777" w:rsidR="004C4442" w:rsidRPr="00515546" w:rsidRDefault="004C4442" w:rsidP="00522C6C">
            <w:pPr>
              <w:spacing w:after="0"/>
              <w:rPr>
                <w:b/>
                <w:szCs w:val="22"/>
              </w:rPr>
            </w:pPr>
            <w:r w:rsidRPr="00515546">
              <w:rPr>
                <w:b/>
                <w:szCs w:val="22"/>
              </w:rPr>
              <w:t>Review due date:</w:t>
            </w:r>
          </w:p>
        </w:tc>
      </w:tr>
      <w:tr w:rsidR="004C4442" w:rsidRPr="00515546" w14:paraId="157A8AC2" w14:textId="77777777" w:rsidTr="00515546">
        <w:trPr>
          <w:trHeight w:val="20"/>
        </w:trPr>
        <w:tc>
          <w:tcPr>
            <w:tcW w:w="2139" w:type="dxa"/>
            <w:shd w:val="clear" w:color="auto" w:fill="auto"/>
            <w:vAlign w:val="bottom"/>
          </w:tcPr>
          <w:p w14:paraId="67509EC9"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AE885D3"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6562AC58" w14:textId="275F55A3" w:rsidR="00BA1B1C" w:rsidRPr="00515546" w:rsidRDefault="00BA1B1C" w:rsidP="00522C6C">
            <w:pPr>
              <w:spacing w:after="0"/>
              <w:rPr>
                <w:szCs w:val="22"/>
              </w:rPr>
            </w:pPr>
            <w:r>
              <w:rPr>
                <w:szCs w:val="22"/>
              </w:rPr>
              <w:t>31 May 2021</w:t>
            </w:r>
          </w:p>
        </w:tc>
      </w:tr>
      <w:tr w:rsidR="005638D0" w:rsidRPr="00515546" w14:paraId="34095C33" w14:textId="77777777" w:rsidTr="00515546">
        <w:trPr>
          <w:trHeight w:val="20"/>
        </w:trPr>
        <w:tc>
          <w:tcPr>
            <w:tcW w:w="2139" w:type="dxa"/>
            <w:shd w:val="clear" w:color="auto" w:fill="auto"/>
            <w:vAlign w:val="bottom"/>
          </w:tcPr>
          <w:p w14:paraId="1929DF57"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669BC2F" w14:textId="77777777" w:rsidR="005638D0" w:rsidRPr="00515546" w:rsidRDefault="005638D0" w:rsidP="005638D0">
            <w:pPr>
              <w:spacing w:after="0"/>
              <w:rPr>
                <w:szCs w:val="22"/>
              </w:rPr>
            </w:pPr>
          </w:p>
        </w:tc>
        <w:tc>
          <w:tcPr>
            <w:tcW w:w="2869" w:type="dxa"/>
            <w:shd w:val="clear" w:color="auto" w:fill="auto"/>
            <w:vAlign w:val="bottom"/>
          </w:tcPr>
          <w:p w14:paraId="51653E06" w14:textId="77777777" w:rsidR="005638D0" w:rsidRPr="00515546" w:rsidRDefault="005638D0" w:rsidP="005638D0">
            <w:pPr>
              <w:spacing w:after="0"/>
              <w:rPr>
                <w:b/>
                <w:szCs w:val="22"/>
              </w:rPr>
            </w:pPr>
          </w:p>
        </w:tc>
      </w:tr>
    </w:tbl>
    <w:p w14:paraId="6622D935" w14:textId="77777777" w:rsidR="00975A60" w:rsidRPr="00CC3CF5" w:rsidRDefault="00975A60" w:rsidP="00975A60">
      <w:pPr>
        <w:rPr>
          <w:szCs w:val="22"/>
        </w:rPr>
      </w:pPr>
    </w:p>
    <w:sectPr w:rsidR="00975A60" w:rsidRPr="00CC3CF5" w:rsidSect="00D13825">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0F34A" w14:textId="77777777" w:rsidR="00EF78B9" w:rsidRDefault="00EF78B9" w:rsidP="00975A60">
      <w:pPr>
        <w:spacing w:after="0"/>
      </w:pPr>
      <w:r>
        <w:separator/>
      </w:r>
    </w:p>
  </w:endnote>
  <w:endnote w:type="continuationSeparator" w:id="0">
    <w:p w14:paraId="527468E9" w14:textId="77777777" w:rsidR="00EF78B9" w:rsidRDefault="00EF78B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0A34"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A34FB9"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C79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5810"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6E43" w14:textId="77777777" w:rsidR="00EF78B9" w:rsidRDefault="00EF78B9" w:rsidP="00975A60">
      <w:pPr>
        <w:spacing w:after="0"/>
      </w:pPr>
      <w:r>
        <w:separator/>
      </w:r>
    </w:p>
  </w:footnote>
  <w:footnote w:type="continuationSeparator" w:id="0">
    <w:p w14:paraId="12DC8E26" w14:textId="77777777" w:rsidR="00EF78B9" w:rsidRDefault="00EF78B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E9B5" w14:textId="642A4BA1" w:rsidR="00D13825" w:rsidRPr="00F87812" w:rsidRDefault="00D13825" w:rsidP="00D13825">
    <w:pPr>
      <w:pStyle w:val="Header"/>
    </w:pPr>
    <w:r w:rsidRPr="00F87812">
      <w:t>Identification code: MeG-CLS-</w:t>
    </w:r>
    <w:r w:rsidR="007942AF">
      <w:t>072</w:t>
    </w:r>
    <w:r w:rsidRPr="00F87812">
      <w:tab/>
    </w:r>
  </w:p>
  <w:p w14:paraId="3393A2B7" w14:textId="729D755E" w:rsidR="005D1877" w:rsidRPr="0095050B" w:rsidRDefault="00D13825" w:rsidP="00D13825">
    <w:pPr>
      <w:pStyle w:val="Header"/>
    </w:pPr>
    <w:r w:rsidRPr="0095050B">
      <w:t xml:space="preserve">Version: 1.0 – </w:t>
    </w:r>
    <w:r w:rsidR="00BA1B1C">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1E97"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21CB9B9" wp14:editId="030DE7D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0C86AAA"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3B0AD23" w14:textId="77777777" w:rsidR="00D13825" w:rsidRPr="003C0800" w:rsidRDefault="00D13825" w:rsidP="00D13825">
    <w:pPr>
      <w:pStyle w:val="Header"/>
      <w:ind w:firstLine="2880"/>
      <w:rPr>
        <w:rFonts w:cs="Arial"/>
        <w:b/>
      </w:rPr>
    </w:pPr>
  </w:p>
  <w:p w14:paraId="6BEEE616" w14:textId="132B4EE4" w:rsidR="00D13825" w:rsidRPr="00F87812" w:rsidRDefault="00D13825" w:rsidP="00D13825">
    <w:pPr>
      <w:pStyle w:val="Header"/>
    </w:pPr>
    <w:r w:rsidRPr="00F87812">
      <w:t>Identification code: MeG-CLS-</w:t>
    </w:r>
    <w:r w:rsidR="007942AF">
      <w:t>072</w:t>
    </w:r>
    <w:r w:rsidRPr="00F87812">
      <w:tab/>
    </w:r>
  </w:p>
  <w:p w14:paraId="46FDDA0B" w14:textId="3105CC2F" w:rsidR="00D13825" w:rsidRPr="00F87812" w:rsidRDefault="00D13825" w:rsidP="00D13825">
    <w:pPr>
      <w:pStyle w:val="Header"/>
    </w:pPr>
    <w:r w:rsidRPr="00F87812">
      <w:t xml:space="preserve">Version: </w:t>
    </w:r>
    <w:r w:rsidRPr="0095050B">
      <w:t xml:space="preserve">1.0 – </w:t>
    </w:r>
    <w:r w:rsidR="00BA1B1C">
      <w:t>31 May 2019</w:t>
    </w:r>
  </w:p>
  <w:p w14:paraId="13A2C22C"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F64B12"/>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1C7E7BC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3E2D16"/>
    <w:multiLevelType w:val="hybridMultilevel"/>
    <w:tmpl w:val="A956B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122F0"/>
    <w:multiLevelType w:val="hybridMultilevel"/>
    <w:tmpl w:val="FFD6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06446"/>
    <w:multiLevelType w:val="hybridMultilevel"/>
    <w:tmpl w:val="A580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C72CB"/>
    <w:multiLevelType w:val="hybridMultilevel"/>
    <w:tmpl w:val="29CCF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566DAC"/>
    <w:multiLevelType w:val="hybridMultilevel"/>
    <w:tmpl w:val="36E8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871D2A"/>
    <w:multiLevelType w:val="hybridMultilevel"/>
    <w:tmpl w:val="03762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B47A0C"/>
    <w:multiLevelType w:val="hybridMultilevel"/>
    <w:tmpl w:val="A0A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386156"/>
    <w:multiLevelType w:val="hybridMultilevel"/>
    <w:tmpl w:val="E9C6E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D248CA"/>
    <w:multiLevelType w:val="hybridMultilevel"/>
    <w:tmpl w:val="6DAC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A89526B"/>
    <w:multiLevelType w:val="hybridMultilevel"/>
    <w:tmpl w:val="49A0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517870"/>
    <w:multiLevelType w:val="hybridMultilevel"/>
    <w:tmpl w:val="5F16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9A6C74"/>
    <w:multiLevelType w:val="hybridMultilevel"/>
    <w:tmpl w:val="C316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B9707F"/>
    <w:multiLevelType w:val="hybridMultilevel"/>
    <w:tmpl w:val="299C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C354E4"/>
    <w:multiLevelType w:val="multilevel"/>
    <w:tmpl w:val="0832B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15"/>
  </w:num>
  <w:num w:numId="4">
    <w:abstractNumId w:val="1"/>
  </w:num>
  <w:num w:numId="5">
    <w:abstractNumId w:val="0"/>
  </w:num>
  <w:num w:numId="6">
    <w:abstractNumId w:val="4"/>
  </w:num>
  <w:num w:numId="7">
    <w:abstractNumId w:val="23"/>
  </w:num>
  <w:num w:numId="8">
    <w:abstractNumId w:val="2"/>
  </w:num>
  <w:num w:numId="9">
    <w:abstractNumId w:val="41"/>
  </w:num>
  <w:num w:numId="10">
    <w:abstractNumId w:val="3"/>
  </w:num>
  <w:num w:numId="11">
    <w:abstractNumId w:val="16"/>
  </w:num>
  <w:num w:numId="12">
    <w:abstractNumId w:val="28"/>
  </w:num>
  <w:num w:numId="13">
    <w:abstractNumId w:val="35"/>
  </w:num>
  <w:num w:numId="14">
    <w:abstractNumId w:val="31"/>
  </w:num>
  <w:num w:numId="15">
    <w:abstractNumId w:val="40"/>
  </w:num>
  <w:num w:numId="16">
    <w:abstractNumId w:val="18"/>
  </w:num>
  <w:num w:numId="17">
    <w:abstractNumId w:val="12"/>
  </w:num>
  <w:num w:numId="18">
    <w:abstractNumId w:val="32"/>
  </w:num>
  <w:num w:numId="19">
    <w:abstractNumId w:val="20"/>
  </w:num>
  <w:num w:numId="20">
    <w:abstractNumId w:val="37"/>
  </w:num>
  <w:num w:numId="21">
    <w:abstractNumId w:val="22"/>
  </w:num>
  <w:num w:numId="22">
    <w:abstractNumId w:val="14"/>
  </w:num>
  <w:num w:numId="23">
    <w:abstractNumId w:val="27"/>
  </w:num>
  <w:num w:numId="24">
    <w:abstractNumId w:val="30"/>
  </w:num>
  <w:num w:numId="25">
    <w:abstractNumId w:val="24"/>
  </w:num>
  <w:num w:numId="26">
    <w:abstractNumId w:val="17"/>
  </w:num>
  <w:num w:numId="27">
    <w:abstractNumId w:val="11"/>
  </w:num>
  <w:num w:numId="28">
    <w:abstractNumId w:val="36"/>
  </w:num>
  <w:num w:numId="29">
    <w:abstractNumId w:val="26"/>
  </w:num>
  <w:num w:numId="30">
    <w:abstractNumId w:val="19"/>
  </w:num>
  <w:num w:numId="31">
    <w:abstractNumId w:val="34"/>
  </w:num>
  <w:num w:numId="32">
    <w:abstractNumId w:val="33"/>
  </w:num>
  <w:num w:numId="33">
    <w:abstractNumId w:val="8"/>
  </w:num>
  <w:num w:numId="34">
    <w:abstractNumId w:val="6"/>
  </w:num>
  <w:num w:numId="35">
    <w:abstractNumId w:val="13"/>
  </w:num>
  <w:num w:numId="36">
    <w:abstractNumId w:val="25"/>
  </w:num>
  <w:num w:numId="37">
    <w:abstractNumId w:val="38"/>
  </w:num>
  <w:num w:numId="38">
    <w:abstractNumId w:val="10"/>
  </w:num>
  <w:num w:numId="39">
    <w:abstractNumId w:val="7"/>
  </w:num>
  <w:num w:numId="40">
    <w:abstractNumId w:val="9"/>
  </w:num>
  <w:num w:numId="41">
    <w:abstractNumId w:val="39"/>
  </w:num>
  <w:num w:numId="42">
    <w:abstractNumId w:val="42"/>
    <w:lvlOverride w:ilvl="1">
      <w:lvl w:ilvl="1">
        <w:numFmt w:val="bullet"/>
        <w:lvlText w:val=""/>
        <w:lvlJc w:val="left"/>
        <w:pPr>
          <w:tabs>
            <w:tab w:val="num" w:pos="2487"/>
          </w:tabs>
          <w:ind w:left="2487"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Lc0NbUwNLYwsDRV0lEKTi0uzszPAykwrQUAJICRSywAAAA="/>
  </w:docVars>
  <w:rsids>
    <w:rsidRoot w:val="003C2776"/>
    <w:rsid w:val="000039D9"/>
    <w:rsid w:val="00010CC0"/>
    <w:rsid w:val="000134E8"/>
    <w:rsid w:val="000277D5"/>
    <w:rsid w:val="00046991"/>
    <w:rsid w:val="0007147C"/>
    <w:rsid w:val="00081642"/>
    <w:rsid w:val="000C4E65"/>
    <w:rsid w:val="000E0B05"/>
    <w:rsid w:val="000E22F2"/>
    <w:rsid w:val="00114AAF"/>
    <w:rsid w:val="001203AE"/>
    <w:rsid w:val="0013799F"/>
    <w:rsid w:val="0014404C"/>
    <w:rsid w:val="00144BA6"/>
    <w:rsid w:val="00175153"/>
    <w:rsid w:val="001804DA"/>
    <w:rsid w:val="001A6D6F"/>
    <w:rsid w:val="001C12A5"/>
    <w:rsid w:val="001C1450"/>
    <w:rsid w:val="001F6097"/>
    <w:rsid w:val="001F6D60"/>
    <w:rsid w:val="00223920"/>
    <w:rsid w:val="00252A11"/>
    <w:rsid w:val="002759FB"/>
    <w:rsid w:val="0028290C"/>
    <w:rsid w:val="0029357D"/>
    <w:rsid w:val="002A2856"/>
    <w:rsid w:val="002B3924"/>
    <w:rsid w:val="002E0AA9"/>
    <w:rsid w:val="003020A2"/>
    <w:rsid w:val="003038D3"/>
    <w:rsid w:val="003225CD"/>
    <w:rsid w:val="003227B7"/>
    <w:rsid w:val="003C0800"/>
    <w:rsid w:val="003C2776"/>
    <w:rsid w:val="003C5DD8"/>
    <w:rsid w:val="003F0BE3"/>
    <w:rsid w:val="003F70CA"/>
    <w:rsid w:val="0040473B"/>
    <w:rsid w:val="00475B79"/>
    <w:rsid w:val="004A25F0"/>
    <w:rsid w:val="004A4C93"/>
    <w:rsid w:val="004C4442"/>
    <w:rsid w:val="00504405"/>
    <w:rsid w:val="0051210E"/>
    <w:rsid w:val="005151D8"/>
    <w:rsid w:val="00515546"/>
    <w:rsid w:val="005638D0"/>
    <w:rsid w:val="00584E1E"/>
    <w:rsid w:val="005D1877"/>
    <w:rsid w:val="00611761"/>
    <w:rsid w:val="00633320"/>
    <w:rsid w:val="006415C6"/>
    <w:rsid w:val="006600D0"/>
    <w:rsid w:val="006B1BE4"/>
    <w:rsid w:val="007067BE"/>
    <w:rsid w:val="007319A7"/>
    <w:rsid w:val="00765862"/>
    <w:rsid w:val="007942AF"/>
    <w:rsid w:val="007970F8"/>
    <w:rsid w:val="007A2434"/>
    <w:rsid w:val="007B26B1"/>
    <w:rsid w:val="007B69A0"/>
    <w:rsid w:val="00837AE9"/>
    <w:rsid w:val="00857027"/>
    <w:rsid w:val="00877B33"/>
    <w:rsid w:val="008945D1"/>
    <w:rsid w:val="008959DE"/>
    <w:rsid w:val="008C03B6"/>
    <w:rsid w:val="00902DBF"/>
    <w:rsid w:val="009165E9"/>
    <w:rsid w:val="009325A7"/>
    <w:rsid w:val="0095050B"/>
    <w:rsid w:val="00956092"/>
    <w:rsid w:val="009747D5"/>
    <w:rsid w:val="00975A60"/>
    <w:rsid w:val="009956F9"/>
    <w:rsid w:val="009A1ED4"/>
    <w:rsid w:val="009B44BE"/>
    <w:rsid w:val="009F5B1B"/>
    <w:rsid w:val="00A07A52"/>
    <w:rsid w:val="00A26035"/>
    <w:rsid w:val="00A312D8"/>
    <w:rsid w:val="00A41080"/>
    <w:rsid w:val="00A57064"/>
    <w:rsid w:val="00AD3356"/>
    <w:rsid w:val="00AD4CA5"/>
    <w:rsid w:val="00AD6820"/>
    <w:rsid w:val="00AF1052"/>
    <w:rsid w:val="00AF32B1"/>
    <w:rsid w:val="00B31AC4"/>
    <w:rsid w:val="00B844E8"/>
    <w:rsid w:val="00BA1B1C"/>
    <w:rsid w:val="00BA2777"/>
    <w:rsid w:val="00BB6A1B"/>
    <w:rsid w:val="00BD08AB"/>
    <w:rsid w:val="00BD3424"/>
    <w:rsid w:val="00BE240F"/>
    <w:rsid w:val="00C06372"/>
    <w:rsid w:val="00C67021"/>
    <w:rsid w:val="00CA1F52"/>
    <w:rsid w:val="00CC3CF5"/>
    <w:rsid w:val="00CD4A1D"/>
    <w:rsid w:val="00D03AB2"/>
    <w:rsid w:val="00D13825"/>
    <w:rsid w:val="00D54F05"/>
    <w:rsid w:val="00DA20ED"/>
    <w:rsid w:val="00DC1CC5"/>
    <w:rsid w:val="00DC590C"/>
    <w:rsid w:val="00DE3D6D"/>
    <w:rsid w:val="00DF345F"/>
    <w:rsid w:val="00E1417F"/>
    <w:rsid w:val="00E162DA"/>
    <w:rsid w:val="00E860DD"/>
    <w:rsid w:val="00E93ACD"/>
    <w:rsid w:val="00EE0D49"/>
    <w:rsid w:val="00EF78B9"/>
    <w:rsid w:val="00F03F25"/>
    <w:rsid w:val="00F0547E"/>
    <w:rsid w:val="00F53968"/>
    <w:rsid w:val="00F71F11"/>
    <w:rsid w:val="00F90949"/>
    <w:rsid w:val="00F93219"/>
    <w:rsid w:val="00FF7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ADBF1"/>
  <w15:docId w15:val="{AB2A2081-D7BB-49DE-873E-A9BF4205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90949"/>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90949"/>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h.org.au/clinicalguide/guideline_index/Hypernatraemi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mdcalc.com/sodium-correction-rate-hyponatremia-hypernatremi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calc.com/sodium-correction-rate-hyponatremia-hypernatremia"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4</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8</cp:revision>
  <cp:lastPrinted>2019-05-31T09:47:00Z</cp:lastPrinted>
  <dcterms:created xsi:type="dcterms:W3CDTF">2019-05-08T16:44:00Z</dcterms:created>
  <dcterms:modified xsi:type="dcterms:W3CDTF">2019-05-31T09:48:00Z</dcterms:modified>
</cp:coreProperties>
</file>