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BAEFF" w14:textId="7509D8FD" w:rsidR="001203AE" w:rsidRPr="003C0800" w:rsidRDefault="005324AA" w:rsidP="001203AE">
      <w:pPr>
        <w:pStyle w:val="Heading1"/>
        <w:rPr>
          <w:rFonts w:cs="Arial"/>
          <w:szCs w:val="22"/>
        </w:rPr>
      </w:pPr>
      <w:r>
        <w:rPr>
          <w:rFonts w:cs="Arial"/>
          <w:szCs w:val="22"/>
        </w:rPr>
        <w:t>Hypothyroidism</w:t>
      </w:r>
    </w:p>
    <w:p w14:paraId="1FF39912" w14:textId="3CA493BD" w:rsidR="001808DB" w:rsidRPr="001808DB" w:rsidRDefault="001808DB" w:rsidP="00975A60">
      <w:pPr>
        <w:pStyle w:val="Heading2"/>
        <w:rPr>
          <w:rFonts w:cs="Arial"/>
          <w:i/>
          <w:szCs w:val="22"/>
        </w:rPr>
      </w:pPr>
      <w:r w:rsidRPr="001808DB">
        <w:rPr>
          <w:rFonts w:cs="Arial"/>
          <w:i/>
          <w:szCs w:val="22"/>
        </w:rPr>
        <w:t>Executive summary</w:t>
      </w:r>
    </w:p>
    <w:p w14:paraId="3E455157" w14:textId="7EA52118" w:rsidR="00975A60" w:rsidRPr="00DC590C" w:rsidRDefault="00975A60" w:rsidP="00975A60">
      <w:pPr>
        <w:pStyle w:val="Heading2"/>
        <w:rPr>
          <w:rFonts w:cs="Arial"/>
          <w:szCs w:val="22"/>
        </w:rPr>
      </w:pPr>
      <w:r w:rsidRPr="00DC590C">
        <w:rPr>
          <w:rFonts w:cs="Arial"/>
          <w:szCs w:val="22"/>
        </w:rPr>
        <w:t>Introduction</w:t>
      </w:r>
    </w:p>
    <w:p w14:paraId="582D65DE" w14:textId="0C7FD250" w:rsidR="005324AA" w:rsidRPr="005324AA" w:rsidRDefault="005324AA" w:rsidP="005324AA">
      <w:r w:rsidRPr="005324AA">
        <w:t>Hypothyroidism presents with non-specific symptoms and is rarely diagnosed in the Gambia. It is more common in women than in men</w:t>
      </w:r>
      <w:r>
        <w:t>.</w:t>
      </w:r>
    </w:p>
    <w:p w14:paraId="44158C5E" w14:textId="48F48587" w:rsidR="005324AA" w:rsidRDefault="005324AA" w:rsidP="005324AA">
      <w:r>
        <w:t xml:space="preserve">It </w:t>
      </w:r>
      <w:r w:rsidRPr="005324AA">
        <w:t>has major consequences on intellectual development and growth in infants and children (cause of cretinism). In adults, it may be the cause of heart disease and dementia. Once hypothyroidism has been diagnosed, in most cases, the patient will need to stay on thyroxine for the rest of their life.</w:t>
      </w:r>
    </w:p>
    <w:p w14:paraId="67B35C5D" w14:textId="769D5316" w:rsidR="005324AA" w:rsidRDefault="005324AA" w:rsidP="005324AA">
      <w:r w:rsidRPr="005324AA">
        <w:t>Hypothyroidism should be considered as a possible cause of hypercholesteraemia, macrocytic anaemia, elevated CK and hyponatraemia.</w:t>
      </w:r>
    </w:p>
    <w:p w14:paraId="0C89693C" w14:textId="00C1CBEC" w:rsidR="001808DB" w:rsidRDefault="00A114BB" w:rsidP="00BE1EBA">
      <w:pPr>
        <w:pStyle w:val="Heading2"/>
      </w:pPr>
      <w:r>
        <w:t>Target users</w:t>
      </w:r>
    </w:p>
    <w:p w14:paraId="25B8D7A1" w14:textId="2F031E15" w:rsidR="00A114BB" w:rsidRDefault="00A114BB" w:rsidP="00BE1EBA">
      <w:pPr>
        <w:pStyle w:val="ListParagraph"/>
        <w:numPr>
          <w:ilvl w:val="0"/>
          <w:numId w:val="34"/>
        </w:numPr>
      </w:pPr>
      <w:r>
        <w:t>Nurses</w:t>
      </w:r>
    </w:p>
    <w:p w14:paraId="25A5E95E" w14:textId="56940261" w:rsidR="00A114BB" w:rsidRDefault="00A114BB" w:rsidP="00BE1EBA">
      <w:pPr>
        <w:pStyle w:val="ListParagraph"/>
        <w:numPr>
          <w:ilvl w:val="0"/>
          <w:numId w:val="34"/>
        </w:numPr>
      </w:pPr>
      <w:r>
        <w:t>Doctors</w:t>
      </w:r>
    </w:p>
    <w:p w14:paraId="072C28FF" w14:textId="0F0CBC0A" w:rsidR="00A114BB" w:rsidRDefault="00A114BB" w:rsidP="00BE1EBA">
      <w:pPr>
        <w:pStyle w:val="Heading2"/>
      </w:pPr>
      <w:r>
        <w:t>Target area of use</w:t>
      </w:r>
    </w:p>
    <w:p w14:paraId="76968686" w14:textId="546FF59E" w:rsidR="00A114BB" w:rsidRDefault="00A114BB" w:rsidP="00BE1EBA">
      <w:pPr>
        <w:pStyle w:val="ListParagraph"/>
        <w:numPr>
          <w:ilvl w:val="0"/>
          <w:numId w:val="35"/>
        </w:numPr>
      </w:pPr>
      <w:r>
        <w:t>Outpatient department</w:t>
      </w:r>
    </w:p>
    <w:p w14:paraId="662E7ECB" w14:textId="16A3B303" w:rsidR="00A114BB" w:rsidRDefault="00A114BB" w:rsidP="00BE1EBA">
      <w:pPr>
        <w:pStyle w:val="ListParagraph"/>
        <w:numPr>
          <w:ilvl w:val="0"/>
          <w:numId w:val="35"/>
        </w:numPr>
      </w:pPr>
      <w:r>
        <w:t>Ward</w:t>
      </w:r>
    </w:p>
    <w:p w14:paraId="7DA5A0A2" w14:textId="73EB8298" w:rsidR="001D79C6" w:rsidRDefault="001D79C6" w:rsidP="00BE1EBA">
      <w:pPr>
        <w:pStyle w:val="Heading2"/>
      </w:pPr>
      <w:r w:rsidRPr="001D79C6">
        <w:t xml:space="preserve">Key areas of focus / New additions / Changes </w:t>
      </w:r>
    </w:p>
    <w:p w14:paraId="2CFDEFD0" w14:textId="5857A72C" w:rsidR="00BE1EBA" w:rsidRPr="00BE1EBA" w:rsidRDefault="00A64B6C" w:rsidP="00BE1EBA">
      <w:r>
        <w:t xml:space="preserve">This guideline addresses the diagnosis and management of hypothyroidism. </w:t>
      </w:r>
    </w:p>
    <w:p w14:paraId="21172686" w14:textId="0698017D" w:rsidR="00A114BB" w:rsidRDefault="001D79C6" w:rsidP="00351119">
      <w:pPr>
        <w:pStyle w:val="Heading2"/>
      </w:pPr>
      <w:r>
        <w:t>Limitations</w:t>
      </w:r>
    </w:p>
    <w:p w14:paraId="107DC140" w14:textId="25852934" w:rsidR="001D79C6" w:rsidRPr="001D79C6" w:rsidRDefault="00351119" w:rsidP="001D79C6">
      <w:r>
        <w:t xml:space="preserve">Investigation of central hypothyroidism is difficult </w:t>
      </w:r>
      <w:r w:rsidR="00935037">
        <w:t>as we have limited access to other hormone assays.</w:t>
      </w:r>
    </w:p>
    <w:p w14:paraId="5F41B3D8" w14:textId="77777777" w:rsidR="001808DB" w:rsidRDefault="001808DB">
      <w:pPr>
        <w:spacing w:after="0"/>
        <w:outlineLvl w:val="9"/>
        <w:rPr>
          <w:b/>
          <w:sz w:val="24"/>
          <w:szCs w:val="22"/>
        </w:rPr>
      </w:pPr>
      <w:r>
        <w:rPr>
          <w:szCs w:val="22"/>
        </w:rPr>
        <w:br w:type="page"/>
      </w:r>
    </w:p>
    <w:p w14:paraId="4C28EECF" w14:textId="10C48C29" w:rsidR="00975A60" w:rsidRPr="00DC590C" w:rsidRDefault="00975A60" w:rsidP="00975A60">
      <w:pPr>
        <w:pStyle w:val="Heading2"/>
        <w:rPr>
          <w:rFonts w:cs="Arial"/>
          <w:szCs w:val="22"/>
        </w:rPr>
      </w:pPr>
      <w:r w:rsidRPr="00DC590C">
        <w:rPr>
          <w:rFonts w:cs="Arial"/>
          <w:szCs w:val="22"/>
        </w:rPr>
        <w:lastRenderedPageBreak/>
        <w:t>Presenting symptoms and signs</w:t>
      </w:r>
    </w:p>
    <w:p w14:paraId="4B51D857" w14:textId="77777777" w:rsidR="005324AA" w:rsidRDefault="005324AA" w:rsidP="005324AA">
      <w:r w:rsidRPr="005324AA">
        <w:t>The symptoms of hypothyroidism are non-specific including</w:t>
      </w:r>
      <w:r>
        <w:t>:</w:t>
      </w:r>
    </w:p>
    <w:p w14:paraId="7B51E025" w14:textId="2844EB13" w:rsidR="005324AA" w:rsidRDefault="005324AA" w:rsidP="005324AA">
      <w:pPr>
        <w:pStyle w:val="ListParagraph"/>
        <w:numPr>
          <w:ilvl w:val="0"/>
          <w:numId w:val="26"/>
        </w:numPr>
      </w:pPr>
      <w:r>
        <w:t>G</w:t>
      </w:r>
      <w:r w:rsidRPr="005324AA">
        <w:t xml:space="preserve">eneral body pain </w:t>
      </w:r>
    </w:p>
    <w:p w14:paraId="22B61D3B" w14:textId="77777777" w:rsidR="005324AA" w:rsidRPr="005324AA" w:rsidRDefault="005324AA" w:rsidP="005324AA">
      <w:pPr>
        <w:pStyle w:val="ListParagraph"/>
        <w:numPr>
          <w:ilvl w:val="0"/>
          <w:numId w:val="26"/>
        </w:numPr>
      </w:pPr>
      <w:r w:rsidRPr="005324AA">
        <w:t>Tiredness</w:t>
      </w:r>
    </w:p>
    <w:p w14:paraId="3F8C2F69" w14:textId="77777777" w:rsidR="005324AA" w:rsidRPr="005324AA" w:rsidRDefault="005324AA" w:rsidP="005324AA">
      <w:pPr>
        <w:pStyle w:val="ListParagraph"/>
        <w:numPr>
          <w:ilvl w:val="0"/>
          <w:numId w:val="26"/>
        </w:numPr>
      </w:pPr>
      <w:r w:rsidRPr="005324AA">
        <w:t>Weakness</w:t>
      </w:r>
    </w:p>
    <w:p w14:paraId="000393DC" w14:textId="39B677E3" w:rsidR="005324AA" w:rsidRPr="005324AA" w:rsidRDefault="005324AA" w:rsidP="005324AA">
      <w:pPr>
        <w:pStyle w:val="ListParagraph"/>
        <w:numPr>
          <w:ilvl w:val="0"/>
          <w:numId w:val="26"/>
        </w:numPr>
      </w:pPr>
      <w:r w:rsidRPr="005324AA">
        <w:t>Dry coarse skin</w:t>
      </w:r>
    </w:p>
    <w:p w14:paraId="244C01B1" w14:textId="236B7367" w:rsidR="005324AA" w:rsidRPr="005324AA" w:rsidRDefault="005324AA" w:rsidP="005324AA">
      <w:pPr>
        <w:pStyle w:val="ListParagraph"/>
        <w:numPr>
          <w:ilvl w:val="0"/>
          <w:numId w:val="26"/>
        </w:numPr>
      </w:pPr>
      <w:r w:rsidRPr="005324AA">
        <w:t>Feeling cold</w:t>
      </w:r>
    </w:p>
    <w:p w14:paraId="12E9A192" w14:textId="382D3388" w:rsidR="005324AA" w:rsidRPr="005324AA" w:rsidRDefault="005324AA" w:rsidP="005324AA">
      <w:pPr>
        <w:pStyle w:val="ListParagraph"/>
        <w:numPr>
          <w:ilvl w:val="0"/>
          <w:numId w:val="26"/>
        </w:numPr>
      </w:pPr>
      <w:r w:rsidRPr="005324AA">
        <w:t>Difficulty in concentration and poor memory</w:t>
      </w:r>
    </w:p>
    <w:p w14:paraId="27E81D2B" w14:textId="6987F9A8" w:rsidR="005324AA" w:rsidRPr="005324AA" w:rsidRDefault="005324AA" w:rsidP="005324AA">
      <w:pPr>
        <w:pStyle w:val="ListParagraph"/>
        <w:numPr>
          <w:ilvl w:val="0"/>
          <w:numId w:val="26"/>
        </w:numPr>
      </w:pPr>
      <w:r w:rsidRPr="005324AA">
        <w:t>Constipation</w:t>
      </w:r>
    </w:p>
    <w:p w14:paraId="0EB3C285" w14:textId="77777777" w:rsidR="005324AA" w:rsidRPr="005324AA" w:rsidRDefault="005324AA" w:rsidP="005324AA">
      <w:pPr>
        <w:pStyle w:val="ListParagraph"/>
        <w:numPr>
          <w:ilvl w:val="0"/>
          <w:numId w:val="26"/>
        </w:numPr>
      </w:pPr>
      <w:r w:rsidRPr="005324AA">
        <w:t xml:space="preserve">Weight gain with poor appetite, </w:t>
      </w:r>
    </w:p>
    <w:p w14:paraId="213A1384" w14:textId="77777777" w:rsidR="005324AA" w:rsidRPr="005324AA" w:rsidRDefault="005324AA" w:rsidP="005324AA">
      <w:pPr>
        <w:pStyle w:val="ListParagraph"/>
        <w:numPr>
          <w:ilvl w:val="0"/>
          <w:numId w:val="26"/>
        </w:numPr>
      </w:pPr>
      <w:r w:rsidRPr="005324AA">
        <w:t xml:space="preserve">Dyspnoea </w:t>
      </w:r>
    </w:p>
    <w:p w14:paraId="4C0B6AB5" w14:textId="77777777" w:rsidR="005324AA" w:rsidRPr="005324AA" w:rsidRDefault="005324AA" w:rsidP="005324AA">
      <w:pPr>
        <w:pStyle w:val="ListParagraph"/>
        <w:numPr>
          <w:ilvl w:val="0"/>
          <w:numId w:val="26"/>
        </w:numPr>
      </w:pPr>
      <w:r w:rsidRPr="005324AA">
        <w:t xml:space="preserve">Hoarseness of voice, </w:t>
      </w:r>
    </w:p>
    <w:p w14:paraId="6D098957" w14:textId="0D891D8A" w:rsidR="005324AA" w:rsidRPr="005324AA" w:rsidRDefault="005324AA" w:rsidP="005324AA">
      <w:pPr>
        <w:pStyle w:val="ListParagraph"/>
        <w:numPr>
          <w:ilvl w:val="0"/>
          <w:numId w:val="26"/>
        </w:numPr>
      </w:pPr>
      <w:r w:rsidRPr="005324AA">
        <w:t>Menorrhagia (late oligo-menorrhea or amenorrhea)</w:t>
      </w:r>
    </w:p>
    <w:p w14:paraId="21E6C033" w14:textId="2F254DA5" w:rsidR="005324AA" w:rsidRPr="005324AA" w:rsidRDefault="005324AA" w:rsidP="005324AA">
      <w:pPr>
        <w:pStyle w:val="ListParagraph"/>
        <w:numPr>
          <w:ilvl w:val="0"/>
          <w:numId w:val="26"/>
        </w:numPr>
      </w:pPr>
      <w:r w:rsidRPr="005324AA">
        <w:t>Paraesthesias</w:t>
      </w:r>
    </w:p>
    <w:p w14:paraId="2C682617" w14:textId="6D3760A8" w:rsidR="005324AA" w:rsidRPr="005324AA" w:rsidRDefault="005324AA" w:rsidP="005324AA">
      <w:pPr>
        <w:pStyle w:val="ListParagraph"/>
        <w:numPr>
          <w:ilvl w:val="0"/>
          <w:numId w:val="26"/>
        </w:numPr>
      </w:pPr>
      <w:r w:rsidRPr="005324AA">
        <w:t>Impaired hearing</w:t>
      </w:r>
    </w:p>
    <w:p w14:paraId="328A17B9" w14:textId="7FCEC378" w:rsidR="005324AA" w:rsidRPr="005324AA" w:rsidRDefault="005324AA" w:rsidP="005324AA">
      <w:pPr>
        <w:pStyle w:val="ListParagraph"/>
        <w:numPr>
          <w:ilvl w:val="0"/>
          <w:numId w:val="26"/>
        </w:numPr>
      </w:pPr>
      <w:r w:rsidRPr="005324AA">
        <w:t xml:space="preserve">Myxoedema </w:t>
      </w:r>
      <w:r>
        <w:t xml:space="preserve">– </w:t>
      </w:r>
      <w:r w:rsidRPr="005324AA">
        <w:t>cool peripheral extremities, puffy face, hands and feet</w:t>
      </w:r>
    </w:p>
    <w:p w14:paraId="0F10F1CB" w14:textId="77777777" w:rsidR="005324AA" w:rsidRPr="005324AA" w:rsidRDefault="005324AA" w:rsidP="005324AA">
      <w:r w:rsidRPr="005324AA">
        <w:t>Congenital hypothyroidism presents in infants with lethargy, feeding problems, drowsiness, constipation, puffy facies, big tongue, large fontanelles, hypotonia, dry skin, hypothermia, prolonged jaundice. They may be big babies and there may be associated congenital malformations.</w:t>
      </w:r>
    </w:p>
    <w:p w14:paraId="4617B162" w14:textId="77777777" w:rsidR="00975A60" w:rsidRPr="00DC590C" w:rsidRDefault="00975A60" w:rsidP="00975A60">
      <w:pPr>
        <w:pStyle w:val="Heading2"/>
        <w:rPr>
          <w:rFonts w:cs="Arial"/>
          <w:szCs w:val="22"/>
        </w:rPr>
      </w:pPr>
      <w:r w:rsidRPr="00DC590C">
        <w:rPr>
          <w:rFonts w:cs="Arial"/>
          <w:szCs w:val="22"/>
        </w:rPr>
        <w:t>Examination findings</w:t>
      </w:r>
    </w:p>
    <w:p w14:paraId="05E8D34E" w14:textId="77777777" w:rsidR="005324AA" w:rsidRDefault="005324AA" w:rsidP="005324AA">
      <w:r>
        <w:t>Signs of hypothyroidism include:</w:t>
      </w:r>
    </w:p>
    <w:p w14:paraId="0E19D45A" w14:textId="13C851D9" w:rsidR="005324AA" w:rsidRPr="005324AA" w:rsidRDefault="005324AA" w:rsidP="005324AA">
      <w:pPr>
        <w:pStyle w:val="ListParagraph"/>
        <w:numPr>
          <w:ilvl w:val="0"/>
          <w:numId w:val="28"/>
        </w:numPr>
      </w:pPr>
      <w:r w:rsidRPr="005324AA">
        <w:rPr>
          <w:sz w:val="24"/>
        </w:rPr>
        <w:t>Bradycardia</w:t>
      </w:r>
      <w:r w:rsidRPr="005324AA">
        <w:t xml:space="preserve"> (&lt;60 per minute)</w:t>
      </w:r>
    </w:p>
    <w:p w14:paraId="27684350" w14:textId="77777777" w:rsidR="005324AA" w:rsidRPr="005324AA" w:rsidRDefault="005324AA" w:rsidP="005324AA">
      <w:pPr>
        <w:pStyle w:val="ListParagraph"/>
        <w:numPr>
          <w:ilvl w:val="0"/>
          <w:numId w:val="28"/>
        </w:numPr>
      </w:pPr>
      <w:r w:rsidRPr="005324AA">
        <w:t>Dry coarse skin</w:t>
      </w:r>
    </w:p>
    <w:p w14:paraId="65EB16AC" w14:textId="77777777" w:rsidR="005324AA" w:rsidRPr="005324AA" w:rsidRDefault="005324AA" w:rsidP="005324AA">
      <w:pPr>
        <w:pStyle w:val="ListParagraph"/>
        <w:numPr>
          <w:ilvl w:val="0"/>
          <w:numId w:val="28"/>
        </w:numPr>
      </w:pPr>
      <w:r w:rsidRPr="005324AA">
        <w:t>Puffy face</w:t>
      </w:r>
    </w:p>
    <w:p w14:paraId="06D1B0AF" w14:textId="77777777" w:rsidR="005324AA" w:rsidRPr="005324AA" w:rsidRDefault="005324AA" w:rsidP="005324AA">
      <w:pPr>
        <w:pStyle w:val="ListParagraph"/>
        <w:numPr>
          <w:ilvl w:val="0"/>
          <w:numId w:val="28"/>
        </w:numPr>
      </w:pPr>
      <w:r w:rsidRPr="005324AA">
        <w:t>Pallor</w:t>
      </w:r>
    </w:p>
    <w:p w14:paraId="3573E824" w14:textId="77777777" w:rsidR="005324AA" w:rsidRPr="005324AA" w:rsidRDefault="005324AA" w:rsidP="005324AA">
      <w:pPr>
        <w:pStyle w:val="ListParagraph"/>
        <w:numPr>
          <w:ilvl w:val="0"/>
          <w:numId w:val="28"/>
        </w:numPr>
      </w:pPr>
      <w:r w:rsidRPr="005324AA">
        <w:t>Hoarse voice</w:t>
      </w:r>
    </w:p>
    <w:p w14:paraId="3A9D7A41" w14:textId="77777777" w:rsidR="005324AA" w:rsidRPr="005324AA" w:rsidRDefault="005324AA" w:rsidP="005324AA">
      <w:pPr>
        <w:pStyle w:val="ListParagraph"/>
        <w:numPr>
          <w:ilvl w:val="0"/>
          <w:numId w:val="28"/>
        </w:numPr>
      </w:pPr>
      <w:r w:rsidRPr="005324AA">
        <w:t>Slow reflexes</w:t>
      </w:r>
    </w:p>
    <w:p w14:paraId="4667ECE6" w14:textId="77777777" w:rsidR="005324AA" w:rsidRPr="005324AA" w:rsidRDefault="005324AA" w:rsidP="005324AA">
      <w:pPr>
        <w:pStyle w:val="ListParagraph"/>
        <w:numPr>
          <w:ilvl w:val="0"/>
          <w:numId w:val="28"/>
        </w:numPr>
      </w:pPr>
      <w:r w:rsidRPr="005324AA">
        <w:t>Goitre may be present</w:t>
      </w:r>
    </w:p>
    <w:p w14:paraId="1BF812DE" w14:textId="77777777" w:rsidR="005324AA" w:rsidRPr="005324AA" w:rsidRDefault="005324AA" w:rsidP="005324AA">
      <w:pPr>
        <w:pStyle w:val="ListParagraph"/>
        <w:numPr>
          <w:ilvl w:val="0"/>
          <w:numId w:val="28"/>
        </w:numPr>
      </w:pPr>
      <w:r w:rsidRPr="005324AA">
        <w:t>Non-pitting edema (myxoedema)</w:t>
      </w:r>
    </w:p>
    <w:p w14:paraId="16F883ED" w14:textId="77777777" w:rsidR="005324AA" w:rsidRPr="005324AA" w:rsidRDefault="005324AA" w:rsidP="005324AA">
      <w:pPr>
        <w:pStyle w:val="ListParagraph"/>
        <w:numPr>
          <w:ilvl w:val="0"/>
          <w:numId w:val="28"/>
        </w:numPr>
      </w:pPr>
      <w:r w:rsidRPr="005324AA">
        <w:t>Pitting edema of lower extremities</w:t>
      </w:r>
    </w:p>
    <w:p w14:paraId="10421408" w14:textId="77777777" w:rsidR="005324AA" w:rsidRDefault="005324AA" w:rsidP="005324AA">
      <w:pPr>
        <w:pStyle w:val="ListParagraph"/>
        <w:numPr>
          <w:ilvl w:val="0"/>
          <w:numId w:val="28"/>
        </w:numPr>
      </w:pPr>
      <w:r w:rsidRPr="005324AA">
        <w:t xml:space="preserve">Hyporeflexia with delayed relaxation, ataxia, or both </w:t>
      </w:r>
    </w:p>
    <w:p w14:paraId="56E9D431" w14:textId="0281F447" w:rsidR="005324AA" w:rsidRPr="005324AA" w:rsidRDefault="005324AA" w:rsidP="005324AA">
      <w:pPr>
        <w:pStyle w:val="ListParagraph"/>
        <w:numPr>
          <w:ilvl w:val="0"/>
          <w:numId w:val="28"/>
        </w:numPr>
      </w:pPr>
      <w:r>
        <w:t>Cool</w:t>
      </w:r>
      <w:r w:rsidRPr="005324AA">
        <w:t xml:space="preserve"> peripheral extremities, puffy face, hands and feet</w:t>
      </w:r>
    </w:p>
    <w:p w14:paraId="213F8D44" w14:textId="4FD88DCE" w:rsidR="00F03F25" w:rsidRDefault="005324AA" w:rsidP="002A2856">
      <w:pPr>
        <w:pStyle w:val="Heading2"/>
        <w:rPr>
          <w:rFonts w:cs="Arial"/>
          <w:szCs w:val="22"/>
        </w:rPr>
      </w:pPr>
      <w:r>
        <w:rPr>
          <w:rFonts w:cs="Arial"/>
          <w:szCs w:val="22"/>
        </w:rPr>
        <w:t>Investigations:</w:t>
      </w:r>
    </w:p>
    <w:p w14:paraId="3BF50928" w14:textId="77777777" w:rsidR="005324AA" w:rsidRPr="005324AA" w:rsidRDefault="005324AA" w:rsidP="005324AA">
      <w:r w:rsidRPr="005324AA">
        <w:t>Thyroid function tests show either:</w:t>
      </w:r>
    </w:p>
    <w:p w14:paraId="426D192D" w14:textId="77777777" w:rsidR="005324AA" w:rsidRPr="005324AA" w:rsidRDefault="005324AA" w:rsidP="005324AA">
      <w:pPr>
        <w:pStyle w:val="ListParagraph"/>
        <w:numPr>
          <w:ilvl w:val="0"/>
          <w:numId w:val="30"/>
        </w:numPr>
      </w:pPr>
      <w:r w:rsidRPr="005324AA">
        <w:t>High TSH in association with a low free T</w:t>
      </w:r>
      <w:r w:rsidRPr="005324AA">
        <w:rPr>
          <w:vertAlign w:val="subscript"/>
        </w:rPr>
        <w:t>4</w:t>
      </w:r>
      <w:r w:rsidRPr="005324AA">
        <w:t xml:space="preserve"> (primary hypothyroidism which is most common)</w:t>
      </w:r>
    </w:p>
    <w:p w14:paraId="6E6B9E6C" w14:textId="77777777" w:rsidR="005324AA" w:rsidRPr="005324AA" w:rsidRDefault="005324AA" w:rsidP="005324AA">
      <w:pPr>
        <w:pStyle w:val="ListParagraph"/>
        <w:numPr>
          <w:ilvl w:val="0"/>
          <w:numId w:val="30"/>
        </w:numPr>
      </w:pPr>
      <w:r w:rsidRPr="005324AA">
        <w:t>Low (or sometimes normal) TSH in association with a low free T</w:t>
      </w:r>
      <w:r w:rsidRPr="005324AA">
        <w:rPr>
          <w:vertAlign w:val="subscript"/>
        </w:rPr>
        <w:t>4</w:t>
      </w:r>
      <w:r w:rsidRPr="005324AA">
        <w:t xml:space="preserve"> (central hypothyroidism suggesting a pituitary or hypothalamic problem). </w:t>
      </w:r>
    </w:p>
    <w:p w14:paraId="31A99596" w14:textId="52340D0F" w:rsidR="005324AA" w:rsidRPr="005324AA" w:rsidRDefault="005324AA" w:rsidP="005324AA">
      <w:r w:rsidRPr="005324AA">
        <w:t xml:space="preserve">Therefore request TSH </w:t>
      </w:r>
      <w:r>
        <w:t xml:space="preserve">only </w:t>
      </w:r>
      <w:r w:rsidRPr="005324AA">
        <w:t>– if this is abnormal, the measurement should be repeated along with T</w:t>
      </w:r>
      <w:r w:rsidRPr="005324AA">
        <w:rPr>
          <w:vertAlign w:val="subscript"/>
        </w:rPr>
        <w:t>3</w:t>
      </w:r>
      <w:r w:rsidRPr="005324AA">
        <w:t xml:space="preserve"> and T</w:t>
      </w:r>
      <w:r w:rsidRPr="005324AA">
        <w:rPr>
          <w:vertAlign w:val="subscript"/>
        </w:rPr>
        <w:t>4</w:t>
      </w:r>
      <w:r w:rsidRPr="005324AA">
        <w:t xml:space="preserve">. </w:t>
      </w:r>
    </w:p>
    <w:p w14:paraId="51DC7B2D" w14:textId="31E5D8BC" w:rsidR="005324AA" w:rsidRDefault="005324AA" w:rsidP="005324AA">
      <w:r w:rsidRPr="005324AA">
        <w:lastRenderedPageBreak/>
        <w:t>If the TSH is normal and the patient has very convincing symptoms of hypothyroidism such that central hypothyroidism is possible, then you may want to go ahead with a full set of thyroid function tests anyway.</w:t>
      </w:r>
    </w:p>
    <w:p w14:paraId="59B8676E" w14:textId="36442232" w:rsidR="005324AA" w:rsidRPr="005324AA" w:rsidRDefault="005324AA" w:rsidP="005324AA">
      <w:r>
        <w:t xml:space="preserve">CT scan of the head is indicated only if a pituitary cause is expected after doing </w:t>
      </w:r>
      <w:r w:rsidR="00E846C3">
        <w:t>establishing that there is a low or normal TSH and a low free T</w:t>
      </w:r>
      <w:r w:rsidR="00E846C3" w:rsidRPr="00E846C3">
        <w:rPr>
          <w:vertAlign w:val="subscript"/>
        </w:rPr>
        <w:t>4</w:t>
      </w:r>
      <w:r w:rsidR="00E846C3">
        <w:t>.</w:t>
      </w:r>
    </w:p>
    <w:p w14:paraId="126E4577" w14:textId="6C770631" w:rsidR="005324AA" w:rsidRDefault="005324AA" w:rsidP="005324AA">
      <w:r w:rsidRPr="005324AA">
        <w:t xml:space="preserve">See flow chart </w:t>
      </w:r>
      <w:r w:rsidR="003F3831">
        <w:t>below</w:t>
      </w:r>
      <w:r w:rsidRPr="005324AA">
        <w:t>.</w:t>
      </w:r>
    </w:p>
    <w:p w14:paraId="2D358541" w14:textId="77777777" w:rsidR="003F3831" w:rsidRPr="005324AA" w:rsidRDefault="003F3831" w:rsidP="005324AA"/>
    <w:p w14:paraId="543355CA" w14:textId="159210EA" w:rsidR="00A51B6C" w:rsidRDefault="00A51B6C" w:rsidP="00E846C3">
      <w:pPr>
        <w:pStyle w:val="Heading2"/>
      </w:pPr>
      <w:r>
        <w:rPr>
          <w:noProof/>
          <w:lang w:val="en-GB" w:eastAsia="en-GB"/>
        </w:rPr>
        <w:drawing>
          <wp:inline distT="0" distB="0" distL="0" distR="0" wp14:anchorId="1F9FA2CC" wp14:editId="4ED7F418">
            <wp:extent cx="5486400" cy="61995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ypothyroidism_image00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199505"/>
                    </a:xfrm>
                    <a:prstGeom prst="rect">
                      <a:avLst/>
                    </a:prstGeom>
                  </pic:spPr>
                </pic:pic>
              </a:graphicData>
            </a:graphic>
          </wp:inline>
        </w:drawing>
      </w:r>
    </w:p>
    <w:p w14:paraId="5E5C9876" w14:textId="77777777" w:rsidR="00A51B6C" w:rsidRDefault="00A51B6C">
      <w:pPr>
        <w:spacing w:after="0"/>
        <w:outlineLvl w:val="9"/>
        <w:rPr>
          <w:rFonts w:cs="Times New Roman"/>
          <w:b/>
          <w:sz w:val="24"/>
          <w:szCs w:val="28"/>
        </w:rPr>
      </w:pPr>
      <w:r>
        <w:br w:type="page"/>
      </w:r>
    </w:p>
    <w:p w14:paraId="0CC84C66" w14:textId="5EF4548D" w:rsidR="00E846C3" w:rsidRDefault="00E846C3" w:rsidP="00E846C3">
      <w:pPr>
        <w:pStyle w:val="Heading2"/>
      </w:pPr>
      <w:r w:rsidRPr="00EF2FB1">
        <w:lastRenderedPageBreak/>
        <w:t>Management</w:t>
      </w:r>
    </w:p>
    <w:p w14:paraId="7B27972E" w14:textId="77777777" w:rsidR="00E846C3" w:rsidRPr="00E846C3" w:rsidRDefault="00E846C3" w:rsidP="00E846C3">
      <w:r w:rsidRPr="00E846C3">
        <w:t>Treatment of primary and central hypothyroidism is with thyroxine (or levothyroxine). This is given once a day.</w:t>
      </w:r>
    </w:p>
    <w:p w14:paraId="38DFAD68" w14:textId="77777777" w:rsidR="00E846C3" w:rsidRPr="00E846C3" w:rsidRDefault="00E846C3" w:rsidP="00E846C3">
      <w:r w:rsidRPr="00E846C3">
        <w:t>Usual adult requirements are 1.5 mcg/kg/day. This dose can be given immediately to most patients. A lower dose may be used and titrated up for those who have heart disease. The medication should be taken on an empty stomach and food should not be eaten for one hour after this.</w:t>
      </w:r>
    </w:p>
    <w:p w14:paraId="780C459F" w14:textId="77777777" w:rsidR="00E846C3" w:rsidRPr="00E846C3" w:rsidRDefault="00E846C3" w:rsidP="00E846C3">
      <w:r w:rsidRPr="00E846C3">
        <w:t>Children clear T4 more rapidly than adults and need a higher dose:</w:t>
      </w:r>
    </w:p>
    <w:tbl>
      <w:tblPr>
        <w:tblStyle w:val="TableGrid"/>
        <w:tblW w:w="0" w:type="auto"/>
        <w:tblLook w:val="04A0" w:firstRow="1" w:lastRow="0" w:firstColumn="1" w:lastColumn="0" w:noHBand="0" w:noVBand="1"/>
      </w:tblPr>
      <w:tblGrid>
        <w:gridCol w:w="4315"/>
        <w:gridCol w:w="4315"/>
      </w:tblGrid>
      <w:tr w:rsidR="00E846C3" w:rsidRPr="00FE7CC5" w14:paraId="124D1657" w14:textId="77777777" w:rsidTr="00FF3753">
        <w:tc>
          <w:tcPr>
            <w:tcW w:w="4315" w:type="dxa"/>
          </w:tcPr>
          <w:p w14:paraId="09D7D29C" w14:textId="77777777" w:rsidR="00E846C3" w:rsidRPr="00FE7CC5" w:rsidRDefault="00E846C3" w:rsidP="00FF3753">
            <w:pPr>
              <w:rPr>
                <w:b/>
              </w:rPr>
            </w:pPr>
            <w:r w:rsidRPr="00FE7CC5">
              <w:rPr>
                <w:b/>
              </w:rPr>
              <w:t>Age</w:t>
            </w:r>
          </w:p>
        </w:tc>
        <w:tc>
          <w:tcPr>
            <w:tcW w:w="4315" w:type="dxa"/>
          </w:tcPr>
          <w:p w14:paraId="37B7693D" w14:textId="77777777" w:rsidR="00E846C3" w:rsidRPr="00FE7CC5" w:rsidRDefault="00E846C3" w:rsidP="00FF3753">
            <w:pPr>
              <w:rPr>
                <w:b/>
              </w:rPr>
            </w:pPr>
            <w:r w:rsidRPr="00FE7CC5">
              <w:rPr>
                <w:b/>
              </w:rPr>
              <w:t>Dose</w:t>
            </w:r>
          </w:p>
        </w:tc>
      </w:tr>
      <w:tr w:rsidR="00E846C3" w14:paraId="20A5F856" w14:textId="77777777" w:rsidTr="00FF3753">
        <w:tc>
          <w:tcPr>
            <w:tcW w:w="4315" w:type="dxa"/>
          </w:tcPr>
          <w:p w14:paraId="325EBE87" w14:textId="77777777" w:rsidR="00E846C3" w:rsidRDefault="00E846C3" w:rsidP="00FF3753">
            <w:r>
              <w:t>&lt;1 year</w:t>
            </w:r>
          </w:p>
        </w:tc>
        <w:tc>
          <w:tcPr>
            <w:tcW w:w="4315" w:type="dxa"/>
          </w:tcPr>
          <w:p w14:paraId="77C02059" w14:textId="77777777" w:rsidR="00E846C3" w:rsidRDefault="00E846C3" w:rsidP="00FF3753">
            <w:r>
              <w:t>10-15 mcg/kg</w:t>
            </w:r>
          </w:p>
        </w:tc>
      </w:tr>
      <w:tr w:rsidR="00E846C3" w14:paraId="7E5F0308" w14:textId="77777777" w:rsidTr="00FF3753">
        <w:tc>
          <w:tcPr>
            <w:tcW w:w="4315" w:type="dxa"/>
          </w:tcPr>
          <w:p w14:paraId="1A34B46A" w14:textId="77777777" w:rsidR="00E846C3" w:rsidRDefault="00E846C3" w:rsidP="00FF3753">
            <w:r>
              <w:t>1-3 years</w:t>
            </w:r>
          </w:p>
        </w:tc>
        <w:tc>
          <w:tcPr>
            <w:tcW w:w="4315" w:type="dxa"/>
          </w:tcPr>
          <w:p w14:paraId="72FA10AF" w14:textId="77777777" w:rsidR="00E846C3" w:rsidRDefault="00E846C3" w:rsidP="00FF3753">
            <w:r>
              <w:t>4-6 mcg/kg</w:t>
            </w:r>
          </w:p>
        </w:tc>
      </w:tr>
      <w:tr w:rsidR="00E846C3" w14:paraId="3625FC00" w14:textId="77777777" w:rsidTr="00FF3753">
        <w:tc>
          <w:tcPr>
            <w:tcW w:w="4315" w:type="dxa"/>
          </w:tcPr>
          <w:p w14:paraId="1E0434AE" w14:textId="77777777" w:rsidR="00E846C3" w:rsidRDefault="00E846C3" w:rsidP="00FF3753">
            <w:r>
              <w:t>3-10 years</w:t>
            </w:r>
          </w:p>
        </w:tc>
        <w:tc>
          <w:tcPr>
            <w:tcW w:w="4315" w:type="dxa"/>
          </w:tcPr>
          <w:p w14:paraId="2265CAE8" w14:textId="77777777" w:rsidR="00E846C3" w:rsidRDefault="00E846C3" w:rsidP="00FF3753">
            <w:r>
              <w:t>2-5 mcg/kg</w:t>
            </w:r>
          </w:p>
        </w:tc>
      </w:tr>
      <w:tr w:rsidR="00E846C3" w14:paraId="6D2B390D" w14:textId="77777777" w:rsidTr="00FF3753">
        <w:tc>
          <w:tcPr>
            <w:tcW w:w="4315" w:type="dxa"/>
          </w:tcPr>
          <w:p w14:paraId="6A415E0B" w14:textId="77777777" w:rsidR="00E846C3" w:rsidRDefault="00E846C3" w:rsidP="00FF3753">
            <w:r>
              <w:t>10-16 years</w:t>
            </w:r>
          </w:p>
        </w:tc>
        <w:tc>
          <w:tcPr>
            <w:tcW w:w="4315" w:type="dxa"/>
          </w:tcPr>
          <w:p w14:paraId="68C1C83A" w14:textId="77777777" w:rsidR="00E846C3" w:rsidRDefault="00E846C3" w:rsidP="00FF3753">
            <w:r>
              <w:t>2-4 mcg/kg</w:t>
            </w:r>
          </w:p>
        </w:tc>
      </w:tr>
    </w:tbl>
    <w:p w14:paraId="2E389BB7" w14:textId="337E2BBE" w:rsidR="00E846C3" w:rsidRDefault="00E846C3" w:rsidP="00E846C3"/>
    <w:p w14:paraId="4CBA75D9" w14:textId="63D479AF" w:rsidR="00E846C3" w:rsidRPr="00E846C3" w:rsidRDefault="00E846C3" w:rsidP="00E846C3">
      <w:r w:rsidRPr="00E846C3">
        <w:t xml:space="preserve">Recheck TSH 6 weeks after starting treatment. If the TSH remains high, increase the dose by 12-25 mcg/day. Repeat this until the TSH is normal. If the patient is very symptomatic the interval may be reduced to 3 weeks. Most adult patients end up taking 100-150 mcg OD. </w:t>
      </w:r>
    </w:p>
    <w:p w14:paraId="2847F2C8" w14:textId="77777777" w:rsidR="00E846C3" w:rsidRPr="00E846C3" w:rsidRDefault="00E846C3" w:rsidP="00E846C3">
      <w:r w:rsidRPr="00E846C3">
        <w:t>Symptom relief usually occurs about 3 to 6 months after normal TSH.</w:t>
      </w:r>
    </w:p>
    <w:p w14:paraId="6B399A2D" w14:textId="08608E35" w:rsidR="00E846C3" w:rsidRPr="00E846C3" w:rsidRDefault="00E846C3" w:rsidP="00E846C3">
      <w:r w:rsidRPr="00E846C3">
        <w:t>Once a patient is on a stable dose, the TSH can be measured once a year or when there is a change in symptoms. Patients who become pregnant, who gain weight or who start taking rifampicin, carbamazepine, phenytoin or phenobarbital may need their dose of thyroxine increasing.</w:t>
      </w:r>
    </w:p>
    <w:p w14:paraId="1BDCA10B" w14:textId="2870E82C" w:rsidR="00E846C3" w:rsidRPr="00E846C3" w:rsidRDefault="00E846C3" w:rsidP="00E846C3">
      <w:r w:rsidRPr="00E846C3">
        <w:t>Women of reproductive age should be euthyroid before conceiving, as the hypothyroidism is associated with abnormal neural development. The dose may be doubled during pregnancy and returned to the normal dose after delivery.</w:t>
      </w:r>
    </w:p>
    <w:p w14:paraId="7A1ADDA9" w14:textId="0DF05E75" w:rsidR="00E846C3" w:rsidRPr="00E846C3" w:rsidRDefault="00E846C3" w:rsidP="00E846C3">
      <w:r w:rsidRPr="00E846C3">
        <w:t xml:space="preserve">See flow chart </w:t>
      </w:r>
      <w:r w:rsidR="003F3831">
        <w:t>on next page</w:t>
      </w:r>
      <w:r w:rsidRPr="00E846C3">
        <w:t>.</w:t>
      </w:r>
    </w:p>
    <w:p w14:paraId="73B6A536" w14:textId="320E0864" w:rsidR="00E846C3" w:rsidRDefault="00E846C3" w:rsidP="00E846C3">
      <w:r w:rsidRPr="00E846C3">
        <w:t>Children with congenital hypothyroidism need closer monitoring, to account for the changes that occur as they grow. The TSH should be checked every 2 weeks until it is normal, then every 3 months until age 3 years. After this it can be done 6-12 monthly until they stop growing.</w:t>
      </w:r>
    </w:p>
    <w:p w14:paraId="40ECFC88" w14:textId="729F1448" w:rsidR="00D60179" w:rsidRDefault="00D60179">
      <w:pPr>
        <w:spacing w:after="0"/>
        <w:outlineLvl w:val="9"/>
      </w:pPr>
      <w:r>
        <w:br w:type="page"/>
      </w:r>
    </w:p>
    <w:p w14:paraId="5BD9FE79" w14:textId="2D6A1C1C" w:rsidR="00E846C3" w:rsidRDefault="003A08EC" w:rsidP="00E846C3">
      <w:bookmarkStart w:id="0" w:name="_GoBack"/>
      <w:r>
        <w:rPr>
          <w:noProof/>
          <w:lang w:val="en-GB" w:eastAsia="en-GB"/>
        </w:rPr>
        <w:lastRenderedPageBreak/>
        <w:drawing>
          <wp:inline distT="0" distB="0" distL="0" distR="0" wp14:anchorId="5AC53310" wp14:editId="506ED227">
            <wp:extent cx="5486400" cy="346202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ypothyroidism_image00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62020"/>
                    </a:xfrm>
                    <a:prstGeom prst="rect">
                      <a:avLst/>
                    </a:prstGeom>
                  </pic:spPr>
                </pic:pic>
              </a:graphicData>
            </a:graphic>
          </wp:inline>
        </w:drawing>
      </w:r>
      <w:bookmarkEnd w:id="0"/>
    </w:p>
    <w:p w14:paraId="069AFB69" w14:textId="77777777" w:rsidR="00D60179" w:rsidRDefault="00D60179" w:rsidP="00E846C3"/>
    <w:p w14:paraId="7CE38026" w14:textId="77777777" w:rsidR="00E846C3" w:rsidRPr="006C688B" w:rsidRDefault="00E846C3" w:rsidP="00E846C3">
      <w:pPr>
        <w:rPr>
          <w:b/>
        </w:rPr>
      </w:pPr>
      <w:r w:rsidRPr="006C688B">
        <w:rPr>
          <w:b/>
        </w:rPr>
        <w:t>References</w:t>
      </w:r>
    </w:p>
    <w:p w14:paraId="3E09B307" w14:textId="081F1025" w:rsidR="004C6101" w:rsidRPr="004C6101" w:rsidRDefault="004C6101" w:rsidP="004C6101">
      <w:pPr>
        <w:rPr>
          <w:sz w:val="20"/>
          <w:szCs w:val="20"/>
        </w:rPr>
      </w:pPr>
      <w:r w:rsidRPr="004C6101">
        <w:rPr>
          <w:sz w:val="20"/>
          <w:szCs w:val="20"/>
        </w:rPr>
        <w:t>Hypothyroidism. National Institute of Diabetes and Digestive and Kidney Diseases. March 2013. Archived from the original on 5 March 2016. Retrieved 10 June 2018.</w:t>
      </w:r>
    </w:p>
    <w:p w14:paraId="3C164960" w14:textId="31EFB24B" w:rsidR="004C6101" w:rsidRPr="004C6101" w:rsidRDefault="004C6101" w:rsidP="004C6101">
      <w:pPr>
        <w:rPr>
          <w:sz w:val="20"/>
          <w:szCs w:val="20"/>
        </w:rPr>
      </w:pPr>
      <w:r w:rsidRPr="004C6101">
        <w:rPr>
          <w:sz w:val="20"/>
          <w:szCs w:val="20"/>
        </w:rPr>
        <w:t>Ferri, Fred F. Ferri's differential diagnosis : a practical guide to the differential diagnosis of symptoms, signs, and clinical disorders (2nd ed.). Philadelphia, PA: Elsevier/Mosby.</w:t>
      </w:r>
      <w:r>
        <w:rPr>
          <w:sz w:val="20"/>
          <w:szCs w:val="20"/>
        </w:rPr>
        <w:t xml:space="preserve"> 2010.</w:t>
      </w:r>
    </w:p>
    <w:p w14:paraId="3EB81DED" w14:textId="018FA1C8" w:rsidR="00E846C3" w:rsidRPr="004C6101" w:rsidRDefault="00E846C3" w:rsidP="004C6101">
      <w:pPr>
        <w:rPr>
          <w:sz w:val="20"/>
          <w:szCs w:val="20"/>
        </w:rPr>
      </w:pPr>
      <w:r w:rsidRPr="004C6101">
        <w:rPr>
          <w:sz w:val="20"/>
          <w:szCs w:val="20"/>
        </w:rPr>
        <w:t>Ross 2017. Diagnosis of and screening for hypothyroidism in nonpregnant adults. UpToDate June 2017.</w:t>
      </w:r>
    </w:p>
    <w:p w14:paraId="3860EB22" w14:textId="5BA9ACAD" w:rsidR="00E846C3" w:rsidRPr="004C6101" w:rsidRDefault="00E846C3" w:rsidP="004C6101">
      <w:pPr>
        <w:rPr>
          <w:sz w:val="20"/>
          <w:szCs w:val="20"/>
        </w:rPr>
      </w:pPr>
      <w:r w:rsidRPr="004C6101">
        <w:rPr>
          <w:sz w:val="20"/>
          <w:szCs w:val="20"/>
        </w:rPr>
        <w:t>Ross 2017. Treatment of primary hypothyroidism in adults. UpToDate June 2017</w:t>
      </w:r>
    </w:p>
    <w:p w14:paraId="79294F9D" w14:textId="77777777" w:rsidR="00E846C3" w:rsidRPr="004C6101" w:rsidRDefault="00E846C3" w:rsidP="004C6101">
      <w:pPr>
        <w:rPr>
          <w:sz w:val="20"/>
          <w:szCs w:val="20"/>
        </w:rPr>
      </w:pPr>
      <w:r w:rsidRPr="004C6101">
        <w:rPr>
          <w:sz w:val="20"/>
          <w:szCs w:val="20"/>
        </w:rPr>
        <w:t>LaFranchi 2017. Acquired hypothyroidism in childhood and adolescence. UpToDate June 2017.</w:t>
      </w:r>
    </w:p>
    <w:p w14:paraId="40E03930" w14:textId="77777777" w:rsidR="00E846C3" w:rsidRPr="004C6101" w:rsidRDefault="00E846C3" w:rsidP="004C6101">
      <w:pPr>
        <w:rPr>
          <w:sz w:val="20"/>
          <w:szCs w:val="20"/>
        </w:rPr>
      </w:pPr>
      <w:r w:rsidRPr="004C6101">
        <w:rPr>
          <w:sz w:val="20"/>
          <w:szCs w:val="20"/>
        </w:rPr>
        <w:t>LaFranchi 2017. Clinical features and detection of congenital hypothyroidism. UpToDate Jun 2017.</w:t>
      </w:r>
    </w:p>
    <w:p w14:paraId="74FEC9B7" w14:textId="4A00CFEA" w:rsidR="00E846C3" w:rsidRPr="004C6101" w:rsidRDefault="00E846C3" w:rsidP="004C6101">
      <w:pPr>
        <w:rPr>
          <w:sz w:val="20"/>
          <w:szCs w:val="20"/>
        </w:rPr>
      </w:pPr>
      <w:r w:rsidRPr="004C6101">
        <w:rPr>
          <w:sz w:val="20"/>
          <w:szCs w:val="20"/>
        </w:rPr>
        <w:t>LaFranchi 2017. Treatment and prognosis of congenital hypothyroidism. UpToDate June 2017.</w:t>
      </w:r>
    </w:p>
    <w:p w14:paraId="0531BDCF" w14:textId="59BB3BF8" w:rsidR="00F03F25" w:rsidRPr="005638D0" w:rsidRDefault="00F03F25" w:rsidP="005638D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0A1F7954" w14:textId="77777777" w:rsidTr="00515546">
        <w:trPr>
          <w:trHeight w:val="20"/>
        </w:trPr>
        <w:tc>
          <w:tcPr>
            <w:tcW w:w="2139" w:type="dxa"/>
            <w:shd w:val="clear" w:color="auto" w:fill="auto"/>
            <w:vAlign w:val="bottom"/>
          </w:tcPr>
          <w:p w14:paraId="604B5AC8"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45E6876B" w14:textId="093C0511" w:rsidR="004C4442" w:rsidRPr="00515546" w:rsidRDefault="004C4442" w:rsidP="00522C6C">
            <w:pPr>
              <w:spacing w:after="0"/>
              <w:rPr>
                <w:szCs w:val="22"/>
              </w:rPr>
            </w:pPr>
            <w:r w:rsidRPr="00515546">
              <w:rPr>
                <w:szCs w:val="22"/>
              </w:rPr>
              <w:t>Name</w:t>
            </w:r>
            <w:r w:rsidR="005638D0">
              <w:rPr>
                <w:szCs w:val="22"/>
              </w:rPr>
              <w:t xml:space="preserve">: </w:t>
            </w:r>
            <w:r w:rsidR="004C6101">
              <w:rPr>
                <w:szCs w:val="22"/>
              </w:rPr>
              <w:t>Chibuike Okpara</w:t>
            </w:r>
          </w:p>
        </w:tc>
        <w:tc>
          <w:tcPr>
            <w:tcW w:w="2869" w:type="dxa"/>
            <w:shd w:val="clear" w:color="auto" w:fill="auto"/>
            <w:vAlign w:val="bottom"/>
          </w:tcPr>
          <w:p w14:paraId="37E5E8C4" w14:textId="47A90947" w:rsidR="004C4442" w:rsidRPr="00515546" w:rsidRDefault="004C4442" w:rsidP="00522C6C">
            <w:pPr>
              <w:spacing w:after="0"/>
              <w:rPr>
                <w:szCs w:val="22"/>
              </w:rPr>
            </w:pPr>
            <w:r w:rsidRPr="00515546">
              <w:rPr>
                <w:szCs w:val="22"/>
              </w:rPr>
              <w:t xml:space="preserve">Date: </w:t>
            </w:r>
            <w:r w:rsidR="004C6101">
              <w:rPr>
                <w:szCs w:val="22"/>
              </w:rPr>
              <w:t>9 June 2018</w:t>
            </w:r>
          </w:p>
        </w:tc>
      </w:tr>
      <w:tr w:rsidR="004C4442" w:rsidRPr="00515546" w14:paraId="15272E6B" w14:textId="77777777" w:rsidTr="00515546">
        <w:trPr>
          <w:trHeight w:val="20"/>
        </w:trPr>
        <w:tc>
          <w:tcPr>
            <w:tcW w:w="2139" w:type="dxa"/>
            <w:shd w:val="clear" w:color="auto" w:fill="auto"/>
            <w:vAlign w:val="bottom"/>
          </w:tcPr>
          <w:p w14:paraId="747E41FC"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2AB662C6" w14:textId="29285CA9" w:rsidR="004C4442" w:rsidRPr="00515546" w:rsidRDefault="004C4442" w:rsidP="00522C6C">
            <w:pPr>
              <w:spacing w:after="0"/>
              <w:rPr>
                <w:szCs w:val="22"/>
              </w:rPr>
            </w:pPr>
            <w:r w:rsidRPr="00515546">
              <w:rPr>
                <w:szCs w:val="22"/>
              </w:rPr>
              <w:t xml:space="preserve">Name: </w:t>
            </w:r>
            <w:r w:rsidR="004C6101">
              <w:rPr>
                <w:szCs w:val="22"/>
              </w:rPr>
              <w:t>Babatunde Awokola</w:t>
            </w:r>
          </w:p>
        </w:tc>
        <w:tc>
          <w:tcPr>
            <w:tcW w:w="2869" w:type="dxa"/>
            <w:shd w:val="clear" w:color="auto" w:fill="auto"/>
            <w:vAlign w:val="bottom"/>
          </w:tcPr>
          <w:p w14:paraId="31F81415" w14:textId="06FC2AAF" w:rsidR="004C4442" w:rsidRPr="00515546" w:rsidRDefault="004C4442" w:rsidP="00522C6C">
            <w:pPr>
              <w:spacing w:after="0"/>
              <w:rPr>
                <w:szCs w:val="22"/>
              </w:rPr>
            </w:pPr>
            <w:r w:rsidRPr="00515546">
              <w:rPr>
                <w:szCs w:val="22"/>
              </w:rPr>
              <w:t xml:space="preserve">Date: </w:t>
            </w:r>
            <w:r w:rsidR="004C6101">
              <w:rPr>
                <w:szCs w:val="22"/>
              </w:rPr>
              <w:t>3 July 2018</w:t>
            </w:r>
          </w:p>
        </w:tc>
      </w:tr>
      <w:tr w:rsidR="004C4442" w:rsidRPr="00515546" w14:paraId="55FB44FA" w14:textId="77777777" w:rsidTr="00515546">
        <w:trPr>
          <w:trHeight w:val="20"/>
        </w:trPr>
        <w:tc>
          <w:tcPr>
            <w:tcW w:w="2139" w:type="dxa"/>
            <w:shd w:val="clear" w:color="auto" w:fill="auto"/>
            <w:vAlign w:val="bottom"/>
          </w:tcPr>
          <w:p w14:paraId="1B2C689C" w14:textId="06972BDB"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11B5E2D2"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09CB43F8" w14:textId="77777777" w:rsidR="004C4442" w:rsidRPr="00515546" w:rsidRDefault="004C4442" w:rsidP="00522C6C">
            <w:pPr>
              <w:spacing w:after="0"/>
              <w:rPr>
                <w:b/>
                <w:szCs w:val="22"/>
              </w:rPr>
            </w:pPr>
            <w:r w:rsidRPr="00515546">
              <w:rPr>
                <w:b/>
                <w:szCs w:val="22"/>
              </w:rPr>
              <w:t>Review due date:</w:t>
            </w:r>
          </w:p>
        </w:tc>
      </w:tr>
      <w:tr w:rsidR="004C4442" w:rsidRPr="00515546" w14:paraId="1B6935B5" w14:textId="77777777" w:rsidTr="00515546">
        <w:trPr>
          <w:trHeight w:val="20"/>
        </w:trPr>
        <w:tc>
          <w:tcPr>
            <w:tcW w:w="2139" w:type="dxa"/>
            <w:shd w:val="clear" w:color="auto" w:fill="auto"/>
            <w:vAlign w:val="bottom"/>
          </w:tcPr>
          <w:p w14:paraId="23921A64"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370B3390"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43C5EEDC" w14:textId="77777777" w:rsidR="004C4442" w:rsidRPr="00515546" w:rsidRDefault="004C4442" w:rsidP="00522C6C">
            <w:pPr>
              <w:spacing w:after="0"/>
              <w:rPr>
                <w:szCs w:val="22"/>
              </w:rPr>
            </w:pPr>
          </w:p>
        </w:tc>
      </w:tr>
      <w:tr w:rsidR="004C6101" w:rsidRPr="00515546" w14:paraId="03113750" w14:textId="77777777" w:rsidTr="00515546">
        <w:trPr>
          <w:trHeight w:val="20"/>
        </w:trPr>
        <w:tc>
          <w:tcPr>
            <w:tcW w:w="2139" w:type="dxa"/>
            <w:shd w:val="clear" w:color="auto" w:fill="auto"/>
            <w:vAlign w:val="bottom"/>
          </w:tcPr>
          <w:p w14:paraId="6CBC41F3" w14:textId="6CDDC282" w:rsidR="004C6101" w:rsidRPr="00515546" w:rsidRDefault="004C6101" w:rsidP="00522C6C">
            <w:pPr>
              <w:spacing w:after="0"/>
              <w:rPr>
                <w:szCs w:val="22"/>
              </w:rPr>
            </w:pPr>
            <w:r>
              <w:rPr>
                <w:szCs w:val="22"/>
              </w:rPr>
              <w:t>2.0</w:t>
            </w:r>
          </w:p>
        </w:tc>
        <w:tc>
          <w:tcPr>
            <w:tcW w:w="3622" w:type="dxa"/>
            <w:shd w:val="clear" w:color="auto" w:fill="auto"/>
            <w:vAlign w:val="bottom"/>
          </w:tcPr>
          <w:p w14:paraId="0D3AF44D" w14:textId="3CBF6CB2" w:rsidR="004C6101" w:rsidRPr="00515546" w:rsidRDefault="004C6101" w:rsidP="00522C6C">
            <w:pPr>
              <w:spacing w:after="0"/>
              <w:rPr>
                <w:szCs w:val="22"/>
              </w:rPr>
            </w:pPr>
            <w:r>
              <w:rPr>
                <w:szCs w:val="22"/>
              </w:rPr>
              <w:t>Revised and transferred to new template</w:t>
            </w:r>
          </w:p>
        </w:tc>
        <w:tc>
          <w:tcPr>
            <w:tcW w:w="2869" w:type="dxa"/>
            <w:shd w:val="clear" w:color="auto" w:fill="auto"/>
            <w:vAlign w:val="bottom"/>
          </w:tcPr>
          <w:p w14:paraId="29BAEC8A" w14:textId="0087761B" w:rsidR="004C6101" w:rsidRPr="00515546" w:rsidRDefault="004C6101" w:rsidP="00522C6C">
            <w:pPr>
              <w:spacing w:after="0"/>
              <w:rPr>
                <w:szCs w:val="22"/>
              </w:rPr>
            </w:pPr>
            <w:r>
              <w:rPr>
                <w:szCs w:val="22"/>
              </w:rPr>
              <w:t>31 July 2020</w:t>
            </w:r>
          </w:p>
        </w:tc>
      </w:tr>
      <w:tr w:rsidR="00A64B6C" w:rsidRPr="00515546" w14:paraId="104F3C7A" w14:textId="77777777" w:rsidTr="00515546">
        <w:trPr>
          <w:trHeight w:val="20"/>
        </w:trPr>
        <w:tc>
          <w:tcPr>
            <w:tcW w:w="2139" w:type="dxa"/>
            <w:shd w:val="clear" w:color="auto" w:fill="auto"/>
            <w:vAlign w:val="bottom"/>
          </w:tcPr>
          <w:p w14:paraId="13BC0888" w14:textId="769D1BC9" w:rsidR="00A64B6C" w:rsidRDefault="00A64B6C" w:rsidP="00522C6C">
            <w:pPr>
              <w:spacing w:after="0"/>
              <w:rPr>
                <w:szCs w:val="22"/>
              </w:rPr>
            </w:pPr>
            <w:r>
              <w:rPr>
                <w:szCs w:val="22"/>
              </w:rPr>
              <w:t>2.1</w:t>
            </w:r>
          </w:p>
        </w:tc>
        <w:tc>
          <w:tcPr>
            <w:tcW w:w="3622" w:type="dxa"/>
            <w:shd w:val="clear" w:color="auto" w:fill="auto"/>
            <w:vAlign w:val="bottom"/>
          </w:tcPr>
          <w:p w14:paraId="2F9FFA09" w14:textId="23F8C4E8" w:rsidR="00A64B6C" w:rsidRDefault="00A64B6C" w:rsidP="00522C6C">
            <w:pPr>
              <w:spacing w:after="0"/>
              <w:rPr>
                <w:szCs w:val="22"/>
              </w:rPr>
            </w:pPr>
            <w:r>
              <w:rPr>
                <w:szCs w:val="22"/>
              </w:rPr>
              <w:t>Executive summary added</w:t>
            </w:r>
          </w:p>
        </w:tc>
        <w:tc>
          <w:tcPr>
            <w:tcW w:w="2869" w:type="dxa"/>
            <w:shd w:val="clear" w:color="auto" w:fill="auto"/>
            <w:vAlign w:val="bottom"/>
          </w:tcPr>
          <w:p w14:paraId="274800B1" w14:textId="249DB25F" w:rsidR="00A64B6C" w:rsidRDefault="00A64B6C" w:rsidP="00522C6C">
            <w:pPr>
              <w:spacing w:after="0"/>
              <w:rPr>
                <w:szCs w:val="22"/>
              </w:rPr>
            </w:pPr>
            <w:r>
              <w:rPr>
                <w:szCs w:val="22"/>
              </w:rPr>
              <w:t>31 July 2020</w:t>
            </w:r>
          </w:p>
        </w:tc>
      </w:tr>
      <w:tr w:rsidR="005638D0" w:rsidRPr="00515546" w14:paraId="419C99F8" w14:textId="77777777" w:rsidTr="00515546">
        <w:trPr>
          <w:trHeight w:val="20"/>
        </w:trPr>
        <w:tc>
          <w:tcPr>
            <w:tcW w:w="2139" w:type="dxa"/>
            <w:shd w:val="clear" w:color="auto" w:fill="auto"/>
            <w:vAlign w:val="bottom"/>
          </w:tcPr>
          <w:p w14:paraId="2E3E14AE" w14:textId="6DAC669B"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1EAC2C55" w14:textId="77777777" w:rsidR="005638D0" w:rsidRPr="00515546" w:rsidRDefault="005638D0" w:rsidP="005638D0">
            <w:pPr>
              <w:spacing w:after="0"/>
              <w:rPr>
                <w:szCs w:val="22"/>
              </w:rPr>
            </w:pPr>
          </w:p>
        </w:tc>
        <w:tc>
          <w:tcPr>
            <w:tcW w:w="2869" w:type="dxa"/>
            <w:shd w:val="clear" w:color="auto" w:fill="auto"/>
            <w:vAlign w:val="bottom"/>
          </w:tcPr>
          <w:p w14:paraId="4E2D798B" w14:textId="77777777" w:rsidR="005638D0" w:rsidRPr="00515546" w:rsidRDefault="005638D0" w:rsidP="005638D0">
            <w:pPr>
              <w:spacing w:after="0"/>
              <w:rPr>
                <w:b/>
                <w:szCs w:val="22"/>
              </w:rPr>
            </w:pPr>
          </w:p>
        </w:tc>
      </w:tr>
    </w:tbl>
    <w:p w14:paraId="2FCB9C15" w14:textId="01B5AA16" w:rsidR="00975A60" w:rsidRPr="00CC3CF5" w:rsidRDefault="00975A60" w:rsidP="00975A60">
      <w:pPr>
        <w:rPr>
          <w:szCs w:val="22"/>
        </w:rPr>
      </w:pPr>
    </w:p>
    <w:sectPr w:rsidR="00975A60" w:rsidRPr="00CC3CF5" w:rsidSect="00D1382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F32F3" w14:textId="77777777" w:rsidR="00463CDB" w:rsidRDefault="00463CDB" w:rsidP="00975A60">
      <w:pPr>
        <w:spacing w:after="0"/>
      </w:pPr>
      <w:r>
        <w:separator/>
      </w:r>
    </w:p>
  </w:endnote>
  <w:endnote w:type="continuationSeparator" w:id="0">
    <w:p w14:paraId="17FB35E8" w14:textId="77777777" w:rsidR="00463CDB" w:rsidRDefault="00463CDB"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E0660"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0740FA"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784C2" w14:textId="235C7531"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3A08EC">
      <w:rPr>
        <w:rStyle w:val="PageNumber"/>
        <w:noProof/>
      </w:rPr>
      <w:t>4</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3A08EC">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AF067" w14:textId="2B885DCE"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3A08EC">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3A08EC">
      <w:rPr>
        <w:rStyle w:val="PageNumber"/>
        <w:noProof/>
      </w:rPr>
      <w:t>5</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2440C" w14:textId="77777777" w:rsidR="00463CDB" w:rsidRDefault="00463CDB" w:rsidP="00975A60">
      <w:pPr>
        <w:spacing w:after="0"/>
      </w:pPr>
      <w:r>
        <w:separator/>
      </w:r>
    </w:p>
  </w:footnote>
  <w:footnote w:type="continuationSeparator" w:id="0">
    <w:p w14:paraId="26E26A87" w14:textId="77777777" w:rsidR="00463CDB" w:rsidRDefault="00463CDB"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638C0" w14:textId="77777777" w:rsidR="00BD46A0" w:rsidRDefault="00BD4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05253" w14:textId="77777777" w:rsidR="005324AA" w:rsidRPr="00F87812" w:rsidRDefault="005324AA" w:rsidP="005324AA">
    <w:pPr>
      <w:pStyle w:val="Header"/>
    </w:pPr>
    <w:r w:rsidRPr="00F87812">
      <w:t>Identification code: MeG-CLS-</w:t>
    </w:r>
    <w:r>
      <w:t>036</w:t>
    </w:r>
    <w:r w:rsidRPr="00F87812">
      <w:tab/>
    </w:r>
  </w:p>
  <w:p w14:paraId="0E52FA98" w14:textId="50DD3767" w:rsidR="005324AA" w:rsidRPr="005324AA" w:rsidRDefault="005324AA" w:rsidP="005324AA">
    <w:pPr>
      <w:pStyle w:val="Header"/>
    </w:pPr>
    <w:r w:rsidRPr="005324AA">
      <w:t>Version: 2.</w:t>
    </w:r>
    <w:r w:rsidR="00A64B6C">
      <w:t>1</w:t>
    </w:r>
    <w:r w:rsidRPr="005324AA">
      <w:t xml:space="preserve"> – 31 July 2018</w:t>
    </w:r>
  </w:p>
  <w:p w14:paraId="3D0849D5" w14:textId="34C2E3F7" w:rsidR="005D1877" w:rsidRPr="005324AA" w:rsidRDefault="005D1877" w:rsidP="005324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1A4D1"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07EDF844" wp14:editId="4F5A089E">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215CD7D2"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01D04A5E" w14:textId="77777777" w:rsidR="00D13825" w:rsidRPr="003C0800" w:rsidRDefault="00D13825" w:rsidP="00D13825">
    <w:pPr>
      <w:pStyle w:val="Header"/>
      <w:ind w:firstLine="2880"/>
      <w:rPr>
        <w:rFonts w:cs="Arial"/>
        <w:b/>
      </w:rPr>
    </w:pPr>
  </w:p>
  <w:p w14:paraId="2EC198AB" w14:textId="4CA70FAA" w:rsidR="00D13825" w:rsidRPr="00F87812" w:rsidRDefault="00D13825" w:rsidP="00D13825">
    <w:pPr>
      <w:pStyle w:val="Header"/>
    </w:pPr>
    <w:r w:rsidRPr="00F87812">
      <w:t>Identification code: MeG-CLS-</w:t>
    </w:r>
    <w:r w:rsidR="005324AA">
      <w:t>036</w:t>
    </w:r>
    <w:r w:rsidRPr="00F87812">
      <w:tab/>
    </w:r>
  </w:p>
  <w:p w14:paraId="540AAB85" w14:textId="6C781F1E" w:rsidR="00D13825" w:rsidRPr="005324AA" w:rsidRDefault="00D13825" w:rsidP="00D13825">
    <w:pPr>
      <w:pStyle w:val="Header"/>
    </w:pPr>
    <w:r w:rsidRPr="005324AA">
      <w:t xml:space="preserve">Version: </w:t>
    </w:r>
    <w:r w:rsidR="005324AA" w:rsidRPr="005324AA">
      <w:t>2.</w:t>
    </w:r>
    <w:r w:rsidR="00BD46A0">
      <w:t>1</w:t>
    </w:r>
    <w:r w:rsidR="005324AA" w:rsidRPr="005324AA">
      <w:t xml:space="preserve"> – 31 July 2018</w:t>
    </w:r>
  </w:p>
  <w:p w14:paraId="3862DE2A"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4E99309"/>
    <w:multiLevelType w:val="singleLevel"/>
    <w:tmpl w:val="D4E99309"/>
    <w:lvl w:ilvl="0">
      <w:start w:val="1"/>
      <w:numFmt w:val="decimal"/>
      <w:suff w:val="space"/>
      <w:lvlText w:val="%1."/>
      <w:lvlJc w:val="left"/>
    </w:lvl>
  </w:abstractNum>
  <w:abstractNum w:abstractNumId="1"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2"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3"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FA0F11"/>
    <w:multiLevelType w:val="hybridMultilevel"/>
    <w:tmpl w:val="7B6A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84667"/>
    <w:multiLevelType w:val="hybridMultilevel"/>
    <w:tmpl w:val="1088B752"/>
    <w:lvl w:ilvl="0" w:tplc="632E59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2237F"/>
    <w:multiLevelType w:val="hybridMultilevel"/>
    <w:tmpl w:val="10AE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23AB8"/>
    <w:multiLevelType w:val="hybridMultilevel"/>
    <w:tmpl w:val="D39224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6B5D74"/>
    <w:multiLevelType w:val="hybridMultilevel"/>
    <w:tmpl w:val="F54AE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E1641A"/>
    <w:multiLevelType w:val="hybridMultilevel"/>
    <w:tmpl w:val="2F48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2D0833"/>
    <w:multiLevelType w:val="hybridMultilevel"/>
    <w:tmpl w:val="8CDE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845D46"/>
    <w:multiLevelType w:val="hybridMultilevel"/>
    <w:tmpl w:val="FEC80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9402C6"/>
    <w:multiLevelType w:val="hybridMultilevel"/>
    <w:tmpl w:val="446EC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C26D30"/>
    <w:multiLevelType w:val="hybridMultilevel"/>
    <w:tmpl w:val="1A06A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5"/>
  </w:num>
  <w:num w:numId="4">
    <w:abstractNumId w:val="2"/>
  </w:num>
  <w:num w:numId="5">
    <w:abstractNumId w:val="1"/>
  </w:num>
  <w:num w:numId="6">
    <w:abstractNumId w:val="5"/>
  </w:num>
  <w:num w:numId="7">
    <w:abstractNumId w:val="21"/>
  </w:num>
  <w:num w:numId="8">
    <w:abstractNumId w:val="3"/>
  </w:num>
  <w:num w:numId="9">
    <w:abstractNumId w:val="34"/>
  </w:num>
  <w:num w:numId="10">
    <w:abstractNumId w:val="4"/>
  </w:num>
  <w:num w:numId="11">
    <w:abstractNumId w:val="16"/>
  </w:num>
  <w:num w:numId="12">
    <w:abstractNumId w:val="24"/>
  </w:num>
  <w:num w:numId="13">
    <w:abstractNumId w:val="29"/>
  </w:num>
  <w:num w:numId="14">
    <w:abstractNumId w:val="27"/>
  </w:num>
  <w:num w:numId="15">
    <w:abstractNumId w:val="32"/>
  </w:num>
  <w:num w:numId="16">
    <w:abstractNumId w:val="17"/>
  </w:num>
  <w:num w:numId="17">
    <w:abstractNumId w:val="12"/>
  </w:num>
  <w:num w:numId="18">
    <w:abstractNumId w:val="28"/>
  </w:num>
  <w:num w:numId="19">
    <w:abstractNumId w:val="18"/>
  </w:num>
  <w:num w:numId="20">
    <w:abstractNumId w:val="31"/>
  </w:num>
  <w:num w:numId="21">
    <w:abstractNumId w:val="20"/>
  </w:num>
  <w:num w:numId="22">
    <w:abstractNumId w:val="13"/>
  </w:num>
  <w:num w:numId="23">
    <w:abstractNumId w:val="23"/>
  </w:num>
  <w:num w:numId="24">
    <w:abstractNumId w:val="26"/>
  </w:num>
  <w:num w:numId="25">
    <w:abstractNumId w:val="9"/>
  </w:num>
  <w:num w:numId="26">
    <w:abstractNumId w:val="14"/>
  </w:num>
  <w:num w:numId="27">
    <w:abstractNumId w:val="7"/>
  </w:num>
  <w:num w:numId="28">
    <w:abstractNumId w:val="22"/>
  </w:num>
  <w:num w:numId="29">
    <w:abstractNumId w:val="11"/>
  </w:num>
  <w:num w:numId="30">
    <w:abstractNumId w:val="10"/>
  </w:num>
  <w:num w:numId="31">
    <w:abstractNumId w:val="8"/>
  </w:num>
  <w:num w:numId="32">
    <w:abstractNumId w:val="6"/>
  </w:num>
  <w:num w:numId="33">
    <w:abstractNumId w:val="0"/>
  </w:num>
  <w:num w:numId="34">
    <w:abstractNumId w:val="3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zNDMysjA3NTY1MDZQ0lEKTi0uzszPAykwrAUASRutCywAAAA="/>
  </w:docVars>
  <w:rsids>
    <w:rsidRoot w:val="005324AA"/>
    <w:rsid w:val="000039D9"/>
    <w:rsid w:val="0007147C"/>
    <w:rsid w:val="00081642"/>
    <w:rsid w:val="00114AAF"/>
    <w:rsid w:val="001203AE"/>
    <w:rsid w:val="00175153"/>
    <w:rsid w:val="001808DB"/>
    <w:rsid w:val="001C1450"/>
    <w:rsid w:val="001D79C6"/>
    <w:rsid w:val="00223920"/>
    <w:rsid w:val="00252A11"/>
    <w:rsid w:val="0029357D"/>
    <w:rsid w:val="002A2856"/>
    <w:rsid w:val="003020A2"/>
    <w:rsid w:val="003038D3"/>
    <w:rsid w:val="003225CD"/>
    <w:rsid w:val="00351119"/>
    <w:rsid w:val="00377CF3"/>
    <w:rsid w:val="003A08EC"/>
    <w:rsid w:val="003C0800"/>
    <w:rsid w:val="003F3831"/>
    <w:rsid w:val="003F70CA"/>
    <w:rsid w:val="00463CDB"/>
    <w:rsid w:val="004A25F0"/>
    <w:rsid w:val="004A4C93"/>
    <w:rsid w:val="004C4442"/>
    <w:rsid w:val="004C6101"/>
    <w:rsid w:val="005151D8"/>
    <w:rsid w:val="00515546"/>
    <w:rsid w:val="005324AA"/>
    <w:rsid w:val="005638D0"/>
    <w:rsid w:val="005D1877"/>
    <w:rsid w:val="00633320"/>
    <w:rsid w:val="006761E0"/>
    <w:rsid w:val="007067BE"/>
    <w:rsid w:val="007B26B1"/>
    <w:rsid w:val="00857027"/>
    <w:rsid w:val="009165E9"/>
    <w:rsid w:val="009325A7"/>
    <w:rsid w:val="00935037"/>
    <w:rsid w:val="00975A60"/>
    <w:rsid w:val="009956F9"/>
    <w:rsid w:val="009B44BE"/>
    <w:rsid w:val="009F5B1B"/>
    <w:rsid w:val="00A114BB"/>
    <w:rsid w:val="00A312D8"/>
    <w:rsid w:val="00A41080"/>
    <w:rsid w:val="00A51B6C"/>
    <w:rsid w:val="00A64B6C"/>
    <w:rsid w:val="00AA4385"/>
    <w:rsid w:val="00B31AC4"/>
    <w:rsid w:val="00B844E8"/>
    <w:rsid w:val="00BD08AB"/>
    <w:rsid w:val="00BD46A0"/>
    <w:rsid w:val="00BE1EBA"/>
    <w:rsid w:val="00C67021"/>
    <w:rsid w:val="00CC3CF5"/>
    <w:rsid w:val="00CD4A1D"/>
    <w:rsid w:val="00D03AB2"/>
    <w:rsid w:val="00D13825"/>
    <w:rsid w:val="00D60179"/>
    <w:rsid w:val="00DA20ED"/>
    <w:rsid w:val="00DC1CC5"/>
    <w:rsid w:val="00DC590C"/>
    <w:rsid w:val="00DE3D6D"/>
    <w:rsid w:val="00DF345F"/>
    <w:rsid w:val="00E162DA"/>
    <w:rsid w:val="00E846C3"/>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42CD8"/>
  <w15:docId w15:val="{03392245-0E19-4597-A152-1DE3554D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qFormat/>
    <w:rsid w:val="001203AE"/>
    <w:rPr>
      <w:color w:val="0000FF" w:themeColor="hyperlink"/>
      <w:u w:val="single"/>
    </w:rPr>
  </w:style>
  <w:style w:type="character" w:customStyle="1"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2018.dotx</Template>
  <TotalTime>29</TotalTime>
  <Pages>5</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misan Agboghoroma</cp:lastModifiedBy>
  <cp:revision>16</cp:revision>
  <cp:lastPrinted>2019-05-06T11:44:00Z</cp:lastPrinted>
  <dcterms:created xsi:type="dcterms:W3CDTF">2018-07-26T14:27:00Z</dcterms:created>
  <dcterms:modified xsi:type="dcterms:W3CDTF">2020-05-18T22:41:00Z</dcterms:modified>
</cp:coreProperties>
</file>