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FC532" w14:textId="77777777" w:rsidR="001203AE" w:rsidRPr="001C46DF" w:rsidRDefault="00D50479" w:rsidP="001203AE">
      <w:pPr>
        <w:pStyle w:val="Heading1"/>
        <w:rPr>
          <w:rFonts w:cs="Arial"/>
          <w:szCs w:val="22"/>
        </w:rPr>
      </w:pPr>
      <w:r w:rsidRPr="001C46DF">
        <w:rPr>
          <w:rFonts w:cs="Arial"/>
          <w:szCs w:val="22"/>
        </w:rPr>
        <w:t>Infective Endocarditis</w:t>
      </w:r>
    </w:p>
    <w:p w14:paraId="2A047179" w14:textId="77777777" w:rsidR="00C14373" w:rsidRPr="00F94418" w:rsidRDefault="00C14373" w:rsidP="00C14373">
      <w:pPr>
        <w:pStyle w:val="Heading2"/>
        <w:rPr>
          <w:rFonts w:cs="Arial"/>
          <w:i/>
          <w:szCs w:val="22"/>
        </w:rPr>
      </w:pPr>
      <w:r w:rsidRPr="00F94418">
        <w:rPr>
          <w:rFonts w:cs="Arial"/>
          <w:i/>
          <w:szCs w:val="22"/>
        </w:rPr>
        <w:t>Executive summary</w:t>
      </w:r>
    </w:p>
    <w:p w14:paraId="0781E92E" w14:textId="77777777" w:rsidR="00C14373" w:rsidRDefault="00C14373" w:rsidP="00C14373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t>Introduction</w:t>
      </w:r>
    </w:p>
    <w:p w14:paraId="3A70A9D8" w14:textId="77777777" w:rsidR="00294732" w:rsidRDefault="00294732" w:rsidP="00294732">
      <w:pPr>
        <w:pStyle w:val="Heading2"/>
        <w:rPr>
          <w:rFonts w:cs="Arial"/>
          <w:b w:val="0"/>
          <w:sz w:val="22"/>
          <w:szCs w:val="22"/>
        </w:rPr>
      </w:pPr>
      <w:r w:rsidRPr="001C46DF">
        <w:rPr>
          <w:rFonts w:cs="Arial"/>
          <w:b w:val="0"/>
          <w:sz w:val="22"/>
          <w:szCs w:val="22"/>
        </w:rPr>
        <w:t>Infective endocarditis (IE) refers to infection of the endocardial surface of the heart; it usually refers to infection of one or more heart valves or infection of an intracardiac device.</w:t>
      </w:r>
    </w:p>
    <w:p w14:paraId="7F8D832F" w14:textId="77777777" w:rsidR="00C14373" w:rsidRDefault="00C14373" w:rsidP="00C1437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</w:t>
      </w:r>
      <w:r>
        <w:rPr>
          <w:rFonts w:eastAsia="MS Mincho" w:cs="Arial"/>
          <w:bCs w:val="0"/>
          <w:sz w:val="24"/>
          <w:szCs w:val="22"/>
          <w:u w:val="none"/>
        </w:rPr>
        <w:t>u</w:t>
      </w:r>
      <w:r w:rsidRPr="00612AEE">
        <w:rPr>
          <w:rFonts w:eastAsia="MS Mincho" w:cs="Arial"/>
          <w:bCs w:val="0"/>
          <w:sz w:val="24"/>
          <w:szCs w:val="22"/>
          <w:u w:val="none"/>
        </w:rPr>
        <w:t>ser</w:t>
      </w:r>
      <w:r>
        <w:rPr>
          <w:rFonts w:eastAsia="MS Mincho" w:cs="Arial"/>
          <w:bCs w:val="0"/>
          <w:sz w:val="24"/>
          <w:szCs w:val="22"/>
          <w:u w:val="none"/>
        </w:rPr>
        <w:t>s</w:t>
      </w:r>
    </w:p>
    <w:p w14:paraId="1A2C4AB5" w14:textId="77777777" w:rsidR="00A22200" w:rsidRPr="00612AEE" w:rsidRDefault="00A22200" w:rsidP="00A22200">
      <w:pPr>
        <w:pStyle w:val="ListParagraph"/>
        <w:numPr>
          <w:ilvl w:val="0"/>
          <w:numId w:val="12"/>
        </w:numPr>
      </w:pPr>
      <w:r>
        <w:t>Doctors</w:t>
      </w:r>
    </w:p>
    <w:p w14:paraId="3D4F5F2A" w14:textId="77777777" w:rsidR="00C14373" w:rsidRDefault="00C14373" w:rsidP="00C1437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Target area of use </w:t>
      </w:r>
    </w:p>
    <w:p w14:paraId="620E5BB2" w14:textId="77777777" w:rsidR="00AA1487" w:rsidRDefault="00AA1487" w:rsidP="00AA1487">
      <w:pPr>
        <w:pStyle w:val="ListParagraph"/>
        <w:numPr>
          <w:ilvl w:val="0"/>
          <w:numId w:val="13"/>
        </w:numPr>
      </w:pPr>
      <w:r>
        <w:t xml:space="preserve">Ward </w:t>
      </w:r>
    </w:p>
    <w:p w14:paraId="5BE0A1B7" w14:textId="27AF414C" w:rsidR="00AA1487" w:rsidRPr="00612AEE" w:rsidRDefault="00AA1487" w:rsidP="00AA1487">
      <w:pPr>
        <w:pStyle w:val="ListParagraph"/>
        <w:numPr>
          <w:ilvl w:val="0"/>
          <w:numId w:val="13"/>
        </w:numPr>
      </w:pPr>
      <w:r>
        <w:t>O</w:t>
      </w:r>
      <w:bookmarkStart w:id="0" w:name="_GoBack"/>
      <w:bookmarkEnd w:id="0"/>
      <w:r>
        <w:t>PD</w:t>
      </w:r>
    </w:p>
    <w:p w14:paraId="08959CFB" w14:textId="77777777" w:rsidR="00C14373" w:rsidRDefault="00C14373" w:rsidP="00C14373">
      <w:pPr>
        <w:pStyle w:val="Heading3"/>
        <w:rPr>
          <w:rFonts w:eastAsia="MS Mincho" w:cs="Arial"/>
          <w:bCs w:val="0"/>
          <w:sz w:val="24"/>
          <w:szCs w:val="22"/>
          <w:u w:val="none"/>
        </w:rPr>
      </w:pPr>
      <w:r>
        <w:rPr>
          <w:rFonts w:eastAsia="MS Mincho" w:cs="Arial"/>
          <w:bCs w:val="0"/>
          <w:sz w:val="24"/>
          <w:szCs w:val="22"/>
          <w:u w:val="none"/>
        </w:rPr>
        <w:t xml:space="preserve">Key areas of focus / 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New additions / </w:t>
      </w:r>
      <w:r>
        <w:rPr>
          <w:rFonts w:eastAsia="MS Mincho" w:cs="Arial"/>
          <w:bCs w:val="0"/>
          <w:sz w:val="24"/>
          <w:szCs w:val="22"/>
          <w:u w:val="none"/>
        </w:rPr>
        <w:t>C</w:t>
      </w:r>
      <w:r w:rsidRPr="00612AEE">
        <w:rPr>
          <w:rFonts w:eastAsia="MS Mincho" w:cs="Arial"/>
          <w:bCs w:val="0"/>
          <w:sz w:val="24"/>
          <w:szCs w:val="22"/>
          <w:u w:val="none"/>
        </w:rPr>
        <w:t xml:space="preserve">hanges </w:t>
      </w:r>
    </w:p>
    <w:p w14:paraId="04B97642" w14:textId="111EA435" w:rsidR="0067326B" w:rsidRDefault="0067326B" w:rsidP="0067326B">
      <w:r>
        <w:t>This guideline focuses on the diagnostic criteria and the anti- infective therapy for infective endocarditis. It covers treatment of bacterial and fungal infective endocarditis.</w:t>
      </w:r>
    </w:p>
    <w:p w14:paraId="05D90AD3" w14:textId="08C4E608" w:rsidR="0067326B" w:rsidRPr="00643C8E" w:rsidRDefault="0067326B" w:rsidP="0067326B">
      <w:r>
        <w:t xml:space="preserve">Users should take </w:t>
      </w:r>
      <w:proofErr w:type="gramStart"/>
      <w:r>
        <w:t>particular note</w:t>
      </w:r>
      <w:proofErr w:type="gramEnd"/>
      <w:r>
        <w:t xml:space="preserve"> of the indications for surgical intervention. </w:t>
      </w:r>
    </w:p>
    <w:p w14:paraId="0C5D9523" w14:textId="77777777" w:rsidR="00C14373" w:rsidRDefault="00C14373" w:rsidP="00C14373">
      <w:pPr>
        <w:pStyle w:val="Heading2"/>
        <w:rPr>
          <w:rFonts w:cs="Arial"/>
          <w:szCs w:val="22"/>
        </w:rPr>
      </w:pPr>
      <w:r w:rsidRPr="00612AEE">
        <w:rPr>
          <w:rFonts w:cs="Arial"/>
          <w:szCs w:val="22"/>
        </w:rPr>
        <w:t>Limitations</w:t>
      </w:r>
    </w:p>
    <w:p w14:paraId="6261AF63" w14:textId="2F16A3D3" w:rsidR="005A6DEC" w:rsidRPr="00D9445F" w:rsidRDefault="005A6DEC" w:rsidP="005A6DEC">
      <w:r>
        <w:t>Patients requiring surgical intervention may need to be referred to surgeons outside of the Gambia.</w:t>
      </w:r>
    </w:p>
    <w:p w14:paraId="10C99E71" w14:textId="77777777" w:rsidR="00C14373" w:rsidRPr="00584E1E" w:rsidRDefault="00C14373" w:rsidP="00C14373"/>
    <w:p w14:paraId="21D01F4F" w14:textId="77777777" w:rsidR="00C14373" w:rsidRDefault="00C14373" w:rsidP="00C14373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7C67EED1" w14:textId="77777777" w:rsidR="00D50479" w:rsidRPr="001C46DF" w:rsidRDefault="00D50479" w:rsidP="00975A60">
      <w:pPr>
        <w:pStyle w:val="Heading2"/>
        <w:rPr>
          <w:rFonts w:cs="Arial"/>
          <w:szCs w:val="22"/>
          <w:lang w:eastAsia="ja-JP"/>
        </w:rPr>
      </w:pPr>
      <w:r w:rsidRPr="001C46DF">
        <w:rPr>
          <w:rFonts w:cs="Arial"/>
          <w:szCs w:val="22"/>
          <w:lang w:eastAsia="ja-JP"/>
        </w:rPr>
        <w:lastRenderedPageBreak/>
        <w:t>Risk factors</w:t>
      </w:r>
    </w:p>
    <w:p w14:paraId="3A41CFD9" w14:textId="77777777" w:rsidR="00D50479" w:rsidRPr="001C46DF" w:rsidRDefault="00D50479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Age &gt;60 years</w:t>
      </w:r>
    </w:p>
    <w:p w14:paraId="09CF7E7E" w14:textId="77777777" w:rsidR="00D50479" w:rsidRPr="001C46DF" w:rsidRDefault="00D50479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Male sex</w:t>
      </w:r>
    </w:p>
    <w:p w14:paraId="0D4404EA" w14:textId="77777777" w:rsidR="00D50479" w:rsidRPr="001C46DF" w:rsidRDefault="00D50479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Poor dentition or dental infection</w:t>
      </w:r>
    </w:p>
    <w:p w14:paraId="057D4021" w14:textId="77777777" w:rsidR="00D50479" w:rsidRPr="001C46DF" w:rsidRDefault="00D50479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Heart problem: Structural heart disease, Valvular disease, Congenital heart disease</w:t>
      </w:r>
    </w:p>
    <w:p w14:paraId="3111F187" w14:textId="77777777" w:rsidR="00A82D44" w:rsidRDefault="00A82D44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Prosthetic valve</w:t>
      </w:r>
    </w:p>
    <w:p w14:paraId="186BA315" w14:textId="77777777" w:rsidR="00693F64" w:rsidRPr="001C46DF" w:rsidRDefault="00693F64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History of prior IE</w:t>
      </w:r>
    </w:p>
    <w:p w14:paraId="745C2AB4" w14:textId="77777777" w:rsidR="00693F64" w:rsidRPr="001C46DF" w:rsidRDefault="00693F64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HIV infection</w:t>
      </w:r>
    </w:p>
    <w:p w14:paraId="0EDF1F93" w14:textId="77777777" w:rsidR="00693F64" w:rsidRPr="001C46DF" w:rsidRDefault="00693F64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Injection drug use</w:t>
      </w:r>
    </w:p>
    <w:p w14:paraId="20CAF856" w14:textId="77777777" w:rsidR="00693F64" w:rsidRPr="001C46DF" w:rsidRDefault="00693F64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Chronic hemodialysis</w:t>
      </w:r>
    </w:p>
    <w:p w14:paraId="622963A0" w14:textId="77777777" w:rsidR="00D50479" w:rsidRPr="001C46DF" w:rsidRDefault="00D50479" w:rsidP="00D37EF2">
      <w:pPr>
        <w:pStyle w:val="ListParagraph"/>
        <w:numPr>
          <w:ilvl w:val="0"/>
          <w:numId w:val="3"/>
        </w:numPr>
        <w:rPr>
          <w:lang w:eastAsia="ja-JP"/>
        </w:rPr>
      </w:pPr>
      <w:r w:rsidRPr="001C46DF">
        <w:rPr>
          <w:lang w:eastAsia="ja-JP"/>
        </w:rPr>
        <w:t>Intravascular device</w:t>
      </w:r>
    </w:p>
    <w:p w14:paraId="75E7738D" w14:textId="77777777" w:rsidR="00D373C2" w:rsidRPr="001C46DF" w:rsidRDefault="00D373C2" w:rsidP="00975A60">
      <w:pPr>
        <w:pStyle w:val="Heading2"/>
        <w:rPr>
          <w:rFonts w:cs="Arial"/>
          <w:szCs w:val="22"/>
          <w:lang w:eastAsia="ja-JP"/>
        </w:rPr>
      </w:pPr>
      <w:r w:rsidRPr="001C46DF">
        <w:rPr>
          <w:rFonts w:cs="Arial"/>
          <w:szCs w:val="22"/>
          <w:lang w:eastAsia="ja-JP"/>
        </w:rPr>
        <w:t>Pathogen</w:t>
      </w:r>
    </w:p>
    <w:p w14:paraId="4B48DA0A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proofErr w:type="spellStart"/>
      <w:proofErr w:type="gramStart"/>
      <w:r w:rsidRPr="002879B1">
        <w:rPr>
          <w:i/>
          <w:lang w:eastAsia="ja-JP"/>
        </w:rPr>
        <w:t>S.aureus</w:t>
      </w:r>
      <w:proofErr w:type="spellEnd"/>
      <w:proofErr w:type="gramEnd"/>
      <w:r w:rsidRPr="001C46DF">
        <w:rPr>
          <w:lang w:eastAsia="ja-JP"/>
        </w:rPr>
        <w:t xml:space="preserve"> (31%)</w:t>
      </w:r>
    </w:p>
    <w:p w14:paraId="44E1882D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proofErr w:type="spellStart"/>
      <w:r w:rsidRPr="001C46DF">
        <w:rPr>
          <w:lang w:eastAsia="ja-JP"/>
        </w:rPr>
        <w:t>Viridans</w:t>
      </w:r>
      <w:proofErr w:type="spellEnd"/>
      <w:r w:rsidRPr="001C46DF">
        <w:rPr>
          <w:lang w:eastAsia="ja-JP"/>
        </w:rPr>
        <w:t xml:space="preserve"> group streptococci (17%)</w:t>
      </w:r>
    </w:p>
    <w:p w14:paraId="1B31F852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1C46DF">
        <w:rPr>
          <w:lang w:eastAsia="ja-JP"/>
        </w:rPr>
        <w:t>Enterococci (11%)</w:t>
      </w:r>
    </w:p>
    <w:p w14:paraId="671030B0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proofErr w:type="spellStart"/>
      <w:r w:rsidRPr="001C46DF">
        <w:rPr>
          <w:lang w:eastAsia="ja-JP"/>
        </w:rPr>
        <w:t>Coagulade</w:t>
      </w:r>
      <w:proofErr w:type="spellEnd"/>
      <w:r w:rsidRPr="001C46DF">
        <w:rPr>
          <w:lang w:eastAsia="ja-JP"/>
        </w:rPr>
        <w:t>-negative staphylococci (11%)</w:t>
      </w:r>
    </w:p>
    <w:p w14:paraId="7328B40A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2879B1">
        <w:rPr>
          <w:i/>
          <w:lang w:eastAsia="ja-JP"/>
        </w:rPr>
        <w:t xml:space="preserve">Streptococcus </w:t>
      </w:r>
      <w:proofErr w:type="spellStart"/>
      <w:r w:rsidRPr="002879B1">
        <w:rPr>
          <w:i/>
          <w:lang w:eastAsia="ja-JP"/>
        </w:rPr>
        <w:t>bovis</w:t>
      </w:r>
      <w:proofErr w:type="spellEnd"/>
      <w:r w:rsidRPr="002879B1">
        <w:rPr>
          <w:i/>
          <w:lang w:eastAsia="ja-JP"/>
        </w:rPr>
        <w:t xml:space="preserve"> </w:t>
      </w:r>
      <w:r w:rsidRPr="001C46DF">
        <w:rPr>
          <w:lang w:eastAsia="ja-JP"/>
        </w:rPr>
        <w:t>(7%)</w:t>
      </w:r>
    </w:p>
    <w:p w14:paraId="7B8FD73E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1C46DF">
        <w:rPr>
          <w:lang w:eastAsia="ja-JP"/>
        </w:rPr>
        <w:t>Other streptococci (</w:t>
      </w:r>
      <w:r w:rsidR="00D77EFD" w:rsidRPr="001C46DF">
        <w:rPr>
          <w:lang w:eastAsia="ja-JP"/>
        </w:rPr>
        <w:t>5</w:t>
      </w:r>
      <w:r w:rsidRPr="001C46DF">
        <w:rPr>
          <w:lang w:eastAsia="ja-JP"/>
        </w:rPr>
        <w:t>%)</w:t>
      </w:r>
    </w:p>
    <w:p w14:paraId="58417037" w14:textId="77777777" w:rsidR="00D373C2" w:rsidRPr="001C46DF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1C46DF">
        <w:rPr>
          <w:lang w:eastAsia="ja-JP"/>
        </w:rPr>
        <w:t>Non-HACEK gram-negative bacteria</w:t>
      </w:r>
      <w:r w:rsidR="00D77EFD" w:rsidRPr="001C46DF">
        <w:rPr>
          <w:lang w:eastAsia="ja-JP"/>
        </w:rPr>
        <w:t xml:space="preserve"> (2%)</w:t>
      </w:r>
    </w:p>
    <w:p w14:paraId="71A0E4CE" w14:textId="77777777" w:rsidR="007A73A5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1C46DF">
        <w:rPr>
          <w:lang w:eastAsia="ja-JP"/>
        </w:rPr>
        <w:t>Fungi</w:t>
      </w:r>
      <w:r w:rsidR="00D77EFD" w:rsidRPr="001C46DF">
        <w:rPr>
          <w:lang w:eastAsia="ja-JP"/>
        </w:rPr>
        <w:t xml:space="preserve"> (2%)</w:t>
      </w:r>
    </w:p>
    <w:p w14:paraId="443FC223" w14:textId="76067AC6" w:rsidR="007A73A5" w:rsidRPr="007A73A5" w:rsidRDefault="00D373C2" w:rsidP="00D37EF2">
      <w:pPr>
        <w:pStyle w:val="ListParagraph"/>
        <w:numPr>
          <w:ilvl w:val="0"/>
          <w:numId w:val="4"/>
        </w:numPr>
        <w:rPr>
          <w:lang w:eastAsia="ja-JP"/>
        </w:rPr>
      </w:pPr>
      <w:r w:rsidRPr="001C46DF">
        <w:rPr>
          <w:lang w:eastAsia="ja-JP"/>
        </w:rPr>
        <w:t>HACEK</w:t>
      </w:r>
      <w:r w:rsidR="00D77EFD" w:rsidRPr="001C46DF">
        <w:rPr>
          <w:lang w:eastAsia="ja-JP"/>
        </w:rPr>
        <w:t xml:space="preserve"> (2%): organisms in this category include </w:t>
      </w:r>
      <w:proofErr w:type="gramStart"/>
      <w:r w:rsidR="00D77EFD" w:rsidRPr="001C46DF">
        <w:rPr>
          <w:lang w:eastAsia="ja-JP"/>
        </w:rPr>
        <w:t>a number of</w:t>
      </w:r>
      <w:proofErr w:type="gramEnd"/>
      <w:r w:rsidR="00D77EFD" w:rsidRPr="001C46DF">
        <w:rPr>
          <w:lang w:eastAsia="ja-JP"/>
        </w:rPr>
        <w:t xml:space="preserve"> fastidious gram-negative bacilli: </w:t>
      </w:r>
      <w:proofErr w:type="spellStart"/>
      <w:r w:rsidR="00D77EFD" w:rsidRPr="002879B1">
        <w:rPr>
          <w:b/>
          <w:i/>
          <w:lang w:eastAsia="ja-JP"/>
        </w:rPr>
        <w:t>H</w:t>
      </w:r>
      <w:r w:rsidR="00D77EFD" w:rsidRPr="002879B1">
        <w:rPr>
          <w:i/>
          <w:lang w:eastAsia="ja-JP"/>
        </w:rPr>
        <w:t>aemophilus</w:t>
      </w:r>
      <w:proofErr w:type="spellEnd"/>
      <w:r w:rsidR="00D77EFD" w:rsidRPr="002879B1">
        <w:rPr>
          <w:i/>
          <w:lang w:eastAsia="ja-JP"/>
        </w:rPr>
        <w:t xml:space="preserve"> </w:t>
      </w:r>
      <w:proofErr w:type="spellStart"/>
      <w:r w:rsidR="00D77EFD" w:rsidRPr="002879B1">
        <w:rPr>
          <w:i/>
          <w:lang w:eastAsia="ja-JP"/>
        </w:rPr>
        <w:t>aphrophilus</w:t>
      </w:r>
      <w:proofErr w:type="spellEnd"/>
      <w:r w:rsidR="00D77EFD" w:rsidRPr="002879B1">
        <w:rPr>
          <w:i/>
          <w:lang w:eastAsia="ja-JP"/>
        </w:rPr>
        <w:t>,</w:t>
      </w:r>
      <w:r w:rsidR="00D77EFD" w:rsidRPr="001C46DF">
        <w:rPr>
          <w:lang w:eastAsia="ja-JP"/>
        </w:rPr>
        <w:t xml:space="preserve"> </w:t>
      </w:r>
      <w:proofErr w:type="spellStart"/>
      <w:r w:rsidR="00D77EFD" w:rsidRPr="002879B1">
        <w:rPr>
          <w:b/>
          <w:i/>
          <w:lang w:eastAsia="ja-JP"/>
        </w:rPr>
        <w:t>A</w:t>
      </w:r>
      <w:r w:rsidR="00D77EFD" w:rsidRPr="002879B1">
        <w:rPr>
          <w:i/>
          <w:lang w:eastAsia="ja-JP"/>
        </w:rPr>
        <w:t>ctinobacillus</w:t>
      </w:r>
      <w:proofErr w:type="spellEnd"/>
      <w:r w:rsidR="00D77EFD" w:rsidRPr="002879B1">
        <w:rPr>
          <w:i/>
          <w:lang w:eastAsia="ja-JP"/>
        </w:rPr>
        <w:t xml:space="preserve"> </w:t>
      </w:r>
      <w:proofErr w:type="spellStart"/>
      <w:r w:rsidR="00D77EFD" w:rsidRPr="002879B1">
        <w:rPr>
          <w:i/>
          <w:lang w:eastAsia="ja-JP"/>
        </w:rPr>
        <w:t>actinomycetemcomitans</w:t>
      </w:r>
      <w:proofErr w:type="spellEnd"/>
      <w:r w:rsidR="00D77EFD" w:rsidRPr="002879B1">
        <w:rPr>
          <w:i/>
          <w:lang w:eastAsia="ja-JP"/>
        </w:rPr>
        <w:t>,</w:t>
      </w:r>
      <w:r w:rsidR="00D77EFD" w:rsidRPr="001C46DF">
        <w:rPr>
          <w:lang w:eastAsia="ja-JP"/>
        </w:rPr>
        <w:t xml:space="preserve"> </w:t>
      </w:r>
      <w:proofErr w:type="spellStart"/>
      <w:r w:rsidR="00D77EFD" w:rsidRPr="002879B1">
        <w:rPr>
          <w:b/>
          <w:i/>
          <w:lang w:eastAsia="ja-JP"/>
        </w:rPr>
        <w:t>C</w:t>
      </w:r>
      <w:r w:rsidR="00D77EFD" w:rsidRPr="002879B1">
        <w:rPr>
          <w:i/>
          <w:lang w:eastAsia="ja-JP"/>
        </w:rPr>
        <w:t>ardiobacterium</w:t>
      </w:r>
      <w:proofErr w:type="spellEnd"/>
      <w:r w:rsidR="00D77EFD" w:rsidRPr="002879B1">
        <w:rPr>
          <w:i/>
          <w:lang w:eastAsia="ja-JP"/>
        </w:rPr>
        <w:t xml:space="preserve"> hominis</w:t>
      </w:r>
      <w:r w:rsidR="00D77EFD" w:rsidRPr="001C46DF">
        <w:rPr>
          <w:lang w:eastAsia="ja-JP"/>
        </w:rPr>
        <w:t xml:space="preserve">; </w:t>
      </w:r>
      <w:proofErr w:type="spellStart"/>
      <w:r w:rsidR="00D77EFD" w:rsidRPr="002879B1">
        <w:rPr>
          <w:b/>
          <w:i/>
          <w:lang w:eastAsia="ja-JP"/>
        </w:rPr>
        <w:t>E</w:t>
      </w:r>
      <w:r w:rsidR="00D77EFD" w:rsidRPr="002879B1">
        <w:rPr>
          <w:i/>
          <w:lang w:eastAsia="ja-JP"/>
        </w:rPr>
        <w:t>ikenella</w:t>
      </w:r>
      <w:proofErr w:type="spellEnd"/>
      <w:r w:rsidR="00D77EFD" w:rsidRPr="002879B1">
        <w:rPr>
          <w:i/>
          <w:lang w:eastAsia="ja-JP"/>
        </w:rPr>
        <w:t xml:space="preserve"> </w:t>
      </w:r>
      <w:proofErr w:type="spellStart"/>
      <w:r w:rsidR="00D77EFD" w:rsidRPr="002879B1">
        <w:rPr>
          <w:i/>
          <w:lang w:eastAsia="ja-JP"/>
        </w:rPr>
        <w:t>corrodens</w:t>
      </w:r>
      <w:proofErr w:type="spellEnd"/>
      <w:r w:rsidR="00D77EFD" w:rsidRPr="001C46DF">
        <w:rPr>
          <w:lang w:eastAsia="ja-JP"/>
        </w:rPr>
        <w:t xml:space="preserve">; and </w:t>
      </w:r>
      <w:proofErr w:type="spellStart"/>
      <w:r w:rsidR="00D77EFD" w:rsidRPr="002879B1">
        <w:rPr>
          <w:b/>
          <w:i/>
          <w:lang w:eastAsia="ja-JP"/>
        </w:rPr>
        <w:t>K</w:t>
      </w:r>
      <w:r w:rsidR="00D77EFD" w:rsidRPr="002879B1">
        <w:rPr>
          <w:i/>
          <w:lang w:eastAsia="ja-JP"/>
        </w:rPr>
        <w:t>ingella</w:t>
      </w:r>
      <w:proofErr w:type="spellEnd"/>
      <w:r w:rsidR="00D77EFD" w:rsidRPr="002879B1">
        <w:rPr>
          <w:i/>
          <w:lang w:eastAsia="ja-JP"/>
        </w:rPr>
        <w:t xml:space="preserve"> </w:t>
      </w:r>
      <w:proofErr w:type="spellStart"/>
      <w:r w:rsidR="00D77EFD" w:rsidRPr="002879B1">
        <w:rPr>
          <w:i/>
          <w:lang w:eastAsia="ja-JP"/>
        </w:rPr>
        <w:t>kingae</w:t>
      </w:r>
      <w:proofErr w:type="spellEnd"/>
    </w:p>
    <w:p w14:paraId="2528496A" w14:textId="69FDAF6C" w:rsidR="00975A60" w:rsidRPr="001C46DF" w:rsidRDefault="00975A60" w:rsidP="00975A60">
      <w:pPr>
        <w:pStyle w:val="Heading2"/>
        <w:rPr>
          <w:rFonts w:cs="Arial"/>
          <w:szCs w:val="22"/>
        </w:rPr>
      </w:pPr>
      <w:r w:rsidRPr="001C46DF">
        <w:rPr>
          <w:rFonts w:cs="Arial"/>
          <w:szCs w:val="22"/>
        </w:rPr>
        <w:t>Presenting symptoms and signs</w:t>
      </w:r>
    </w:p>
    <w:p w14:paraId="15952879" w14:textId="070B121D" w:rsidR="00693F64" w:rsidRDefault="00A82D44" w:rsidP="00A82D44">
      <w:r w:rsidRPr="001C46DF">
        <w:t xml:space="preserve">Fever is the most common symptom </w:t>
      </w:r>
      <w:r w:rsidR="00275587" w:rsidRPr="001C46DF">
        <w:t>(&gt;</w:t>
      </w:r>
      <w:r w:rsidR="00693F64">
        <w:t xml:space="preserve"> </w:t>
      </w:r>
      <w:r w:rsidR="00275587" w:rsidRPr="001C46DF">
        <w:t>90%)</w:t>
      </w:r>
      <w:r w:rsidR="00693F64">
        <w:t>. It</w:t>
      </w:r>
      <w:r w:rsidRPr="001C46DF">
        <w:t xml:space="preserve"> is often associated with chills, anorexia, and weight loss. </w:t>
      </w:r>
    </w:p>
    <w:p w14:paraId="74A0A122" w14:textId="77777777" w:rsidR="007A73A5" w:rsidRDefault="00A82D44" w:rsidP="007A73A5">
      <w:r w:rsidRPr="001C46DF">
        <w:t xml:space="preserve">Other common symptoms </w:t>
      </w:r>
      <w:r w:rsidR="00693F64">
        <w:t xml:space="preserve">include </w:t>
      </w:r>
      <w:r w:rsidRPr="001C46DF">
        <w:t xml:space="preserve">malaise, headache, myalgia, arthralgia, night sweats, abdominal pain, </w:t>
      </w:r>
      <w:proofErr w:type="spellStart"/>
      <w:r w:rsidRPr="001C46DF">
        <w:t>dyspn</w:t>
      </w:r>
      <w:r w:rsidR="00693F64">
        <w:t>o</w:t>
      </w:r>
      <w:r w:rsidRPr="001C46DF">
        <w:t>ea</w:t>
      </w:r>
      <w:proofErr w:type="spellEnd"/>
      <w:r w:rsidRPr="001C46DF">
        <w:t xml:space="preserve">, cough, and pleuritic pain. </w:t>
      </w:r>
      <w:r w:rsidR="00693F64">
        <w:t>Note that these symptoms are non-specific and there may be not much more than a sense that something is wrong.</w:t>
      </w:r>
    </w:p>
    <w:p w14:paraId="15444079" w14:textId="0055BF82" w:rsidR="007A73A5" w:rsidRDefault="00A82D44" w:rsidP="007A73A5">
      <w:r w:rsidRPr="001C46DF">
        <w:t>Patients with IE associated with dental infection may report tooth pain or related symptoms.</w:t>
      </w:r>
    </w:p>
    <w:p w14:paraId="13660B77" w14:textId="51529D6C" w:rsidR="00975A60" w:rsidRPr="001C46DF" w:rsidRDefault="00975A60" w:rsidP="00975A60">
      <w:pPr>
        <w:pStyle w:val="Heading2"/>
        <w:rPr>
          <w:rFonts w:cs="Arial"/>
          <w:szCs w:val="22"/>
        </w:rPr>
      </w:pPr>
      <w:r w:rsidRPr="001C46DF">
        <w:rPr>
          <w:rFonts w:cs="Arial"/>
          <w:szCs w:val="22"/>
        </w:rPr>
        <w:t>Examination findings</w:t>
      </w:r>
    </w:p>
    <w:p w14:paraId="4CD286A8" w14:textId="77777777" w:rsidR="00BD2EAE" w:rsidRPr="001C46DF" w:rsidRDefault="00BD2EAE" w:rsidP="00BD2EAE">
      <w:r w:rsidRPr="001C46DF">
        <w:t xml:space="preserve">Cardiac murmurs are the most common sign. Supportive signs include splenomegaly and cutaneous manifestations such as petechiae or splinter hemorrhages. </w:t>
      </w:r>
    </w:p>
    <w:p w14:paraId="4384BE3D" w14:textId="77777777" w:rsidR="00BD2EAE" w:rsidRPr="001C46DF" w:rsidRDefault="00BD2EAE" w:rsidP="00BD2EAE">
      <w:r w:rsidRPr="001C46DF">
        <w:t>Relatively uncommon clinical manifestations that are highly suggestive of IE include:</w:t>
      </w:r>
    </w:p>
    <w:p w14:paraId="5682F084" w14:textId="77777777" w:rsidR="00BD2EAE" w:rsidRPr="001C46DF" w:rsidRDefault="00BD2EAE" w:rsidP="00D37EF2">
      <w:pPr>
        <w:pStyle w:val="ListParagraph"/>
        <w:numPr>
          <w:ilvl w:val="0"/>
          <w:numId w:val="5"/>
        </w:numPr>
      </w:pPr>
      <w:r w:rsidRPr="002879B1">
        <w:rPr>
          <w:b/>
        </w:rPr>
        <w:t>Janeway lesions</w:t>
      </w:r>
      <w:r w:rsidRPr="001C46DF">
        <w:t xml:space="preserve"> – Nontender erythematous macules on the palms and soles.</w:t>
      </w:r>
    </w:p>
    <w:p w14:paraId="7851E74B" w14:textId="77777777" w:rsidR="00BD2EAE" w:rsidRPr="001C46DF" w:rsidRDefault="00BD2EAE" w:rsidP="00D37EF2">
      <w:pPr>
        <w:pStyle w:val="ListParagraph"/>
        <w:numPr>
          <w:ilvl w:val="0"/>
          <w:numId w:val="5"/>
        </w:numPr>
      </w:pPr>
      <w:r w:rsidRPr="002879B1">
        <w:rPr>
          <w:b/>
        </w:rPr>
        <w:t>Osler nodes</w:t>
      </w:r>
      <w:r w:rsidRPr="001C46DF">
        <w:t xml:space="preserve"> – Tender subcutaneous violaceous nodules mostly on the pads of the fingers and toes, which may also occur on the thenar and hypothenar eminences.</w:t>
      </w:r>
    </w:p>
    <w:p w14:paraId="7923254C" w14:textId="77777777" w:rsidR="00BD2EAE" w:rsidRPr="001C46DF" w:rsidRDefault="00BD2EAE" w:rsidP="00D37EF2">
      <w:pPr>
        <w:pStyle w:val="ListParagraph"/>
        <w:numPr>
          <w:ilvl w:val="0"/>
          <w:numId w:val="5"/>
        </w:numPr>
      </w:pPr>
      <w:r w:rsidRPr="002879B1">
        <w:rPr>
          <w:b/>
        </w:rPr>
        <w:lastRenderedPageBreak/>
        <w:t>Roth spots</w:t>
      </w:r>
      <w:r w:rsidRPr="001C46DF">
        <w:t xml:space="preserve"> – Exudative, edematous hemorrhagic lesions of the retina with pale centers</w:t>
      </w:r>
      <w:r w:rsidR="008F6290" w:rsidRPr="001C46DF">
        <w:t>.</w:t>
      </w:r>
    </w:p>
    <w:p w14:paraId="545ADAF4" w14:textId="2ED3E759" w:rsidR="00BD2EAE" w:rsidRPr="001C46DF" w:rsidRDefault="00BD2EAE" w:rsidP="00BD2EAE">
      <w:r w:rsidRPr="001C46DF">
        <w:t>Complications as presenting symptoms</w:t>
      </w:r>
      <w:r w:rsidR="00693F64">
        <w:t>:</w:t>
      </w:r>
    </w:p>
    <w:p w14:paraId="3C8EB6B5" w14:textId="77777777" w:rsidR="00BD2EAE" w:rsidRPr="001C46DF" w:rsidRDefault="00BD2EAE" w:rsidP="00D37EF2">
      <w:pPr>
        <w:pStyle w:val="ListParagraph"/>
        <w:numPr>
          <w:ilvl w:val="0"/>
          <w:numId w:val="6"/>
        </w:numPr>
      </w:pPr>
      <w:r w:rsidRPr="001C46DF">
        <w:t>Cardiac complications (&gt;50%) – Valvular insufficiency, heart failure, and others</w:t>
      </w:r>
    </w:p>
    <w:p w14:paraId="4A03FF17" w14:textId="77777777" w:rsidR="00BD2EAE" w:rsidRPr="001C46DF" w:rsidRDefault="00BD2EAE" w:rsidP="00D37EF2">
      <w:pPr>
        <w:pStyle w:val="ListParagraph"/>
        <w:numPr>
          <w:ilvl w:val="0"/>
          <w:numId w:val="6"/>
        </w:numPr>
      </w:pPr>
      <w:r w:rsidRPr="001C46DF">
        <w:t>Neurologic complications (&gt;40%) – Embolic stroke, intracerebral hemorrhage, brain abscess, and others</w:t>
      </w:r>
    </w:p>
    <w:p w14:paraId="165DFE2F" w14:textId="77777777" w:rsidR="00BD2EAE" w:rsidRDefault="00BD2EAE" w:rsidP="00D37EF2">
      <w:pPr>
        <w:pStyle w:val="ListParagraph"/>
        <w:numPr>
          <w:ilvl w:val="1"/>
          <w:numId w:val="6"/>
        </w:numPr>
      </w:pPr>
      <w:r w:rsidRPr="001C46DF">
        <w:t>Septic emboli (&gt;25%) – Infarction of kidneys, spleen, and other organs. In right-sided endocarditis, septic pulmonary emboli may be seen.</w:t>
      </w:r>
    </w:p>
    <w:p w14:paraId="567DFF43" w14:textId="77777777" w:rsidR="00220873" w:rsidRDefault="00220873" w:rsidP="00D37EF2">
      <w:pPr>
        <w:pStyle w:val="ListParagraph"/>
        <w:numPr>
          <w:ilvl w:val="1"/>
          <w:numId w:val="6"/>
        </w:numPr>
      </w:pPr>
      <w:r>
        <w:t>Spleen embolic: radiating abdominal pain that goes to the left shoulder</w:t>
      </w:r>
    </w:p>
    <w:p w14:paraId="3AB6A021" w14:textId="77777777" w:rsidR="00220873" w:rsidRDefault="00220873" w:rsidP="00D37EF2">
      <w:pPr>
        <w:pStyle w:val="ListParagraph"/>
        <w:numPr>
          <w:ilvl w:val="1"/>
          <w:numId w:val="6"/>
        </w:numPr>
      </w:pPr>
      <w:r>
        <w:t>Renal: flank pain in the groin with possible pus or blood in the urine</w:t>
      </w:r>
    </w:p>
    <w:p w14:paraId="0B29F652" w14:textId="0ADEFE33" w:rsidR="00220873" w:rsidRDefault="00220873" w:rsidP="00D37EF2">
      <w:pPr>
        <w:pStyle w:val="ListParagraph"/>
        <w:numPr>
          <w:ilvl w:val="1"/>
          <w:numId w:val="6"/>
        </w:numPr>
      </w:pPr>
      <w:r>
        <w:t>Brain (stroke): changes in neuro status, confusion, speech difficulty</w:t>
      </w:r>
    </w:p>
    <w:p w14:paraId="72882304" w14:textId="4D487437" w:rsidR="00220873" w:rsidRPr="001C46DF" w:rsidRDefault="00220873" w:rsidP="00D37EF2">
      <w:pPr>
        <w:pStyle w:val="ListParagraph"/>
        <w:numPr>
          <w:ilvl w:val="1"/>
          <w:numId w:val="6"/>
        </w:numPr>
      </w:pPr>
      <w:r>
        <w:t>Pulmonary: chest pain, shortness of breath, dyspnea, decreased oxygen saturatio</w:t>
      </w:r>
      <w:r w:rsidR="002879B1">
        <w:t>n</w:t>
      </w:r>
    </w:p>
    <w:p w14:paraId="6BB45320" w14:textId="77777777" w:rsidR="00BD2EAE" w:rsidRPr="001C46DF" w:rsidRDefault="00BD2EAE" w:rsidP="00D37EF2">
      <w:pPr>
        <w:pStyle w:val="ListParagraph"/>
        <w:numPr>
          <w:ilvl w:val="0"/>
          <w:numId w:val="6"/>
        </w:numPr>
      </w:pPr>
      <w:r w:rsidRPr="001C46DF">
        <w:t>Metastatic infection – vertebral osteomyelitis, septic arthritis, psoas abscess</w:t>
      </w:r>
    </w:p>
    <w:p w14:paraId="7FE5EA6F" w14:textId="77777777" w:rsidR="001203AE" w:rsidRPr="001C46DF" w:rsidRDefault="00BD2EAE" w:rsidP="00D37EF2">
      <w:pPr>
        <w:pStyle w:val="ListParagraph"/>
        <w:numPr>
          <w:ilvl w:val="0"/>
          <w:numId w:val="6"/>
        </w:numPr>
      </w:pPr>
      <w:r w:rsidRPr="001C46DF">
        <w:t>Systemic immune reaction – glomerulonephritis</w:t>
      </w:r>
    </w:p>
    <w:p w14:paraId="17074585" w14:textId="7D0867E5" w:rsidR="00BD2EAE" w:rsidRDefault="00BD2EAE" w:rsidP="00BD2EAE">
      <w:pPr>
        <w:rPr>
          <w:b/>
          <w:sz w:val="24"/>
          <w:lang w:eastAsia="ja-JP"/>
        </w:rPr>
      </w:pPr>
      <w:r w:rsidRPr="001C46DF">
        <w:rPr>
          <w:b/>
          <w:sz w:val="24"/>
          <w:lang w:eastAsia="ja-JP"/>
        </w:rPr>
        <w:t>Diagnosis</w:t>
      </w:r>
    </w:p>
    <w:p w14:paraId="4686AE28" w14:textId="1C449A63" w:rsidR="006A074B" w:rsidRDefault="00843DF4" w:rsidP="00843DF4">
      <w:pPr>
        <w:rPr>
          <w:lang w:eastAsia="ja-JP"/>
        </w:rPr>
      </w:pPr>
      <w:r>
        <w:rPr>
          <w:lang w:eastAsia="ja-JP"/>
        </w:rPr>
        <w:t>This is based on a combination of clinical susp</w:t>
      </w:r>
      <w:r w:rsidR="00E81F10">
        <w:rPr>
          <w:lang w:eastAsia="ja-JP"/>
        </w:rPr>
        <w:t xml:space="preserve">icion, </w:t>
      </w:r>
      <w:r w:rsidR="00E80775">
        <w:rPr>
          <w:lang w:eastAsia="ja-JP"/>
        </w:rPr>
        <w:t xml:space="preserve">the presence of risk factors, </w:t>
      </w:r>
      <w:r w:rsidR="00F62F09">
        <w:rPr>
          <w:lang w:eastAsia="ja-JP"/>
        </w:rPr>
        <w:t>examination findings and the following investigations:</w:t>
      </w:r>
    </w:p>
    <w:p w14:paraId="456B9B97" w14:textId="1FC64962" w:rsidR="00F62F09" w:rsidRDefault="00F62F09" w:rsidP="00D37EF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Urine dipstick (looking especially for blood)</w:t>
      </w:r>
    </w:p>
    <w:p w14:paraId="14F9EA67" w14:textId="06B4E778" w:rsidR="00F62F09" w:rsidRDefault="00F62F09" w:rsidP="00D37EF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ECG</w:t>
      </w:r>
    </w:p>
    <w:p w14:paraId="6520999E" w14:textId="05863E3C" w:rsidR="00F62F09" w:rsidRDefault="00F62F09" w:rsidP="00D37EF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ECHO</w:t>
      </w:r>
    </w:p>
    <w:p w14:paraId="0A0E3315" w14:textId="734FA5A1" w:rsidR="00F62F09" w:rsidRDefault="00F62F09" w:rsidP="00D37EF2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Blood cultures</w:t>
      </w:r>
      <w:r w:rsidR="00820CA0">
        <w:rPr>
          <w:lang w:eastAsia="ja-JP"/>
        </w:rPr>
        <w:t xml:space="preserve"> – 3 samples each from </w:t>
      </w:r>
      <w:r w:rsidR="00A66F40">
        <w:rPr>
          <w:lang w:eastAsia="ja-JP"/>
        </w:rPr>
        <w:t xml:space="preserve">2 or more </w:t>
      </w:r>
      <w:r w:rsidR="00820CA0">
        <w:rPr>
          <w:lang w:eastAsia="ja-JP"/>
        </w:rPr>
        <w:t xml:space="preserve">different sites </w:t>
      </w:r>
      <w:r w:rsidR="008053B3">
        <w:rPr>
          <w:lang w:eastAsia="ja-JP"/>
        </w:rPr>
        <w:t>at least 1 hour apart and ideally taking 10 ml of blood each time</w:t>
      </w:r>
      <w:r w:rsidR="001F7438">
        <w:rPr>
          <w:lang w:eastAsia="ja-JP"/>
        </w:rPr>
        <w:t>. These must be completed before antibiotics are started.</w:t>
      </w:r>
    </w:p>
    <w:p w14:paraId="2807D8DF" w14:textId="6D6DA0CB" w:rsidR="006A76E5" w:rsidRPr="001C46DF" w:rsidRDefault="006A76E5" w:rsidP="00843DF4">
      <w:pPr>
        <w:rPr>
          <w:lang w:eastAsia="ja-JP"/>
        </w:rPr>
      </w:pPr>
      <w:r>
        <w:rPr>
          <w:lang w:eastAsia="ja-JP"/>
        </w:rPr>
        <w:t xml:space="preserve">These results can be combined to formally make a diagnosis of IE using modified Duke criteria. Note that some patients will not meet these criteria in our </w:t>
      </w:r>
      <w:proofErr w:type="gramStart"/>
      <w:r>
        <w:rPr>
          <w:lang w:eastAsia="ja-JP"/>
        </w:rPr>
        <w:t>setting, but</w:t>
      </w:r>
      <w:proofErr w:type="gramEnd"/>
      <w:r>
        <w:rPr>
          <w:lang w:eastAsia="ja-JP"/>
        </w:rPr>
        <w:t xml:space="preserve"> will still have a high suspicion of IE and no alternative treatable diagnosis</w:t>
      </w:r>
      <w:r w:rsidR="002879B1">
        <w:rPr>
          <w:lang w:eastAsia="ja-JP"/>
        </w:rPr>
        <w:t xml:space="preserve">, so will need to be treated for IE anyway. </w:t>
      </w:r>
    </w:p>
    <w:p w14:paraId="22B9BE23" w14:textId="77777777" w:rsidR="00793728" w:rsidRDefault="00793728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  <w:lang w:eastAsia="ja-JP"/>
        </w:rPr>
      </w:pPr>
      <w:r>
        <w:rPr>
          <w:lang w:eastAsia="ja-JP"/>
        </w:rPr>
        <w:br w:type="page"/>
      </w:r>
    </w:p>
    <w:p w14:paraId="09F43060" w14:textId="601863CE" w:rsidR="00793728" w:rsidRPr="001C46DF" w:rsidRDefault="00843DDF" w:rsidP="00793728">
      <w:pPr>
        <w:pStyle w:val="Heading3"/>
        <w:rPr>
          <w:lang w:eastAsia="ja-JP"/>
        </w:rPr>
      </w:pPr>
      <w:r w:rsidRPr="001C46DF">
        <w:rPr>
          <w:lang w:eastAsia="ja-JP"/>
        </w:rPr>
        <w:lastRenderedPageBreak/>
        <w:t xml:space="preserve">Modified </w:t>
      </w:r>
      <w:r w:rsidR="00BD2EAE" w:rsidRPr="001C46DF">
        <w:rPr>
          <w:lang w:eastAsia="ja-JP"/>
        </w:rPr>
        <w:t>Duke criteria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43DDF" w:rsidRPr="001C46DF" w14:paraId="60D95552" w14:textId="77777777" w:rsidTr="001F7438">
        <w:tc>
          <w:tcPr>
            <w:tcW w:w="9493" w:type="dxa"/>
            <w:shd w:val="clear" w:color="auto" w:fill="D9D9D9" w:themeFill="background1" w:themeFillShade="D9"/>
          </w:tcPr>
          <w:p w14:paraId="3F775A8B" w14:textId="77777777" w:rsidR="00843DDF" w:rsidRPr="001C46DF" w:rsidRDefault="00843DDF" w:rsidP="00E26FAD">
            <w:pPr>
              <w:rPr>
                <w:b/>
                <w:szCs w:val="22"/>
                <w:lang w:eastAsia="ja-JP"/>
              </w:rPr>
            </w:pPr>
            <w:r w:rsidRPr="001C46DF">
              <w:rPr>
                <w:b/>
                <w:szCs w:val="22"/>
                <w:lang w:eastAsia="ja-JP"/>
              </w:rPr>
              <w:t>Major criteria</w:t>
            </w:r>
          </w:p>
        </w:tc>
      </w:tr>
      <w:tr w:rsidR="00843DDF" w:rsidRPr="001C46DF" w14:paraId="185BE079" w14:textId="77777777" w:rsidTr="00843DDF">
        <w:tc>
          <w:tcPr>
            <w:tcW w:w="9493" w:type="dxa"/>
          </w:tcPr>
          <w:p w14:paraId="0CAB07EE" w14:textId="77777777" w:rsidR="00843DDF" w:rsidRPr="001C46DF" w:rsidRDefault="00843DDF" w:rsidP="00430EFE">
            <w:pPr>
              <w:ind w:firstLineChars="50" w:firstLine="110"/>
              <w:rPr>
                <w:szCs w:val="22"/>
                <w:lang w:eastAsia="ja-JP"/>
              </w:rPr>
            </w:pPr>
            <w:r w:rsidRPr="00ED12DB">
              <w:rPr>
                <w:b/>
                <w:i/>
                <w:szCs w:val="22"/>
                <w:lang w:eastAsia="ja-JP"/>
              </w:rPr>
              <w:t>Positive blood culture</w:t>
            </w:r>
            <w:r w:rsidRPr="001C46DF">
              <w:rPr>
                <w:szCs w:val="22"/>
                <w:lang w:eastAsia="ja-JP"/>
              </w:rPr>
              <w:t xml:space="preserve"> with common endocarditis pathogen (grown in 2 separate cultures)</w:t>
            </w:r>
          </w:p>
        </w:tc>
      </w:tr>
      <w:tr w:rsidR="00843DDF" w:rsidRPr="001C46DF" w14:paraId="2716F9F1" w14:textId="77777777" w:rsidTr="00843DDF">
        <w:tc>
          <w:tcPr>
            <w:tcW w:w="9493" w:type="dxa"/>
          </w:tcPr>
          <w:p w14:paraId="17BF3F7A" w14:textId="1CDCA839" w:rsidR="00843DDF" w:rsidRPr="001C46DF" w:rsidRDefault="00843DDF" w:rsidP="00430EFE">
            <w:pPr>
              <w:ind w:firstLineChars="50" w:firstLine="110"/>
              <w:rPr>
                <w:szCs w:val="22"/>
                <w:lang w:eastAsia="ja-JP"/>
              </w:rPr>
            </w:pPr>
            <w:r w:rsidRPr="00ED12DB">
              <w:rPr>
                <w:b/>
                <w:i/>
                <w:szCs w:val="22"/>
                <w:lang w:eastAsia="ja-JP"/>
              </w:rPr>
              <w:t>Evidence of endocardial involvement</w:t>
            </w:r>
            <w:r w:rsidRPr="001C46DF">
              <w:rPr>
                <w:szCs w:val="22"/>
                <w:lang w:eastAsia="ja-JP"/>
              </w:rPr>
              <w:t xml:space="preserve"> e</w:t>
            </w:r>
            <w:r w:rsidR="00693F64">
              <w:rPr>
                <w:szCs w:val="22"/>
                <w:lang w:eastAsia="ja-JP"/>
              </w:rPr>
              <w:t>i</w:t>
            </w:r>
            <w:r w:rsidRPr="001C46DF">
              <w:rPr>
                <w:szCs w:val="22"/>
                <w:lang w:eastAsia="ja-JP"/>
              </w:rPr>
              <w:t xml:space="preserve">ther </w:t>
            </w:r>
          </w:p>
          <w:p w14:paraId="1EF2E3AB" w14:textId="77777777" w:rsidR="00843DDF" w:rsidRPr="001C46DF" w:rsidRDefault="00843DDF" w:rsidP="00843DDF">
            <w:pPr>
              <w:pStyle w:val="ListParagraph"/>
              <w:ind w:left="420"/>
              <w:rPr>
                <w:szCs w:val="22"/>
                <w:lang w:eastAsia="ja-JP"/>
              </w:rPr>
            </w:pPr>
            <w:r w:rsidRPr="001C46DF">
              <w:rPr>
                <w:szCs w:val="22"/>
                <w:lang w:eastAsia="ja-JP"/>
              </w:rPr>
              <w:t xml:space="preserve">Echocardiogram vegetation </w:t>
            </w:r>
            <w:r w:rsidR="00693F64" w:rsidRPr="00ED12DB">
              <w:rPr>
                <w:b/>
                <w:szCs w:val="22"/>
                <w:lang w:eastAsia="ja-JP"/>
              </w:rPr>
              <w:t>OR</w:t>
            </w:r>
          </w:p>
          <w:p w14:paraId="6714E15F" w14:textId="582E4715" w:rsidR="00843DDF" w:rsidRPr="001C46DF" w:rsidRDefault="00693F64" w:rsidP="00843DDF">
            <w:pPr>
              <w:pStyle w:val="ListParagraph"/>
              <w:ind w:left="420"/>
              <w:rPr>
                <w:szCs w:val="22"/>
                <w:lang w:eastAsia="ja-JP"/>
              </w:rPr>
            </w:pPr>
            <w:r>
              <w:rPr>
                <w:szCs w:val="22"/>
                <w:u w:val="single"/>
                <w:lang w:eastAsia="ja-JP"/>
              </w:rPr>
              <w:t>N</w:t>
            </w:r>
            <w:r w:rsidR="00843DDF" w:rsidRPr="001C46DF">
              <w:rPr>
                <w:szCs w:val="22"/>
                <w:u w:val="single"/>
                <w:lang w:eastAsia="ja-JP"/>
              </w:rPr>
              <w:t>ew</w:t>
            </w:r>
            <w:r w:rsidR="00843DDF" w:rsidRPr="001C46DF">
              <w:rPr>
                <w:szCs w:val="22"/>
                <w:lang w:eastAsia="ja-JP"/>
              </w:rPr>
              <w:t xml:space="preserve"> valvular regurgitation</w:t>
            </w:r>
          </w:p>
        </w:tc>
      </w:tr>
      <w:tr w:rsidR="00843DDF" w:rsidRPr="001C46DF" w14:paraId="2A96F63B" w14:textId="77777777" w:rsidTr="001F7438">
        <w:tc>
          <w:tcPr>
            <w:tcW w:w="9493" w:type="dxa"/>
            <w:shd w:val="clear" w:color="auto" w:fill="D9D9D9" w:themeFill="background1" w:themeFillShade="D9"/>
          </w:tcPr>
          <w:p w14:paraId="377F52C4" w14:textId="77777777" w:rsidR="00843DDF" w:rsidRPr="001C46DF" w:rsidRDefault="00843DDF" w:rsidP="00B34817">
            <w:pPr>
              <w:rPr>
                <w:b/>
                <w:szCs w:val="22"/>
                <w:lang w:eastAsia="ja-JP"/>
              </w:rPr>
            </w:pPr>
            <w:r w:rsidRPr="001C46DF">
              <w:rPr>
                <w:b/>
                <w:szCs w:val="22"/>
                <w:lang w:eastAsia="ja-JP"/>
              </w:rPr>
              <w:t>Minor criteria</w:t>
            </w:r>
          </w:p>
        </w:tc>
      </w:tr>
      <w:tr w:rsidR="00843DDF" w:rsidRPr="001C46DF" w14:paraId="16D15436" w14:textId="77777777" w:rsidTr="00843DDF">
        <w:tc>
          <w:tcPr>
            <w:tcW w:w="9493" w:type="dxa"/>
          </w:tcPr>
          <w:p w14:paraId="7C7104C7" w14:textId="0269C933" w:rsidR="00843DDF" w:rsidRPr="001C46DF" w:rsidRDefault="00693F64" w:rsidP="00432AC0">
            <w:pPr>
              <w:ind w:firstLineChars="50" w:firstLine="110"/>
              <w:rPr>
                <w:szCs w:val="22"/>
                <w:lang w:eastAsia="ja-JP"/>
              </w:rPr>
            </w:pPr>
            <w:r>
              <w:rPr>
                <w:szCs w:val="22"/>
                <w:lang w:eastAsia="ja-JP"/>
              </w:rPr>
              <w:t>One of the risk factors</w:t>
            </w:r>
          </w:p>
        </w:tc>
      </w:tr>
      <w:tr w:rsidR="00843DDF" w:rsidRPr="001C46DF" w14:paraId="294D1B53" w14:textId="77777777" w:rsidTr="00843DDF">
        <w:tc>
          <w:tcPr>
            <w:tcW w:w="9493" w:type="dxa"/>
          </w:tcPr>
          <w:p w14:paraId="7798504A" w14:textId="2F585177" w:rsidR="00843DDF" w:rsidRPr="001C46DF" w:rsidRDefault="00843DDF" w:rsidP="00432AC0">
            <w:pPr>
              <w:ind w:firstLineChars="50" w:firstLine="110"/>
              <w:rPr>
                <w:szCs w:val="22"/>
                <w:lang w:eastAsia="ja-JP"/>
              </w:rPr>
            </w:pPr>
            <w:r w:rsidRPr="001C46DF">
              <w:rPr>
                <w:szCs w:val="22"/>
                <w:lang w:eastAsia="ja-JP"/>
              </w:rPr>
              <w:t>Fever (</w:t>
            </w:r>
            <w:r w:rsidR="00693F64">
              <w:rPr>
                <w:szCs w:val="22"/>
                <w:lang w:eastAsia="ja-JP"/>
              </w:rPr>
              <w:t>Documented t</w:t>
            </w:r>
            <w:r w:rsidRPr="001C46DF">
              <w:rPr>
                <w:szCs w:val="22"/>
                <w:lang w:eastAsia="ja-JP"/>
              </w:rPr>
              <w:t>emp =&gt;</w:t>
            </w:r>
            <w:r w:rsidR="00693F64">
              <w:rPr>
                <w:szCs w:val="22"/>
                <w:lang w:eastAsia="ja-JP"/>
              </w:rPr>
              <w:t xml:space="preserve"> </w:t>
            </w:r>
            <w:r w:rsidRPr="001C46DF">
              <w:rPr>
                <w:szCs w:val="22"/>
                <w:lang w:eastAsia="ja-JP"/>
              </w:rPr>
              <w:t>38.0°C)</w:t>
            </w:r>
          </w:p>
        </w:tc>
      </w:tr>
      <w:tr w:rsidR="00843DDF" w:rsidRPr="001C46DF" w14:paraId="2F844A0E" w14:textId="77777777" w:rsidTr="00843DDF">
        <w:tc>
          <w:tcPr>
            <w:tcW w:w="9493" w:type="dxa"/>
          </w:tcPr>
          <w:p w14:paraId="0E1DFD1F" w14:textId="77777777" w:rsidR="00843DDF" w:rsidRPr="001C46DF" w:rsidRDefault="00843DDF" w:rsidP="00432AC0">
            <w:pPr>
              <w:ind w:firstLineChars="50" w:firstLine="110"/>
              <w:rPr>
                <w:szCs w:val="22"/>
                <w:lang w:eastAsia="ja-JP"/>
              </w:rPr>
            </w:pPr>
            <w:r w:rsidRPr="00ED12DB">
              <w:rPr>
                <w:b/>
                <w:i/>
                <w:szCs w:val="22"/>
                <w:lang w:eastAsia="ja-JP"/>
              </w:rPr>
              <w:t>Vascular phenomena:</w:t>
            </w:r>
            <w:r w:rsidRPr="001C46DF">
              <w:rPr>
                <w:szCs w:val="22"/>
                <w:lang w:eastAsia="ja-JP"/>
              </w:rPr>
              <w:t xml:space="preserve"> major arterial emboli, septic pulmonary infarcts, mycotic aneurysm, intracranial hemorrhage, conjunctival hemorrhages, or Janeway lesions</w:t>
            </w:r>
          </w:p>
        </w:tc>
      </w:tr>
      <w:tr w:rsidR="00843DDF" w:rsidRPr="001C46DF" w14:paraId="56BF9D22" w14:textId="77777777" w:rsidTr="00843DDF">
        <w:tc>
          <w:tcPr>
            <w:tcW w:w="9493" w:type="dxa"/>
          </w:tcPr>
          <w:p w14:paraId="0119D2FB" w14:textId="77777777" w:rsidR="00843DDF" w:rsidRPr="001C46DF" w:rsidRDefault="00843DDF" w:rsidP="00432AC0">
            <w:pPr>
              <w:ind w:firstLineChars="50" w:firstLine="110"/>
              <w:rPr>
                <w:szCs w:val="22"/>
                <w:lang w:eastAsia="ja-JP"/>
              </w:rPr>
            </w:pPr>
            <w:r w:rsidRPr="00ED12DB">
              <w:rPr>
                <w:b/>
                <w:i/>
                <w:szCs w:val="22"/>
                <w:lang w:eastAsia="ja-JP"/>
              </w:rPr>
              <w:t>Immunologic phenomena:</w:t>
            </w:r>
            <w:r w:rsidRPr="001C46DF">
              <w:rPr>
                <w:szCs w:val="22"/>
                <w:lang w:eastAsia="ja-JP"/>
              </w:rPr>
              <w:t xml:space="preserve"> Glomerulonephritis, Osler nodes, Roth spots, or rheumatoid factor</w:t>
            </w:r>
          </w:p>
        </w:tc>
      </w:tr>
      <w:tr w:rsidR="00843DDF" w:rsidRPr="001C46DF" w14:paraId="4F9E726C" w14:textId="77777777" w:rsidTr="00843DDF">
        <w:tc>
          <w:tcPr>
            <w:tcW w:w="9493" w:type="dxa"/>
          </w:tcPr>
          <w:p w14:paraId="0FFBF2CE" w14:textId="77777777" w:rsidR="00843DDF" w:rsidRPr="001C46DF" w:rsidRDefault="00843DDF" w:rsidP="00432AC0">
            <w:pPr>
              <w:ind w:firstLineChars="50" w:firstLine="110"/>
              <w:rPr>
                <w:szCs w:val="22"/>
                <w:lang w:eastAsia="ja-JP"/>
              </w:rPr>
            </w:pPr>
            <w:r w:rsidRPr="00ED12DB">
              <w:rPr>
                <w:b/>
                <w:i/>
                <w:szCs w:val="22"/>
                <w:lang w:eastAsia="ja-JP"/>
              </w:rPr>
              <w:t>Microbiologic evidence:</w:t>
            </w:r>
            <w:r w:rsidRPr="001C46DF">
              <w:rPr>
                <w:szCs w:val="22"/>
                <w:lang w:eastAsia="ja-JP"/>
              </w:rPr>
              <w:t xml:space="preserve"> Positive blood cultures that do not meet major criteria </w:t>
            </w:r>
            <w:r w:rsidRPr="001C46DF">
              <w:rPr>
                <w:b/>
                <w:szCs w:val="22"/>
                <w:lang w:eastAsia="ja-JP"/>
              </w:rPr>
              <w:t>OR</w:t>
            </w:r>
            <w:r w:rsidRPr="001C46DF">
              <w:rPr>
                <w:szCs w:val="22"/>
                <w:lang w:eastAsia="ja-JP"/>
              </w:rPr>
              <w:t xml:space="preserve"> serologic evidence of active infection with organism consistent with IE</w:t>
            </w:r>
          </w:p>
        </w:tc>
      </w:tr>
    </w:tbl>
    <w:p w14:paraId="3226F91A" w14:textId="77777777" w:rsidR="006A76E5" w:rsidRPr="006A76E5" w:rsidRDefault="006A76E5" w:rsidP="00EC4755">
      <w:pPr>
        <w:ind w:firstLineChars="50" w:firstLine="80"/>
        <w:rPr>
          <w:b/>
          <w:sz w:val="16"/>
          <w:szCs w:val="16"/>
          <w:lang w:eastAsia="ja-JP"/>
        </w:rPr>
      </w:pPr>
    </w:p>
    <w:p w14:paraId="0C986BCF" w14:textId="04BBC2A5" w:rsidR="00BD2EAE" w:rsidRPr="001C46DF" w:rsidRDefault="00432AC0" w:rsidP="00EC4755">
      <w:pPr>
        <w:ind w:firstLineChars="50" w:firstLine="120"/>
        <w:rPr>
          <w:b/>
          <w:sz w:val="24"/>
          <w:lang w:eastAsia="ja-JP"/>
        </w:rPr>
      </w:pPr>
      <w:r w:rsidRPr="001C46DF">
        <w:rPr>
          <w:b/>
          <w:sz w:val="24"/>
          <w:lang w:eastAsia="ja-JP"/>
        </w:rPr>
        <w:t xml:space="preserve">Definite IE: </w:t>
      </w:r>
      <w:r w:rsidRPr="001C46DF">
        <w:rPr>
          <w:sz w:val="24"/>
          <w:lang w:eastAsia="ja-JP"/>
        </w:rPr>
        <w:t>2 major criteria</w:t>
      </w:r>
      <w:r w:rsidR="00843DDF" w:rsidRPr="001C46DF">
        <w:rPr>
          <w:sz w:val="24"/>
          <w:lang w:eastAsia="ja-JP"/>
        </w:rPr>
        <w:t xml:space="preserve"> </w:t>
      </w:r>
      <w:r w:rsidR="00843DDF" w:rsidRPr="001C46DF">
        <w:rPr>
          <w:i/>
          <w:sz w:val="24"/>
          <w:lang w:eastAsia="ja-JP"/>
        </w:rPr>
        <w:t>or</w:t>
      </w:r>
      <w:r w:rsidRPr="001C46DF">
        <w:rPr>
          <w:sz w:val="24"/>
          <w:lang w:eastAsia="ja-JP"/>
        </w:rPr>
        <w:t xml:space="preserve"> 1 major + 3 minor criteria</w:t>
      </w:r>
      <w:r w:rsidR="00843DDF" w:rsidRPr="001C46DF">
        <w:rPr>
          <w:sz w:val="24"/>
          <w:lang w:eastAsia="ja-JP"/>
        </w:rPr>
        <w:t xml:space="preserve"> </w:t>
      </w:r>
      <w:r w:rsidR="00843DDF" w:rsidRPr="001C46DF">
        <w:rPr>
          <w:i/>
          <w:sz w:val="24"/>
          <w:lang w:eastAsia="ja-JP"/>
        </w:rPr>
        <w:t>or</w:t>
      </w:r>
      <w:r w:rsidRPr="001C46DF">
        <w:rPr>
          <w:sz w:val="24"/>
          <w:lang w:eastAsia="ja-JP"/>
        </w:rPr>
        <w:t xml:space="preserve"> 5 minor criteria</w:t>
      </w:r>
    </w:p>
    <w:p w14:paraId="4E6C9E1E" w14:textId="77777777" w:rsidR="00432AC0" w:rsidRPr="001C46DF" w:rsidRDefault="00432AC0" w:rsidP="00EC4755">
      <w:pPr>
        <w:ind w:firstLineChars="50" w:firstLine="120"/>
        <w:rPr>
          <w:b/>
          <w:sz w:val="24"/>
          <w:lang w:eastAsia="ja-JP"/>
        </w:rPr>
      </w:pPr>
      <w:r w:rsidRPr="001C46DF">
        <w:rPr>
          <w:b/>
          <w:sz w:val="24"/>
          <w:lang w:eastAsia="ja-JP"/>
        </w:rPr>
        <w:t xml:space="preserve">Possible IE: </w:t>
      </w:r>
      <w:r w:rsidRPr="001C46DF">
        <w:rPr>
          <w:sz w:val="24"/>
          <w:lang w:eastAsia="ja-JP"/>
        </w:rPr>
        <w:t xml:space="preserve">1 major + 1 minor </w:t>
      </w:r>
      <w:proofErr w:type="gramStart"/>
      <w:r w:rsidRPr="001C46DF">
        <w:rPr>
          <w:sz w:val="24"/>
          <w:lang w:eastAsia="ja-JP"/>
        </w:rPr>
        <w:t>criteria</w:t>
      </w:r>
      <w:proofErr w:type="gramEnd"/>
      <w:r w:rsidR="00843DDF" w:rsidRPr="001C46DF">
        <w:rPr>
          <w:sz w:val="24"/>
          <w:lang w:eastAsia="ja-JP"/>
        </w:rPr>
        <w:t xml:space="preserve"> </w:t>
      </w:r>
      <w:r w:rsidR="00843DDF" w:rsidRPr="001C46DF">
        <w:rPr>
          <w:i/>
          <w:sz w:val="24"/>
          <w:lang w:eastAsia="ja-JP"/>
        </w:rPr>
        <w:t>or</w:t>
      </w:r>
      <w:r w:rsidRPr="001C46DF">
        <w:rPr>
          <w:sz w:val="24"/>
          <w:lang w:eastAsia="ja-JP"/>
        </w:rPr>
        <w:t xml:space="preserve"> 3 minor criteria</w:t>
      </w:r>
    </w:p>
    <w:p w14:paraId="162B17AC" w14:textId="77777777" w:rsidR="00F03F25" w:rsidRPr="001C46DF" w:rsidRDefault="001203AE" w:rsidP="002A2856">
      <w:pPr>
        <w:pStyle w:val="Heading2"/>
        <w:rPr>
          <w:rFonts w:cs="Arial"/>
          <w:szCs w:val="22"/>
        </w:rPr>
      </w:pPr>
      <w:r w:rsidRPr="001C46DF">
        <w:rPr>
          <w:rFonts w:cs="Arial"/>
          <w:szCs w:val="22"/>
        </w:rPr>
        <w:t xml:space="preserve">Management </w:t>
      </w:r>
    </w:p>
    <w:p w14:paraId="0E37E632" w14:textId="77777777" w:rsidR="001F4013" w:rsidRPr="001C46DF" w:rsidRDefault="0061100B" w:rsidP="00ED12DB">
      <w:pPr>
        <w:pStyle w:val="Heading3"/>
        <w:rPr>
          <w:lang w:eastAsia="ja-JP"/>
        </w:rPr>
      </w:pPr>
      <w:r w:rsidRPr="001C46DF">
        <w:rPr>
          <w:lang w:eastAsia="ja-JP"/>
        </w:rPr>
        <w:t>Antibiotic therapy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685"/>
        <w:gridCol w:w="3686"/>
      </w:tblGrid>
      <w:tr w:rsidR="006F421C" w:rsidRPr="001C46DF" w14:paraId="50D9A48D" w14:textId="77777777" w:rsidTr="001F7438">
        <w:tc>
          <w:tcPr>
            <w:tcW w:w="1696" w:type="dxa"/>
            <w:shd w:val="clear" w:color="auto" w:fill="D9D9D9" w:themeFill="background1" w:themeFillShade="D9"/>
          </w:tcPr>
          <w:p w14:paraId="1186D54C" w14:textId="77777777" w:rsidR="006F421C" w:rsidRPr="001C46DF" w:rsidRDefault="006F421C" w:rsidP="00361A99">
            <w:pPr>
              <w:rPr>
                <w:szCs w:val="22"/>
                <w:lang w:eastAsia="ja-JP"/>
              </w:rPr>
            </w:pPr>
          </w:p>
        </w:tc>
        <w:tc>
          <w:tcPr>
            <w:tcW w:w="3685" w:type="dxa"/>
          </w:tcPr>
          <w:p w14:paraId="7CB182DF" w14:textId="559753C2" w:rsidR="006F421C" w:rsidRPr="001C46DF" w:rsidRDefault="00693F64" w:rsidP="00361A99">
            <w:pPr>
              <w:rPr>
                <w:b/>
                <w:szCs w:val="22"/>
                <w:lang w:eastAsia="ja-JP"/>
              </w:rPr>
            </w:pPr>
            <w:r>
              <w:rPr>
                <w:b/>
                <w:szCs w:val="22"/>
                <w:lang w:eastAsia="ja-JP"/>
              </w:rPr>
              <w:t>N</w:t>
            </w:r>
            <w:r w:rsidR="006F421C" w:rsidRPr="001C46DF">
              <w:rPr>
                <w:b/>
                <w:szCs w:val="22"/>
                <w:lang w:eastAsia="ja-JP"/>
              </w:rPr>
              <w:t xml:space="preserve">ative </w:t>
            </w:r>
            <w:r w:rsidR="00430EFE" w:rsidRPr="001C46DF">
              <w:rPr>
                <w:b/>
                <w:szCs w:val="22"/>
                <w:lang w:eastAsia="ja-JP"/>
              </w:rPr>
              <w:t xml:space="preserve">heart </w:t>
            </w:r>
            <w:r w:rsidR="006F421C" w:rsidRPr="001C46DF">
              <w:rPr>
                <w:b/>
                <w:szCs w:val="22"/>
                <w:lang w:eastAsia="ja-JP"/>
              </w:rPr>
              <w:t>valve</w:t>
            </w:r>
          </w:p>
        </w:tc>
        <w:tc>
          <w:tcPr>
            <w:tcW w:w="3686" w:type="dxa"/>
          </w:tcPr>
          <w:p w14:paraId="40F6A30B" w14:textId="29750C59" w:rsidR="006F421C" w:rsidRPr="001C46DF" w:rsidRDefault="00693F64" w:rsidP="00361A99">
            <w:pPr>
              <w:rPr>
                <w:b/>
                <w:szCs w:val="22"/>
                <w:lang w:eastAsia="ja-JP"/>
              </w:rPr>
            </w:pPr>
            <w:r>
              <w:rPr>
                <w:b/>
                <w:szCs w:val="22"/>
                <w:lang w:eastAsia="ja-JP"/>
              </w:rPr>
              <w:t>P</w:t>
            </w:r>
            <w:r w:rsidR="006F421C" w:rsidRPr="001C46DF">
              <w:rPr>
                <w:b/>
                <w:szCs w:val="22"/>
                <w:lang w:eastAsia="ja-JP"/>
              </w:rPr>
              <w:t>rosthetic heart valve(s)</w:t>
            </w:r>
          </w:p>
        </w:tc>
      </w:tr>
      <w:tr w:rsidR="004D744D" w:rsidRPr="001C46DF" w14:paraId="3B164A57" w14:textId="77777777" w:rsidTr="00ED12DB">
        <w:tc>
          <w:tcPr>
            <w:tcW w:w="1696" w:type="dxa"/>
            <w:shd w:val="clear" w:color="auto" w:fill="D9D9D9" w:themeFill="background1" w:themeFillShade="D9"/>
          </w:tcPr>
          <w:p w14:paraId="488AA0F8" w14:textId="0A678821" w:rsidR="004D744D" w:rsidRPr="001C46DF" w:rsidRDefault="004D744D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Emp</w:t>
            </w:r>
            <w:r w:rsidR="00693F64"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>ric</w:t>
            </w:r>
          </w:p>
          <w:p w14:paraId="094E2B94" w14:textId="40DE0CA4" w:rsidR="0028289F" w:rsidRPr="001C46DF" w:rsidRDefault="0028289F" w:rsidP="00361A99">
            <w:pPr>
              <w:rPr>
                <w:i/>
                <w:sz w:val="21"/>
                <w:szCs w:val="22"/>
                <w:lang w:eastAsia="ja-JP"/>
              </w:rPr>
            </w:pPr>
            <w:r w:rsidRPr="001C46DF">
              <w:rPr>
                <w:i/>
                <w:sz w:val="21"/>
                <w:szCs w:val="22"/>
                <w:lang w:eastAsia="ja-JP"/>
              </w:rPr>
              <w:t>(</w:t>
            </w:r>
            <w:proofErr w:type="spellStart"/>
            <w:r w:rsidR="00693F64">
              <w:rPr>
                <w:i/>
                <w:sz w:val="21"/>
                <w:szCs w:val="22"/>
                <w:lang w:eastAsia="ja-JP"/>
              </w:rPr>
              <w:t>paediatric</w:t>
            </w:r>
            <w:proofErr w:type="spellEnd"/>
            <w:r w:rsidR="00693F64">
              <w:rPr>
                <w:i/>
                <w:sz w:val="21"/>
                <w:szCs w:val="22"/>
                <w:lang w:eastAsia="ja-JP"/>
              </w:rPr>
              <w:t xml:space="preserve"> dosing</w:t>
            </w:r>
            <w:r w:rsidRPr="001C46DF">
              <w:rPr>
                <w:i/>
                <w:sz w:val="21"/>
                <w:szCs w:val="22"/>
                <w:lang w:eastAsia="ja-JP"/>
              </w:rPr>
              <w:t>)</w:t>
            </w:r>
          </w:p>
        </w:tc>
        <w:tc>
          <w:tcPr>
            <w:tcW w:w="3685" w:type="dxa"/>
          </w:tcPr>
          <w:p w14:paraId="16EA8C4F" w14:textId="23E2318B" w:rsidR="00B01534" w:rsidRPr="001C46DF" w:rsidRDefault="00B01534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Am</w:t>
            </w:r>
            <w:r w:rsidR="00F13E9D">
              <w:rPr>
                <w:sz w:val="21"/>
                <w:szCs w:val="22"/>
                <w:lang w:eastAsia="ja-JP"/>
              </w:rPr>
              <w:t>p</w:t>
            </w:r>
            <w:r w:rsidRPr="001C46DF">
              <w:rPr>
                <w:sz w:val="21"/>
                <w:szCs w:val="22"/>
                <w:lang w:eastAsia="ja-JP"/>
              </w:rPr>
              <w:t>icillin</w:t>
            </w:r>
            <w:r w:rsidR="00430EFE" w:rsidRPr="001C46DF">
              <w:rPr>
                <w:sz w:val="21"/>
                <w:szCs w:val="22"/>
                <w:lang w:eastAsia="ja-JP"/>
              </w:rPr>
              <w:t xml:space="preserve"> 2</w:t>
            </w:r>
            <w:r w:rsidR="00693F64">
              <w:rPr>
                <w:sz w:val="21"/>
                <w:szCs w:val="22"/>
                <w:lang w:eastAsia="ja-JP"/>
              </w:rPr>
              <w:t xml:space="preserve"> </w:t>
            </w:r>
            <w:r w:rsidR="00430EFE" w:rsidRPr="001C46DF">
              <w:rPr>
                <w:sz w:val="21"/>
                <w:szCs w:val="22"/>
                <w:lang w:eastAsia="ja-JP"/>
              </w:rPr>
              <w:t>g</w:t>
            </w:r>
            <w:r w:rsidR="0028289F" w:rsidRPr="001C46DF">
              <w:rPr>
                <w:sz w:val="21"/>
                <w:szCs w:val="22"/>
                <w:lang w:eastAsia="ja-JP"/>
              </w:rPr>
              <w:t xml:space="preserve"> (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50</w:t>
            </w:r>
            <w:r w:rsidR="00693F64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="0028289F" w:rsidRPr="001C46DF">
              <w:rPr>
                <w:sz w:val="21"/>
                <w:szCs w:val="22"/>
                <w:lang w:eastAsia="ja-JP"/>
              </w:rPr>
              <w:t>)</w:t>
            </w:r>
            <w:r w:rsidR="004D744D"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 xml:space="preserve">q4h </w:t>
            </w:r>
            <w:r w:rsidR="00693F64">
              <w:rPr>
                <w:sz w:val="21"/>
                <w:szCs w:val="22"/>
                <w:lang w:eastAsia="ja-JP"/>
              </w:rPr>
              <w:t xml:space="preserve">IV </w:t>
            </w:r>
            <w:r w:rsidR="00C02A27" w:rsidRPr="00ED12DB">
              <w:rPr>
                <w:b/>
                <w:sz w:val="21"/>
                <w:szCs w:val="22"/>
                <w:lang w:eastAsia="ja-JP"/>
              </w:rPr>
              <w:t>AND</w:t>
            </w:r>
            <w:r w:rsidR="004D744D" w:rsidRPr="001C46DF">
              <w:rPr>
                <w:sz w:val="21"/>
                <w:szCs w:val="22"/>
                <w:lang w:eastAsia="ja-JP"/>
              </w:rPr>
              <w:t xml:space="preserve"> </w:t>
            </w:r>
          </w:p>
          <w:p w14:paraId="3F156760" w14:textId="128097BF" w:rsidR="004D744D" w:rsidRPr="001C46DF" w:rsidRDefault="00693F64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 w:rsidR="006B7DA0">
              <w:rPr>
                <w:sz w:val="21"/>
                <w:szCs w:val="22"/>
                <w:lang w:eastAsia="ja-JP"/>
              </w:rPr>
              <w:t>3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="00B01534" w:rsidRPr="001C46DF">
              <w:rPr>
                <w:sz w:val="21"/>
                <w:szCs w:val="22"/>
                <w:lang w:eastAsia="ja-JP"/>
              </w:rPr>
              <w:t xml:space="preserve">mg/kg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</w:p>
        </w:tc>
        <w:tc>
          <w:tcPr>
            <w:tcW w:w="3686" w:type="dxa"/>
          </w:tcPr>
          <w:p w14:paraId="332B9BF4" w14:textId="3000BB16" w:rsidR="00B01534" w:rsidRPr="001C46DF" w:rsidRDefault="00B01534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Am</w:t>
            </w:r>
            <w:r w:rsidR="00F13E9D">
              <w:rPr>
                <w:sz w:val="21"/>
                <w:szCs w:val="22"/>
                <w:lang w:eastAsia="ja-JP"/>
              </w:rPr>
              <w:t>p</w:t>
            </w:r>
            <w:r w:rsidRPr="001C46DF">
              <w:rPr>
                <w:sz w:val="21"/>
                <w:szCs w:val="22"/>
                <w:lang w:eastAsia="ja-JP"/>
              </w:rPr>
              <w:t>icillin</w:t>
            </w:r>
            <w:r w:rsidR="00430EFE" w:rsidRPr="001C46DF">
              <w:rPr>
                <w:sz w:val="21"/>
                <w:szCs w:val="22"/>
                <w:lang w:eastAsia="ja-JP"/>
              </w:rPr>
              <w:t xml:space="preserve"> 2</w:t>
            </w:r>
            <w:r w:rsidR="00693F64">
              <w:rPr>
                <w:sz w:val="21"/>
                <w:szCs w:val="22"/>
                <w:lang w:eastAsia="ja-JP"/>
              </w:rPr>
              <w:t xml:space="preserve"> </w:t>
            </w:r>
            <w:r w:rsidR="00430EFE" w:rsidRPr="001C46DF">
              <w:rPr>
                <w:sz w:val="21"/>
                <w:szCs w:val="22"/>
                <w:lang w:eastAsia="ja-JP"/>
              </w:rPr>
              <w:t xml:space="preserve">g </w:t>
            </w:r>
            <w:r w:rsidR="0028289F" w:rsidRPr="001C46DF">
              <w:rPr>
                <w:sz w:val="21"/>
                <w:szCs w:val="22"/>
                <w:lang w:eastAsia="ja-JP"/>
              </w:rPr>
              <w:t>(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50</w:t>
            </w:r>
            <w:r w:rsidR="00693F64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="0028289F" w:rsidRPr="001C46DF">
              <w:rPr>
                <w:sz w:val="21"/>
                <w:szCs w:val="22"/>
                <w:lang w:eastAsia="ja-JP"/>
              </w:rPr>
              <w:t xml:space="preserve">) </w:t>
            </w:r>
            <w:r w:rsidRPr="001C46DF">
              <w:rPr>
                <w:sz w:val="21"/>
                <w:szCs w:val="22"/>
                <w:lang w:eastAsia="ja-JP"/>
              </w:rPr>
              <w:t xml:space="preserve">q4h </w:t>
            </w:r>
            <w:r w:rsidR="00693F64">
              <w:rPr>
                <w:sz w:val="21"/>
                <w:szCs w:val="22"/>
                <w:lang w:eastAsia="ja-JP"/>
              </w:rPr>
              <w:t>IV</w:t>
            </w:r>
            <w:r w:rsidR="00693F64" w:rsidRPr="001C46DF">
              <w:rPr>
                <w:sz w:val="21"/>
                <w:szCs w:val="22"/>
                <w:lang w:eastAsia="ja-JP"/>
              </w:rPr>
              <w:t xml:space="preserve"> </w:t>
            </w:r>
            <w:r w:rsidR="00C02A27" w:rsidRPr="00ED12DB">
              <w:rPr>
                <w:b/>
                <w:sz w:val="21"/>
                <w:szCs w:val="22"/>
                <w:lang w:eastAsia="ja-JP"/>
              </w:rPr>
              <w:t>AND</w:t>
            </w:r>
            <w:r w:rsidR="00693F64" w:rsidRPr="001C46DF">
              <w:rPr>
                <w:sz w:val="21"/>
                <w:szCs w:val="22"/>
                <w:lang w:eastAsia="ja-JP"/>
              </w:rPr>
              <w:t xml:space="preserve"> </w:t>
            </w:r>
          </w:p>
          <w:p w14:paraId="2B0A9D75" w14:textId="0356D16F" w:rsidR="00B01534" w:rsidRPr="001C46DF" w:rsidRDefault="00693F64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>
              <w:rPr>
                <w:sz w:val="21"/>
                <w:szCs w:val="22"/>
                <w:lang w:eastAsia="ja-JP"/>
              </w:rPr>
              <w:t xml:space="preserve">5 </w:t>
            </w:r>
            <w:r w:rsidRPr="001C46DF">
              <w:rPr>
                <w:sz w:val="21"/>
                <w:szCs w:val="22"/>
                <w:lang w:eastAsia="ja-JP"/>
              </w:rPr>
              <w:t>mg</w:t>
            </w:r>
            <w:r w:rsidR="004D744D" w:rsidRPr="001C46DF">
              <w:rPr>
                <w:sz w:val="21"/>
                <w:szCs w:val="22"/>
                <w:lang w:eastAsia="ja-JP"/>
              </w:rPr>
              <w:t xml:space="preserve">/kg </w:t>
            </w:r>
            <w:r>
              <w:rPr>
                <w:sz w:val="21"/>
                <w:szCs w:val="22"/>
                <w:lang w:eastAsia="ja-JP"/>
              </w:rPr>
              <w:t>OD IV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="00C02A27" w:rsidRPr="00ED12DB">
              <w:rPr>
                <w:b/>
                <w:sz w:val="21"/>
                <w:szCs w:val="22"/>
                <w:lang w:eastAsia="ja-JP"/>
              </w:rPr>
              <w:t>AND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</w:p>
          <w:p w14:paraId="514765B9" w14:textId="34AD30D1" w:rsidR="004D744D" w:rsidRPr="001C46DF" w:rsidRDefault="004D744D" w:rsidP="00361A99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Rifampicin 600</w:t>
            </w:r>
            <w:r w:rsidR="00693F64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mg</w:t>
            </w:r>
            <w:r w:rsidR="0028289F" w:rsidRPr="001C46DF">
              <w:rPr>
                <w:sz w:val="21"/>
                <w:szCs w:val="22"/>
                <w:lang w:eastAsia="ja-JP"/>
              </w:rPr>
              <w:t xml:space="preserve"> (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10</w:t>
            </w:r>
            <w:r w:rsidR="00693F64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28289F"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="0028289F" w:rsidRPr="001C46DF">
              <w:rPr>
                <w:sz w:val="21"/>
                <w:szCs w:val="22"/>
                <w:lang w:eastAsia="ja-JP"/>
              </w:rPr>
              <w:t>)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="00B01534" w:rsidRPr="001C46DF">
              <w:rPr>
                <w:sz w:val="21"/>
                <w:szCs w:val="22"/>
                <w:lang w:eastAsia="ja-JP"/>
              </w:rPr>
              <w:t xml:space="preserve">BD </w:t>
            </w:r>
            <w:r w:rsidR="00693F64">
              <w:rPr>
                <w:sz w:val="21"/>
                <w:szCs w:val="22"/>
                <w:lang w:eastAsia="ja-JP"/>
              </w:rPr>
              <w:t>PO</w:t>
            </w:r>
          </w:p>
        </w:tc>
      </w:tr>
    </w:tbl>
    <w:p w14:paraId="223B3F3B" w14:textId="77777777" w:rsidR="00B734CC" w:rsidRDefault="00B734CC"/>
    <w:p w14:paraId="64F7E314" w14:textId="77786B37" w:rsidR="00B734CC" w:rsidRPr="00B734CC" w:rsidRDefault="00693F64">
      <w:pPr>
        <w:rPr>
          <w:u w:val="single"/>
        </w:rPr>
      </w:pPr>
      <w:r w:rsidRPr="00B734CC">
        <w:rPr>
          <w:u w:val="single"/>
        </w:rPr>
        <w:t xml:space="preserve">Note </w:t>
      </w:r>
      <w:r w:rsidR="00B734CC" w:rsidRPr="00B734CC">
        <w:rPr>
          <w:u w:val="single"/>
        </w:rPr>
        <w:t>on usage of gentamicin for IE</w:t>
      </w:r>
    </w:p>
    <w:p w14:paraId="612EC72B" w14:textId="6B76CC37" w:rsidR="00C858FE" w:rsidRDefault="00F13E9D">
      <w:r>
        <w:t>T</w:t>
      </w:r>
      <w:r w:rsidR="00693F64">
        <w:t xml:space="preserve">he gentamicin dose is adjusted from </w:t>
      </w:r>
      <w:r>
        <w:t>UK</w:t>
      </w:r>
      <w:r w:rsidR="00693F64">
        <w:t xml:space="preserve"> guidelines</w:t>
      </w:r>
      <w:r>
        <w:t xml:space="preserve"> (but is consistent with US / European guidelines)</w:t>
      </w:r>
      <w:r w:rsidR="00693F64">
        <w:t xml:space="preserve"> because we do not have access to the therapeutic drug monitoring necessary to safely dose gentamicin in a more than OD regimen.</w:t>
      </w:r>
    </w:p>
    <w:p w14:paraId="018C7390" w14:textId="3D72B7D0" w:rsidR="00263E35" w:rsidRPr="001C46DF" w:rsidRDefault="00B24328">
      <w:r>
        <w:t>e</w:t>
      </w:r>
      <w:r w:rsidR="008D0F59">
        <w:t>GFR</w:t>
      </w:r>
      <w:r w:rsidR="00491CD4">
        <w:t xml:space="preserve"> must be calculated as soon as possible when gentamicin is started. If this is reduced below </w:t>
      </w:r>
      <w:r w:rsidR="00231196">
        <w:t>&lt;</w:t>
      </w:r>
      <w:r w:rsidR="00865108">
        <w:t xml:space="preserve"> </w:t>
      </w:r>
      <w:r w:rsidR="00231196">
        <w:t>50</w:t>
      </w:r>
      <w:r w:rsidR="00593A75">
        <w:t xml:space="preserve"> </w:t>
      </w:r>
      <w:r w:rsidR="00231196">
        <w:t>ml/min,</w:t>
      </w:r>
      <w:r w:rsidR="007C599D">
        <w:t xml:space="preserve"> then the dose of gentamicin should be reduced to </w:t>
      </w:r>
      <w:r w:rsidR="00865108">
        <w:t>by 50%</w:t>
      </w:r>
      <w:r w:rsidR="007C599D">
        <w:t xml:space="preserve">. </w:t>
      </w:r>
      <w:r w:rsidR="00092684">
        <w:t xml:space="preserve">All patients expected to receive gentamicin for more than 1 week must have their U&amp;Es checked 3 times per week and </w:t>
      </w:r>
      <w:r w:rsidR="00B734CC">
        <w:t xml:space="preserve">the gentamicin stopped as soon as there is any change in the </w:t>
      </w:r>
      <w:r w:rsidR="005D7A7E">
        <w:t>results.</w:t>
      </w:r>
    </w:p>
    <w:p w14:paraId="467B099B" w14:textId="77777777" w:rsidR="00793728" w:rsidRDefault="00793728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  <w:lang w:eastAsia="ja-JP"/>
        </w:rPr>
      </w:pPr>
      <w:r>
        <w:rPr>
          <w:lang w:eastAsia="ja-JP"/>
        </w:rPr>
        <w:br w:type="page"/>
      </w:r>
    </w:p>
    <w:p w14:paraId="5A9B951C" w14:textId="4AC0188F" w:rsidR="00174EC4" w:rsidRPr="00693F64" w:rsidRDefault="00174EC4" w:rsidP="00ED12DB">
      <w:pPr>
        <w:pStyle w:val="Heading3"/>
        <w:rPr>
          <w:lang w:eastAsia="ja-JP"/>
        </w:rPr>
      </w:pPr>
      <w:r w:rsidRPr="00693F64">
        <w:rPr>
          <w:lang w:eastAsia="ja-JP"/>
        </w:rPr>
        <w:lastRenderedPageBreak/>
        <w:t>Blood culture positive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1"/>
        <w:gridCol w:w="2552"/>
        <w:gridCol w:w="1135"/>
        <w:gridCol w:w="2554"/>
        <w:gridCol w:w="1135"/>
      </w:tblGrid>
      <w:tr w:rsidR="003939AC" w:rsidRPr="001C46DF" w14:paraId="7B1FF6DB" w14:textId="77777777" w:rsidTr="00A860C5">
        <w:tc>
          <w:tcPr>
            <w:tcW w:w="1691" w:type="dxa"/>
            <w:shd w:val="clear" w:color="auto" w:fill="D9D9D9" w:themeFill="background1" w:themeFillShade="D9"/>
          </w:tcPr>
          <w:p w14:paraId="1DB440DF" w14:textId="0DEC3E4B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</w:p>
        </w:tc>
        <w:tc>
          <w:tcPr>
            <w:tcW w:w="3687" w:type="dxa"/>
            <w:gridSpan w:val="2"/>
          </w:tcPr>
          <w:p w14:paraId="78A7B840" w14:textId="0C4A5BF1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>
              <w:rPr>
                <w:b/>
                <w:szCs w:val="22"/>
                <w:lang w:eastAsia="ja-JP"/>
              </w:rPr>
              <w:t>N</w:t>
            </w:r>
            <w:r w:rsidRPr="001C46DF">
              <w:rPr>
                <w:b/>
                <w:szCs w:val="22"/>
                <w:lang w:eastAsia="ja-JP"/>
              </w:rPr>
              <w:t>ative heart valve</w:t>
            </w:r>
          </w:p>
        </w:tc>
        <w:tc>
          <w:tcPr>
            <w:tcW w:w="3689" w:type="dxa"/>
            <w:gridSpan w:val="2"/>
          </w:tcPr>
          <w:p w14:paraId="24E83402" w14:textId="1BB5EA85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>
              <w:rPr>
                <w:b/>
                <w:szCs w:val="22"/>
                <w:lang w:eastAsia="ja-JP"/>
              </w:rPr>
              <w:t>P</w:t>
            </w:r>
            <w:r w:rsidRPr="001C46DF">
              <w:rPr>
                <w:b/>
                <w:szCs w:val="22"/>
                <w:lang w:eastAsia="ja-JP"/>
              </w:rPr>
              <w:t>rosthetic heart valve(s)</w:t>
            </w:r>
          </w:p>
        </w:tc>
      </w:tr>
      <w:tr w:rsidR="003939AC" w:rsidRPr="001C46DF" w14:paraId="0B67C916" w14:textId="77777777" w:rsidTr="00ED12DB">
        <w:tc>
          <w:tcPr>
            <w:tcW w:w="1691" w:type="dxa"/>
            <w:shd w:val="clear" w:color="auto" w:fill="D9D9D9" w:themeFill="background1" w:themeFillShade="D9"/>
          </w:tcPr>
          <w:p w14:paraId="5F4E71C1" w14:textId="3B1E72C0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Pathogen</w:t>
            </w:r>
          </w:p>
        </w:tc>
        <w:tc>
          <w:tcPr>
            <w:tcW w:w="2552" w:type="dxa"/>
          </w:tcPr>
          <w:p w14:paraId="5F6EE36F" w14:textId="18A09BC7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 xml:space="preserve">Dose </w:t>
            </w:r>
            <w:r w:rsidRPr="00ED12DB">
              <w:rPr>
                <w:szCs w:val="22"/>
                <w:lang w:eastAsia="ja-JP"/>
              </w:rPr>
              <w:t>(</w:t>
            </w:r>
            <w:proofErr w:type="spellStart"/>
            <w:r w:rsidRPr="00C02A27">
              <w:rPr>
                <w:i/>
                <w:sz w:val="21"/>
                <w:szCs w:val="22"/>
                <w:lang w:eastAsia="ja-JP"/>
              </w:rPr>
              <w:t>paediatric</w:t>
            </w:r>
            <w:proofErr w:type="spellEnd"/>
            <w:r>
              <w:rPr>
                <w:i/>
                <w:sz w:val="21"/>
                <w:szCs w:val="22"/>
                <w:lang w:eastAsia="ja-JP"/>
              </w:rPr>
              <w:t xml:space="preserve"> dosing)</w:t>
            </w:r>
            <w:r w:rsidRPr="00ED12DB">
              <w:rPr>
                <w:b/>
                <w:i/>
                <w:sz w:val="21"/>
                <w:szCs w:val="22"/>
                <w:lang w:eastAsia="ja-JP"/>
              </w:rPr>
              <w:t>)</w:t>
            </w:r>
          </w:p>
        </w:tc>
        <w:tc>
          <w:tcPr>
            <w:tcW w:w="1135" w:type="dxa"/>
          </w:tcPr>
          <w:p w14:paraId="3C180FDD" w14:textId="6484F237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Duration (weeks)</w:t>
            </w:r>
          </w:p>
        </w:tc>
        <w:tc>
          <w:tcPr>
            <w:tcW w:w="2554" w:type="dxa"/>
          </w:tcPr>
          <w:p w14:paraId="02255267" w14:textId="5B4D0869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 xml:space="preserve">Dose </w:t>
            </w:r>
            <w:proofErr w:type="spellStart"/>
            <w:r>
              <w:rPr>
                <w:i/>
                <w:sz w:val="21"/>
                <w:szCs w:val="22"/>
                <w:lang w:eastAsia="ja-JP"/>
              </w:rPr>
              <w:t>paediatric</w:t>
            </w:r>
            <w:proofErr w:type="spellEnd"/>
            <w:r>
              <w:rPr>
                <w:i/>
                <w:sz w:val="21"/>
                <w:szCs w:val="22"/>
                <w:lang w:eastAsia="ja-JP"/>
              </w:rPr>
              <w:t xml:space="preserve"> dosing</w:t>
            </w:r>
            <w:r w:rsidRPr="00ED12DB">
              <w:rPr>
                <w:b/>
                <w:i/>
                <w:sz w:val="21"/>
                <w:szCs w:val="22"/>
                <w:lang w:eastAsia="ja-JP"/>
              </w:rPr>
              <w:t>)</w:t>
            </w:r>
          </w:p>
        </w:tc>
        <w:tc>
          <w:tcPr>
            <w:tcW w:w="1135" w:type="dxa"/>
          </w:tcPr>
          <w:p w14:paraId="6CD6E6F9" w14:textId="5586CFF4" w:rsidR="003939AC" w:rsidRPr="00ED12DB" w:rsidRDefault="003939AC" w:rsidP="003939AC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Duration (week</w:t>
            </w:r>
            <w:r w:rsidR="003423A3">
              <w:rPr>
                <w:b/>
                <w:szCs w:val="22"/>
                <w:lang w:eastAsia="ja-JP"/>
              </w:rPr>
              <w:t>s</w:t>
            </w:r>
            <w:r w:rsidRPr="00ED12DB">
              <w:rPr>
                <w:b/>
                <w:szCs w:val="22"/>
                <w:lang w:eastAsia="ja-JP"/>
              </w:rPr>
              <w:t>)</w:t>
            </w:r>
          </w:p>
        </w:tc>
      </w:tr>
      <w:tr w:rsidR="003939AC" w:rsidRPr="001C46DF" w14:paraId="15296CF2" w14:textId="77777777" w:rsidTr="00ED12DB">
        <w:tc>
          <w:tcPr>
            <w:tcW w:w="1691" w:type="dxa"/>
            <w:shd w:val="clear" w:color="auto" w:fill="D9D9D9" w:themeFill="background1" w:themeFillShade="D9"/>
          </w:tcPr>
          <w:p w14:paraId="144E305D" w14:textId="2981A8AA" w:rsidR="003939AC" w:rsidRPr="001C46DF" w:rsidRDefault="003939AC" w:rsidP="003939AC">
            <w:pPr>
              <w:rPr>
                <w:i/>
                <w:sz w:val="21"/>
                <w:szCs w:val="22"/>
                <w:lang w:eastAsia="ja-JP"/>
              </w:rPr>
            </w:pPr>
            <w:proofErr w:type="spellStart"/>
            <w:proofErr w:type="gramStart"/>
            <w:r w:rsidRPr="001C46DF">
              <w:rPr>
                <w:i/>
                <w:sz w:val="21"/>
                <w:szCs w:val="22"/>
                <w:lang w:eastAsia="ja-JP"/>
              </w:rPr>
              <w:t>S.aureus</w:t>
            </w:r>
            <w:proofErr w:type="spellEnd"/>
            <w:proofErr w:type="gramEnd"/>
            <w:r w:rsidR="00141DD5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141DD5" w:rsidRPr="00141DD5">
              <w:rPr>
                <w:sz w:val="21"/>
                <w:szCs w:val="22"/>
                <w:lang w:eastAsia="ja-JP"/>
              </w:rPr>
              <w:t>(Methicillin sensitive)</w:t>
            </w:r>
          </w:p>
        </w:tc>
        <w:tc>
          <w:tcPr>
            <w:tcW w:w="2552" w:type="dxa"/>
          </w:tcPr>
          <w:p w14:paraId="16A21C8E" w14:textId="618F0922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Cloxacillin 2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g (</w:t>
            </w:r>
            <w:r w:rsidRPr="001C46DF">
              <w:rPr>
                <w:i/>
                <w:sz w:val="21"/>
                <w:szCs w:val="22"/>
                <w:lang w:eastAsia="ja-JP"/>
              </w:rPr>
              <w:t>50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</w:t>
            </w:r>
            <w:r>
              <w:rPr>
                <w:sz w:val="21"/>
                <w:szCs w:val="22"/>
                <w:lang w:eastAsia="ja-JP"/>
              </w:rPr>
              <w:t>QDS IV</w:t>
            </w:r>
          </w:p>
        </w:tc>
        <w:tc>
          <w:tcPr>
            <w:tcW w:w="1135" w:type="dxa"/>
          </w:tcPr>
          <w:p w14:paraId="642E32F9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</w:t>
            </w:r>
          </w:p>
        </w:tc>
        <w:tc>
          <w:tcPr>
            <w:tcW w:w="2554" w:type="dxa"/>
          </w:tcPr>
          <w:p w14:paraId="5B666DEC" w14:textId="0732A50D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Cloxacillin 2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g (</w:t>
            </w:r>
            <w:r w:rsidRPr="001C46DF">
              <w:rPr>
                <w:i/>
                <w:sz w:val="21"/>
                <w:szCs w:val="22"/>
                <w:lang w:eastAsia="ja-JP"/>
              </w:rPr>
              <w:t>50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</w:t>
            </w:r>
            <w:r>
              <w:rPr>
                <w:sz w:val="21"/>
                <w:szCs w:val="22"/>
                <w:lang w:eastAsia="ja-JP"/>
              </w:rPr>
              <w:t>QDS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ED12DB">
              <w:rPr>
                <w:b/>
                <w:sz w:val="21"/>
                <w:szCs w:val="22"/>
                <w:lang w:eastAsia="ja-JP"/>
              </w:rPr>
              <w:t>AND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</w:p>
          <w:p w14:paraId="0393CD0E" w14:textId="3CF292C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Rifampicin 600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mg (</w:t>
            </w:r>
            <w:r w:rsidRPr="001C46DF">
              <w:rPr>
                <w:i/>
                <w:sz w:val="21"/>
                <w:szCs w:val="22"/>
                <w:lang w:eastAsia="ja-JP"/>
              </w:rPr>
              <w:t>10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BD </w:t>
            </w:r>
            <w:r>
              <w:rPr>
                <w:sz w:val="21"/>
                <w:szCs w:val="22"/>
                <w:lang w:eastAsia="ja-JP"/>
              </w:rPr>
              <w:t>PO</w:t>
            </w:r>
          </w:p>
        </w:tc>
        <w:tc>
          <w:tcPr>
            <w:tcW w:w="1135" w:type="dxa"/>
          </w:tcPr>
          <w:p w14:paraId="582E4F27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6</w:t>
            </w:r>
          </w:p>
          <w:p w14:paraId="039F666F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6</w:t>
            </w:r>
          </w:p>
        </w:tc>
      </w:tr>
      <w:tr w:rsidR="0068578E" w:rsidRPr="001C46DF" w14:paraId="5D26D59B" w14:textId="77777777" w:rsidTr="00D5293C">
        <w:tc>
          <w:tcPr>
            <w:tcW w:w="1691" w:type="dxa"/>
            <w:shd w:val="clear" w:color="auto" w:fill="D9D9D9" w:themeFill="background1" w:themeFillShade="D9"/>
          </w:tcPr>
          <w:p w14:paraId="16F43CBD" w14:textId="6784FB11" w:rsidR="0068578E" w:rsidRPr="00141DD5" w:rsidRDefault="0068578E" w:rsidP="003939AC">
            <w:pPr>
              <w:rPr>
                <w:sz w:val="21"/>
                <w:szCs w:val="22"/>
                <w:lang w:eastAsia="ja-JP"/>
              </w:rPr>
            </w:pPr>
            <w:r w:rsidRPr="00141DD5">
              <w:rPr>
                <w:sz w:val="21"/>
                <w:szCs w:val="22"/>
                <w:lang w:eastAsia="ja-JP"/>
              </w:rPr>
              <w:t>MRSA</w:t>
            </w:r>
          </w:p>
        </w:tc>
        <w:tc>
          <w:tcPr>
            <w:tcW w:w="6241" w:type="dxa"/>
            <w:gridSpan w:val="3"/>
          </w:tcPr>
          <w:p w14:paraId="4BED377A" w14:textId="79C53D0E" w:rsidR="0068578E" w:rsidRPr="001C46DF" w:rsidRDefault="0068578E" w:rsidP="003939AC">
            <w:pPr>
              <w:rPr>
                <w:sz w:val="21"/>
                <w:szCs w:val="22"/>
                <w:lang w:eastAsia="ja-JP"/>
              </w:rPr>
            </w:pPr>
            <w:r>
              <w:rPr>
                <w:sz w:val="21"/>
                <w:szCs w:val="22"/>
                <w:lang w:eastAsia="ja-JP"/>
              </w:rPr>
              <w:t xml:space="preserve">Requires vancomycin or teicoplanin and </w:t>
            </w:r>
            <w:proofErr w:type="spellStart"/>
            <w:r>
              <w:rPr>
                <w:sz w:val="21"/>
                <w:szCs w:val="22"/>
                <w:lang w:eastAsia="ja-JP"/>
              </w:rPr>
              <w:t>rifamipicin</w:t>
            </w:r>
            <w:proofErr w:type="spellEnd"/>
            <w:r>
              <w:rPr>
                <w:sz w:val="21"/>
                <w:szCs w:val="22"/>
                <w:lang w:eastAsia="ja-JP"/>
              </w:rPr>
              <w:t>. Would be very difficult to treat in our setting.</w:t>
            </w:r>
          </w:p>
        </w:tc>
        <w:tc>
          <w:tcPr>
            <w:tcW w:w="1135" w:type="dxa"/>
          </w:tcPr>
          <w:p w14:paraId="667622ED" w14:textId="77777777" w:rsidR="0068578E" w:rsidRPr="001C46DF" w:rsidRDefault="0068578E" w:rsidP="003939AC">
            <w:pPr>
              <w:rPr>
                <w:sz w:val="21"/>
                <w:szCs w:val="22"/>
                <w:lang w:eastAsia="ja-JP"/>
              </w:rPr>
            </w:pPr>
          </w:p>
        </w:tc>
      </w:tr>
      <w:tr w:rsidR="003939AC" w:rsidRPr="001C46DF" w14:paraId="3EA53A50" w14:textId="77777777" w:rsidTr="00ED12DB">
        <w:tc>
          <w:tcPr>
            <w:tcW w:w="1691" w:type="dxa"/>
            <w:shd w:val="clear" w:color="auto" w:fill="D9D9D9" w:themeFill="background1" w:themeFillShade="D9"/>
          </w:tcPr>
          <w:p w14:paraId="7145315D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i/>
                <w:sz w:val="21"/>
                <w:szCs w:val="22"/>
                <w:lang w:eastAsia="ja-JP"/>
              </w:rPr>
              <w:t>Streptococcus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proofErr w:type="spellStart"/>
            <w:r w:rsidRPr="001C46DF">
              <w:rPr>
                <w:sz w:val="21"/>
                <w:szCs w:val="22"/>
                <w:lang w:eastAsia="ja-JP"/>
              </w:rPr>
              <w:t>spp</w:t>
            </w:r>
            <w:proofErr w:type="spellEnd"/>
          </w:p>
        </w:tc>
        <w:tc>
          <w:tcPr>
            <w:tcW w:w="6241" w:type="dxa"/>
            <w:gridSpan w:val="3"/>
          </w:tcPr>
          <w:p w14:paraId="0683B87F" w14:textId="40F5B8D4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Benzylpenicillin 2.4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g (</w:t>
            </w:r>
            <w:r w:rsidRPr="001C46DF">
              <w:rPr>
                <w:i/>
                <w:sz w:val="21"/>
                <w:szCs w:val="22"/>
                <w:lang w:eastAsia="ja-JP"/>
              </w:rPr>
              <w:t>35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q4h </w:t>
            </w:r>
            <w:r>
              <w:rPr>
                <w:sz w:val="21"/>
                <w:szCs w:val="22"/>
                <w:lang w:eastAsia="ja-JP"/>
              </w:rPr>
              <w:t>IV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ED12DB">
              <w:rPr>
                <w:b/>
                <w:sz w:val="21"/>
                <w:szCs w:val="22"/>
                <w:lang w:eastAsia="ja-JP"/>
              </w:rPr>
              <w:t>AND</w:t>
            </w:r>
          </w:p>
          <w:p w14:paraId="06498F6C" w14:textId="090B619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 w:rsidR="006B7DA0">
              <w:rPr>
                <w:sz w:val="21"/>
                <w:szCs w:val="22"/>
                <w:lang w:eastAsia="ja-JP"/>
              </w:rPr>
              <w:t>3</w:t>
            </w:r>
            <w:r w:rsidR="006A0573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 xml:space="preserve">mg/kg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</w:p>
        </w:tc>
        <w:tc>
          <w:tcPr>
            <w:tcW w:w="1135" w:type="dxa"/>
          </w:tcPr>
          <w:p w14:paraId="4F0FC6F3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4-6</w:t>
            </w:r>
          </w:p>
          <w:p w14:paraId="2B503245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2</w:t>
            </w:r>
          </w:p>
        </w:tc>
      </w:tr>
      <w:tr w:rsidR="003939AC" w:rsidRPr="001C46DF" w14:paraId="1A1AE5B7" w14:textId="77777777" w:rsidTr="00ED12DB">
        <w:tc>
          <w:tcPr>
            <w:tcW w:w="1691" w:type="dxa"/>
            <w:shd w:val="clear" w:color="auto" w:fill="D9D9D9" w:themeFill="background1" w:themeFillShade="D9"/>
          </w:tcPr>
          <w:p w14:paraId="63BAE035" w14:textId="77777777" w:rsidR="003939AC" w:rsidRPr="001C46DF" w:rsidRDefault="003939AC" w:rsidP="003939AC">
            <w:pPr>
              <w:rPr>
                <w:i/>
                <w:sz w:val="21"/>
                <w:szCs w:val="22"/>
                <w:lang w:eastAsia="ja-JP"/>
              </w:rPr>
            </w:pPr>
            <w:r w:rsidRPr="001C46DF">
              <w:rPr>
                <w:i/>
                <w:sz w:val="21"/>
                <w:szCs w:val="22"/>
                <w:lang w:eastAsia="ja-JP"/>
              </w:rPr>
              <w:t>Enterococcus</w:t>
            </w:r>
          </w:p>
        </w:tc>
        <w:tc>
          <w:tcPr>
            <w:tcW w:w="6241" w:type="dxa"/>
            <w:gridSpan w:val="3"/>
          </w:tcPr>
          <w:p w14:paraId="13384698" w14:textId="4B4C762E" w:rsidR="003939AC" w:rsidRPr="001C46DF" w:rsidRDefault="006A0573" w:rsidP="003939AC">
            <w:pPr>
              <w:rPr>
                <w:sz w:val="21"/>
                <w:szCs w:val="22"/>
                <w:lang w:eastAsia="ja-JP"/>
              </w:rPr>
            </w:pPr>
            <w:r>
              <w:rPr>
                <w:sz w:val="21"/>
                <w:szCs w:val="22"/>
                <w:lang w:eastAsia="ja-JP"/>
              </w:rPr>
              <w:t>Ampicillin 2</w:t>
            </w:r>
            <w:r w:rsidR="003939AC">
              <w:rPr>
                <w:sz w:val="21"/>
                <w:szCs w:val="22"/>
                <w:lang w:eastAsia="ja-JP"/>
              </w:rPr>
              <w:t xml:space="preserve"> </w:t>
            </w:r>
            <w:r w:rsidR="003939AC" w:rsidRPr="001C46DF">
              <w:rPr>
                <w:sz w:val="21"/>
                <w:szCs w:val="22"/>
                <w:lang w:eastAsia="ja-JP"/>
              </w:rPr>
              <w:t>g (</w:t>
            </w:r>
            <w:r w:rsidR="003939AC" w:rsidRPr="001C46DF">
              <w:rPr>
                <w:i/>
                <w:sz w:val="21"/>
                <w:szCs w:val="22"/>
                <w:lang w:eastAsia="ja-JP"/>
              </w:rPr>
              <w:t>3</w:t>
            </w:r>
            <w:r>
              <w:rPr>
                <w:i/>
                <w:sz w:val="21"/>
                <w:szCs w:val="22"/>
                <w:lang w:eastAsia="ja-JP"/>
              </w:rPr>
              <w:t>0</w:t>
            </w:r>
            <w:r w:rsidR="003939AC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3939AC"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="003939AC" w:rsidRPr="001C46DF">
              <w:rPr>
                <w:sz w:val="21"/>
                <w:szCs w:val="22"/>
                <w:lang w:eastAsia="ja-JP"/>
              </w:rPr>
              <w:t xml:space="preserve">) q4h </w:t>
            </w:r>
            <w:r w:rsidR="003939AC">
              <w:rPr>
                <w:sz w:val="21"/>
                <w:szCs w:val="22"/>
                <w:lang w:eastAsia="ja-JP"/>
              </w:rPr>
              <w:t>IV</w:t>
            </w:r>
            <w:r w:rsidR="003939AC" w:rsidRPr="001C46DF">
              <w:rPr>
                <w:sz w:val="21"/>
                <w:szCs w:val="22"/>
                <w:lang w:eastAsia="ja-JP"/>
              </w:rPr>
              <w:t xml:space="preserve"> </w:t>
            </w:r>
            <w:r w:rsidR="003939AC" w:rsidRPr="00ED12DB">
              <w:rPr>
                <w:b/>
                <w:sz w:val="21"/>
                <w:szCs w:val="22"/>
                <w:lang w:eastAsia="ja-JP"/>
              </w:rPr>
              <w:t>AND</w:t>
            </w:r>
          </w:p>
          <w:p w14:paraId="70F8F9ED" w14:textId="4544C00C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 w:rsidR="008330F7">
              <w:rPr>
                <w:sz w:val="21"/>
                <w:szCs w:val="22"/>
                <w:lang w:eastAsia="ja-JP"/>
              </w:rPr>
              <w:t xml:space="preserve">3 </w:t>
            </w:r>
            <w:r w:rsidRPr="001C46DF">
              <w:rPr>
                <w:sz w:val="21"/>
                <w:szCs w:val="22"/>
                <w:lang w:eastAsia="ja-JP"/>
              </w:rPr>
              <w:t xml:space="preserve">mg/kg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</w:p>
        </w:tc>
        <w:tc>
          <w:tcPr>
            <w:tcW w:w="1135" w:type="dxa"/>
          </w:tcPr>
          <w:p w14:paraId="1A98E898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4-6</w:t>
            </w:r>
          </w:p>
          <w:p w14:paraId="771FCD7B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4-6</w:t>
            </w:r>
          </w:p>
        </w:tc>
      </w:tr>
      <w:tr w:rsidR="003939AC" w:rsidRPr="001C46DF" w14:paraId="113DDEC0" w14:textId="77777777" w:rsidTr="00ED12DB">
        <w:tc>
          <w:tcPr>
            <w:tcW w:w="1691" w:type="dxa"/>
            <w:shd w:val="clear" w:color="auto" w:fill="D9D9D9" w:themeFill="background1" w:themeFillShade="D9"/>
          </w:tcPr>
          <w:p w14:paraId="14EB650A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HACEK</w:t>
            </w:r>
          </w:p>
        </w:tc>
        <w:tc>
          <w:tcPr>
            <w:tcW w:w="6241" w:type="dxa"/>
            <w:gridSpan w:val="3"/>
          </w:tcPr>
          <w:p w14:paraId="258FF605" w14:textId="13B98181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Ceftriaxone 2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g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(</w:t>
            </w:r>
            <w:r w:rsidRPr="001C46DF">
              <w:rPr>
                <w:i/>
                <w:sz w:val="21"/>
                <w:szCs w:val="22"/>
                <w:lang w:eastAsia="ja-JP"/>
              </w:rPr>
              <w:t>80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ED12DB">
              <w:rPr>
                <w:b/>
                <w:sz w:val="21"/>
                <w:szCs w:val="22"/>
                <w:lang w:eastAsia="ja-JP"/>
              </w:rPr>
              <w:t>AND</w:t>
            </w:r>
          </w:p>
          <w:p w14:paraId="1EDDD8F0" w14:textId="54FE81ED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 w:rsidR="006B7DA0">
              <w:rPr>
                <w:sz w:val="21"/>
                <w:szCs w:val="22"/>
                <w:lang w:eastAsia="ja-JP"/>
              </w:rPr>
              <w:t>3</w:t>
            </w:r>
            <w:r w:rsidR="006A0573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 xml:space="preserve">mg/kg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</w:p>
        </w:tc>
        <w:tc>
          <w:tcPr>
            <w:tcW w:w="1135" w:type="dxa"/>
          </w:tcPr>
          <w:p w14:paraId="3FD82EBA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4-6</w:t>
            </w:r>
          </w:p>
          <w:p w14:paraId="6385709B" w14:textId="77777777" w:rsidR="003939AC" w:rsidRPr="001C46DF" w:rsidRDefault="003939AC" w:rsidP="003939AC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2</w:t>
            </w:r>
          </w:p>
        </w:tc>
      </w:tr>
    </w:tbl>
    <w:p w14:paraId="0D972992" w14:textId="77777777" w:rsidR="004968BC" w:rsidRPr="001C46DF" w:rsidRDefault="004968BC" w:rsidP="00F03F25">
      <w:pPr>
        <w:rPr>
          <w:szCs w:val="22"/>
          <w:lang w:eastAsia="ja-JP"/>
        </w:rPr>
      </w:pPr>
    </w:p>
    <w:p w14:paraId="7B2273E4" w14:textId="7D67E5F2" w:rsidR="00174EC4" w:rsidRDefault="00174EC4" w:rsidP="00ED12DB">
      <w:pPr>
        <w:pStyle w:val="Heading3"/>
        <w:rPr>
          <w:lang w:eastAsia="ja-JP"/>
        </w:rPr>
      </w:pPr>
      <w:r w:rsidRPr="001C46DF">
        <w:rPr>
          <w:lang w:eastAsia="ja-JP"/>
        </w:rPr>
        <w:t>Blood culture negative</w:t>
      </w:r>
    </w:p>
    <w:p w14:paraId="15ED7FAF" w14:textId="32A9BEBD" w:rsidR="00CC4A27" w:rsidRPr="00CC4A27" w:rsidRDefault="00D82E27" w:rsidP="00CC4A27">
      <w:pPr>
        <w:rPr>
          <w:lang w:eastAsia="ja-JP"/>
        </w:rPr>
      </w:pPr>
      <w:r>
        <w:rPr>
          <w:lang w:eastAsia="ja-JP"/>
        </w:rPr>
        <w:t xml:space="preserve">It is not possible to distinguish between different causes of blood culture negative IE in our setting. Therefore, empiric treatment is used as below where </w:t>
      </w:r>
      <w:r w:rsidR="0048600D">
        <w:rPr>
          <w:lang w:eastAsia="ja-JP"/>
        </w:rPr>
        <w:t xml:space="preserve">good quality blood cultures taken before antibiotic therapy are negative and there is suspicion of possible infection with </w:t>
      </w:r>
      <w:r w:rsidR="0048600D" w:rsidRPr="0048600D">
        <w:rPr>
          <w:i/>
          <w:lang w:eastAsia="ja-JP"/>
        </w:rPr>
        <w:t>Brucella</w:t>
      </w:r>
      <w:r w:rsidR="0048600D">
        <w:rPr>
          <w:lang w:eastAsia="ja-JP"/>
        </w:rPr>
        <w:t xml:space="preserve">, </w:t>
      </w:r>
      <w:r w:rsidR="0048600D" w:rsidRPr="0048600D">
        <w:rPr>
          <w:i/>
          <w:lang w:eastAsia="ja-JP"/>
        </w:rPr>
        <w:t>Coxiella burnetii</w:t>
      </w:r>
      <w:r w:rsidR="0048600D">
        <w:rPr>
          <w:lang w:eastAsia="ja-JP"/>
        </w:rPr>
        <w:t xml:space="preserve"> or </w:t>
      </w:r>
      <w:r w:rsidR="0048600D" w:rsidRPr="0048600D">
        <w:rPr>
          <w:i/>
          <w:lang w:eastAsia="ja-JP"/>
        </w:rPr>
        <w:t>Bartonella</w:t>
      </w:r>
      <w:r w:rsidR="0048600D">
        <w:rPr>
          <w:lang w:eastAsia="ja-JP"/>
        </w:rPr>
        <w:t xml:space="preserve">. </w:t>
      </w:r>
      <w:r w:rsidR="00865108">
        <w:rPr>
          <w:lang w:eastAsia="ja-JP"/>
        </w:rPr>
        <w:t>Specialist advice should be sought about this as soon as possible.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693"/>
        <w:gridCol w:w="6239"/>
        <w:gridCol w:w="1135"/>
      </w:tblGrid>
      <w:tr w:rsidR="003423A3" w:rsidRPr="00C02A27" w14:paraId="01590221" w14:textId="77777777" w:rsidTr="003423A3">
        <w:tc>
          <w:tcPr>
            <w:tcW w:w="1693" w:type="dxa"/>
            <w:shd w:val="clear" w:color="auto" w:fill="D9D9D9" w:themeFill="background1" w:themeFillShade="D9"/>
          </w:tcPr>
          <w:p w14:paraId="73C4F852" w14:textId="77777777" w:rsidR="003423A3" w:rsidRPr="00ED12DB" w:rsidRDefault="003423A3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Agent</w:t>
            </w:r>
          </w:p>
        </w:tc>
        <w:tc>
          <w:tcPr>
            <w:tcW w:w="6239" w:type="dxa"/>
          </w:tcPr>
          <w:p w14:paraId="5607D08D" w14:textId="7FD8C4D0" w:rsidR="003423A3" w:rsidRPr="00ED12DB" w:rsidRDefault="003423A3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 xml:space="preserve">Dose </w:t>
            </w:r>
            <w:r w:rsidR="00865108" w:rsidRPr="006D120E">
              <w:rPr>
                <w:szCs w:val="22"/>
                <w:lang w:eastAsia="ja-JP"/>
              </w:rPr>
              <w:t>(</w:t>
            </w:r>
            <w:proofErr w:type="spellStart"/>
            <w:r w:rsidR="00865108" w:rsidRPr="00C02A27">
              <w:rPr>
                <w:i/>
                <w:sz w:val="21"/>
                <w:szCs w:val="22"/>
                <w:lang w:eastAsia="ja-JP"/>
              </w:rPr>
              <w:t>paediatric</w:t>
            </w:r>
            <w:proofErr w:type="spellEnd"/>
            <w:r w:rsidR="00865108">
              <w:rPr>
                <w:i/>
                <w:sz w:val="21"/>
                <w:szCs w:val="22"/>
                <w:lang w:eastAsia="ja-JP"/>
              </w:rPr>
              <w:t xml:space="preserve"> dosing)</w:t>
            </w:r>
          </w:p>
        </w:tc>
        <w:tc>
          <w:tcPr>
            <w:tcW w:w="1135" w:type="dxa"/>
          </w:tcPr>
          <w:p w14:paraId="04D88452" w14:textId="3863537E" w:rsidR="003423A3" w:rsidRPr="00ED12DB" w:rsidRDefault="003423A3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Duration (week</w:t>
            </w:r>
            <w:r>
              <w:rPr>
                <w:b/>
                <w:szCs w:val="22"/>
                <w:lang w:eastAsia="ja-JP"/>
              </w:rPr>
              <w:t>s</w:t>
            </w:r>
            <w:r w:rsidRPr="00ED12DB">
              <w:rPr>
                <w:b/>
                <w:szCs w:val="22"/>
                <w:lang w:eastAsia="ja-JP"/>
              </w:rPr>
              <w:t>)</w:t>
            </w:r>
          </w:p>
        </w:tc>
      </w:tr>
      <w:tr w:rsidR="004D113D" w:rsidRPr="001C46DF" w14:paraId="13CDF3FA" w14:textId="77777777" w:rsidTr="003423A3">
        <w:tc>
          <w:tcPr>
            <w:tcW w:w="1693" w:type="dxa"/>
            <w:shd w:val="clear" w:color="auto" w:fill="D9D9D9" w:themeFill="background1" w:themeFillShade="D9"/>
          </w:tcPr>
          <w:p w14:paraId="5E17C7BE" w14:textId="3940CF51" w:rsidR="004D113D" w:rsidRPr="00865108" w:rsidRDefault="00865108" w:rsidP="0057173A">
            <w:pPr>
              <w:rPr>
                <w:sz w:val="21"/>
                <w:szCs w:val="22"/>
                <w:lang w:eastAsia="ja-JP"/>
              </w:rPr>
            </w:pPr>
            <w:r w:rsidRPr="00865108">
              <w:rPr>
                <w:sz w:val="21"/>
                <w:szCs w:val="22"/>
                <w:lang w:eastAsia="ja-JP"/>
              </w:rPr>
              <w:t xml:space="preserve">Empiric </w:t>
            </w:r>
          </w:p>
        </w:tc>
        <w:tc>
          <w:tcPr>
            <w:tcW w:w="6239" w:type="dxa"/>
          </w:tcPr>
          <w:p w14:paraId="4318D3A1" w14:textId="3FC842AD" w:rsidR="00A329C3" w:rsidRDefault="004D113D" w:rsidP="0057173A">
            <w:pPr>
              <w:rPr>
                <w:b/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Doxycycline 200</w:t>
            </w:r>
            <w:r w:rsidR="00C02A27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 xml:space="preserve">mg </w:t>
            </w:r>
            <w:r w:rsidR="00D779AD" w:rsidRPr="001C46DF">
              <w:rPr>
                <w:sz w:val="21"/>
                <w:szCs w:val="22"/>
                <w:lang w:eastAsia="ja-JP"/>
              </w:rPr>
              <w:t>(</w:t>
            </w:r>
            <w:r w:rsidR="00D779AD" w:rsidRPr="001C46DF">
              <w:rPr>
                <w:i/>
                <w:sz w:val="21"/>
                <w:szCs w:val="22"/>
                <w:lang w:eastAsia="ja-JP"/>
              </w:rPr>
              <w:t>4.4</w:t>
            </w:r>
            <w:r w:rsidR="00C02A27">
              <w:rPr>
                <w:i/>
                <w:sz w:val="21"/>
                <w:szCs w:val="22"/>
                <w:lang w:eastAsia="ja-JP"/>
              </w:rPr>
              <w:t xml:space="preserve"> </w:t>
            </w:r>
            <w:r w:rsidR="00D779AD"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="00D779AD" w:rsidRPr="001C46DF">
              <w:rPr>
                <w:sz w:val="21"/>
                <w:szCs w:val="22"/>
                <w:lang w:eastAsia="ja-JP"/>
              </w:rPr>
              <w:t xml:space="preserve">) </w:t>
            </w:r>
            <w:r w:rsidR="0028289F" w:rsidRPr="001C46DF">
              <w:rPr>
                <w:sz w:val="21"/>
                <w:szCs w:val="22"/>
                <w:lang w:eastAsia="ja-JP"/>
              </w:rPr>
              <w:t>O</w:t>
            </w:r>
            <w:r w:rsidRPr="001C46DF">
              <w:rPr>
                <w:sz w:val="21"/>
                <w:szCs w:val="22"/>
                <w:lang w:eastAsia="ja-JP"/>
              </w:rPr>
              <w:t xml:space="preserve">D </w:t>
            </w:r>
            <w:r w:rsidR="00C02A27">
              <w:rPr>
                <w:sz w:val="21"/>
                <w:szCs w:val="22"/>
                <w:lang w:eastAsia="ja-JP"/>
              </w:rPr>
              <w:t>PO</w:t>
            </w:r>
            <w:r w:rsidR="00C02A27"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ED12DB">
              <w:rPr>
                <w:b/>
                <w:sz w:val="21"/>
                <w:szCs w:val="22"/>
                <w:lang w:eastAsia="ja-JP"/>
              </w:rPr>
              <w:t>AND</w:t>
            </w:r>
          </w:p>
          <w:p w14:paraId="736D7DC5" w14:textId="77777777" w:rsidR="00A329C3" w:rsidRPr="001C46DF" w:rsidRDefault="00A329C3" w:rsidP="00A329C3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Ceftriaxone 2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g</w:t>
            </w:r>
            <w:r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>(</w:t>
            </w:r>
            <w:r w:rsidRPr="001C46DF">
              <w:rPr>
                <w:i/>
                <w:sz w:val="21"/>
                <w:szCs w:val="22"/>
                <w:lang w:eastAsia="ja-JP"/>
              </w:rPr>
              <w:t>80</w:t>
            </w:r>
            <w:r>
              <w:rPr>
                <w:i/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i/>
                <w:sz w:val="21"/>
                <w:szCs w:val="22"/>
                <w:lang w:eastAsia="ja-JP"/>
              </w:rPr>
              <w:t>mg/kg</w:t>
            </w:r>
            <w:r w:rsidRPr="001C46DF">
              <w:rPr>
                <w:sz w:val="21"/>
                <w:szCs w:val="22"/>
                <w:lang w:eastAsia="ja-JP"/>
              </w:rPr>
              <w:t xml:space="preserve">) </w:t>
            </w:r>
            <w:r>
              <w:rPr>
                <w:sz w:val="21"/>
                <w:szCs w:val="22"/>
                <w:lang w:eastAsia="ja-JP"/>
              </w:rPr>
              <w:t>OD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>
              <w:rPr>
                <w:sz w:val="21"/>
                <w:szCs w:val="22"/>
                <w:lang w:eastAsia="ja-JP"/>
              </w:rPr>
              <w:t>IV</w:t>
            </w:r>
            <w:r w:rsidRPr="001C46DF">
              <w:rPr>
                <w:sz w:val="21"/>
                <w:szCs w:val="22"/>
                <w:lang w:eastAsia="ja-JP"/>
              </w:rPr>
              <w:t xml:space="preserve"> </w:t>
            </w:r>
            <w:r w:rsidRPr="00ED12DB">
              <w:rPr>
                <w:b/>
                <w:sz w:val="21"/>
                <w:szCs w:val="22"/>
                <w:lang w:eastAsia="ja-JP"/>
              </w:rPr>
              <w:t>AND</w:t>
            </w:r>
          </w:p>
          <w:p w14:paraId="073467F2" w14:textId="73B89A54" w:rsidR="00A329C3" w:rsidRPr="001C46DF" w:rsidRDefault="004D113D" w:rsidP="0057173A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Gentam</w:t>
            </w:r>
            <w:r w:rsidR="00C02A27">
              <w:rPr>
                <w:sz w:val="21"/>
                <w:szCs w:val="22"/>
                <w:lang w:eastAsia="ja-JP"/>
              </w:rPr>
              <w:t>i</w:t>
            </w:r>
            <w:r w:rsidRPr="001C46DF">
              <w:rPr>
                <w:sz w:val="21"/>
                <w:szCs w:val="22"/>
                <w:lang w:eastAsia="ja-JP"/>
              </w:rPr>
              <w:t xml:space="preserve">cin </w:t>
            </w:r>
            <w:r w:rsidR="00D6377F">
              <w:rPr>
                <w:sz w:val="21"/>
                <w:szCs w:val="22"/>
                <w:lang w:eastAsia="ja-JP"/>
              </w:rPr>
              <w:t>3</w:t>
            </w:r>
            <w:r w:rsidR="00C02A27">
              <w:rPr>
                <w:sz w:val="21"/>
                <w:szCs w:val="22"/>
                <w:lang w:eastAsia="ja-JP"/>
              </w:rPr>
              <w:t xml:space="preserve"> </w:t>
            </w:r>
            <w:r w:rsidRPr="001C46DF">
              <w:rPr>
                <w:sz w:val="21"/>
                <w:szCs w:val="22"/>
                <w:lang w:eastAsia="ja-JP"/>
              </w:rPr>
              <w:t xml:space="preserve">mg/kg </w:t>
            </w:r>
            <w:r w:rsidR="00C02A27">
              <w:rPr>
                <w:sz w:val="21"/>
                <w:szCs w:val="22"/>
                <w:lang w:eastAsia="ja-JP"/>
              </w:rPr>
              <w:t>OD</w:t>
            </w:r>
            <w:r w:rsidR="00C02A27" w:rsidRPr="001C46DF">
              <w:rPr>
                <w:sz w:val="21"/>
                <w:szCs w:val="22"/>
                <w:lang w:eastAsia="ja-JP"/>
              </w:rPr>
              <w:t xml:space="preserve"> </w:t>
            </w:r>
            <w:r w:rsidR="00C02A27">
              <w:rPr>
                <w:sz w:val="21"/>
                <w:szCs w:val="22"/>
                <w:lang w:eastAsia="ja-JP"/>
              </w:rPr>
              <w:t>IV</w:t>
            </w:r>
          </w:p>
        </w:tc>
        <w:tc>
          <w:tcPr>
            <w:tcW w:w="1135" w:type="dxa"/>
          </w:tcPr>
          <w:p w14:paraId="00846CF5" w14:textId="1E981B88" w:rsidR="004D113D" w:rsidRPr="001C46DF" w:rsidRDefault="004D113D" w:rsidP="0057173A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6</w:t>
            </w:r>
            <w:r w:rsidR="00E80A7E">
              <w:rPr>
                <w:sz w:val="21"/>
                <w:szCs w:val="22"/>
                <w:lang w:eastAsia="ja-JP"/>
              </w:rPr>
              <w:t xml:space="preserve"> (may need to be longer)</w:t>
            </w:r>
          </w:p>
          <w:p w14:paraId="7354B5C3" w14:textId="77777777" w:rsidR="004D113D" w:rsidRPr="001C46DF" w:rsidRDefault="004D113D" w:rsidP="0057173A">
            <w:pPr>
              <w:rPr>
                <w:sz w:val="21"/>
                <w:szCs w:val="22"/>
                <w:lang w:eastAsia="ja-JP"/>
              </w:rPr>
            </w:pPr>
            <w:r w:rsidRPr="001C46DF">
              <w:rPr>
                <w:sz w:val="21"/>
                <w:szCs w:val="22"/>
                <w:lang w:eastAsia="ja-JP"/>
              </w:rPr>
              <w:t>4</w:t>
            </w:r>
          </w:p>
        </w:tc>
      </w:tr>
    </w:tbl>
    <w:p w14:paraId="5F157FAE" w14:textId="77777777" w:rsidR="0061100B" w:rsidRPr="001C46DF" w:rsidRDefault="00C02A27" w:rsidP="00F03F25">
      <w:pPr>
        <w:rPr>
          <w:szCs w:val="22"/>
          <w:lang w:eastAsia="ja-JP"/>
        </w:rPr>
      </w:pPr>
      <w:r>
        <w:rPr>
          <w:szCs w:val="22"/>
          <w:lang w:eastAsia="ja-JP"/>
        </w:rPr>
        <w:t xml:space="preserve">Note doxycycline cannot be used below the age of 12 years. </w:t>
      </w:r>
    </w:p>
    <w:p w14:paraId="5A0AB2C8" w14:textId="77777777" w:rsidR="00E80A7E" w:rsidRDefault="00E80A7E">
      <w:pPr>
        <w:spacing w:after="0"/>
        <w:outlineLvl w:val="9"/>
        <w:rPr>
          <w:rFonts w:eastAsia="Times New Roman" w:cs="Times New Roman"/>
          <w:b/>
          <w:bCs/>
          <w:szCs w:val="26"/>
          <w:u w:val="single"/>
          <w:lang w:eastAsia="ja-JP"/>
        </w:rPr>
      </w:pPr>
      <w:r>
        <w:rPr>
          <w:lang w:eastAsia="ja-JP"/>
        </w:rPr>
        <w:br w:type="page"/>
      </w:r>
    </w:p>
    <w:p w14:paraId="56D02973" w14:textId="4C650201" w:rsidR="001F56F7" w:rsidRPr="001C46DF" w:rsidRDefault="001F56F7" w:rsidP="00ED12DB">
      <w:pPr>
        <w:pStyle w:val="Heading3"/>
        <w:rPr>
          <w:lang w:eastAsia="ja-JP"/>
        </w:rPr>
      </w:pPr>
      <w:r w:rsidRPr="001C46DF">
        <w:rPr>
          <w:lang w:eastAsia="ja-JP"/>
        </w:rPr>
        <w:lastRenderedPageBreak/>
        <w:t>Fungal endocarditis</w:t>
      </w:r>
    </w:p>
    <w:p w14:paraId="2FC98AC8" w14:textId="77777777" w:rsidR="00B866C2" w:rsidRDefault="001F56F7" w:rsidP="00F03F25">
      <w:pPr>
        <w:rPr>
          <w:szCs w:val="22"/>
          <w:lang w:eastAsia="ja-JP"/>
        </w:rPr>
      </w:pPr>
      <w:r w:rsidRPr="001C46DF">
        <w:rPr>
          <w:szCs w:val="22"/>
          <w:lang w:eastAsia="ja-JP"/>
        </w:rPr>
        <w:t>Fungal endocarditis is most common in patients with prosthetic valves, but also occurs in intravenous drug abusers, neonates and immunocompromised patients.</w:t>
      </w:r>
      <w:r w:rsidRPr="001C46DF">
        <w:t xml:space="preserve"> </w:t>
      </w:r>
      <w:r w:rsidR="00CF192B" w:rsidRPr="001C46DF">
        <w:rPr>
          <w:szCs w:val="22"/>
          <w:lang w:eastAsia="ja-JP"/>
        </w:rPr>
        <w:t>Mortality is very high (50%), and treatment necessitates combined antifungal administration and surgical valve replacement.</w:t>
      </w:r>
      <w:r w:rsidR="00C02A27">
        <w:rPr>
          <w:szCs w:val="22"/>
          <w:lang w:eastAsia="ja-JP"/>
        </w:rPr>
        <w:t xml:space="preserve"> </w:t>
      </w:r>
    </w:p>
    <w:p w14:paraId="0AD3088E" w14:textId="2116702E" w:rsidR="001F56F7" w:rsidRPr="001C46DF" w:rsidRDefault="00EC38F5" w:rsidP="00F03F25">
      <w:pPr>
        <w:rPr>
          <w:szCs w:val="22"/>
          <w:lang w:eastAsia="ja-JP"/>
        </w:rPr>
      </w:pPr>
      <w:r>
        <w:rPr>
          <w:szCs w:val="22"/>
          <w:lang w:eastAsia="ja-JP"/>
        </w:rPr>
        <w:t>Unfortunately, we do not have access to the necessary drugs, so the best we can do is use high dose fluconazole.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693"/>
        <w:gridCol w:w="2555"/>
        <w:gridCol w:w="2268"/>
        <w:gridCol w:w="2126"/>
      </w:tblGrid>
      <w:tr w:rsidR="00CF192B" w:rsidRPr="00C02A27" w14:paraId="626A9DE0" w14:textId="77777777" w:rsidTr="00ED12DB">
        <w:tc>
          <w:tcPr>
            <w:tcW w:w="1693" w:type="dxa"/>
            <w:shd w:val="clear" w:color="auto" w:fill="D9D9D9" w:themeFill="background1" w:themeFillShade="D9"/>
          </w:tcPr>
          <w:p w14:paraId="5CFBF904" w14:textId="77777777" w:rsidR="00CF192B" w:rsidRPr="00ED12DB" w:rsidRDefault="00CF192B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Agent</w:t>
            </w:r>
          </w:p>
        </w:tc>
        <w:tc>
          <w:tcPr>
            <w:tcW w:w="2555" w:type="dxa"/>
          </w:tcPr>
          <w:p w14:paraId="498CE897" w14:textId="77777777" w:rsidR="00CF192B" w:rsidRPr="00ED12DB" w:rsidRDefault="00CF192B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Primary</w:t>
            </w:r>
          </w:p>
        </w:tc>
        <w:tc>
          <w:tcPr>
            <w:tcW w:w="2268" w:type="dxa"/>
          </w:tcPr>
          <w:p w14:paraId="3DC3D667" w14:textId="05BF46E2" w:rsidR="00CF192B" w:rsidRPr="00ED12DB" w:rsidRDefault="00CF192B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 xml:space="preserve">After </w:t>
            </w:r>
            <w:r w:rsidR="00C02A27">
              <w:rPr>
                <w:b/>
                <w:szCs w:val="22"/>
                <w:lang w:eastAsia="ja-JP"/>
              </w:rPr>
              <w:t>patient</w:t>
            </w:r>
            <w:r w:rsidR="00C02A27" w:rsidRPr="00ED12DB">
              <w:rPr>
                <w:b/>
                <w:szCs w:val="22"/>
                <w:lang w:eastAsia="ja-JP"/>
              </w:rPr>
              <w:t xml:space="preserve"> </w:t>
            </w:r>
            <w:r w:rsidR="00C02A27">
              <w:rPr>
                <w:b/>
                <w:szCs w:val="22"/>
                <w:lang w:eastAsia="ja-JP"/>
              </w:rPr>
              <w:t xml:space="preserve">is </w:t>
            </w:r>
            <w:r w:rsidR="00227FB9" w:rsidRPr="00ED12DB">
              <w:rPr>
                <w:b/>
                <w:szCs w:val="22"/>
                <w:lang w:eastAsia="ja-JP"/>
              </w:rPr>
              <w:t>stable</w:t>
            </w:r>
          </w:p>
        </w:tc>
        <w:tc>
          <w:tcPr>
            <w:tcW w:w="2126" w:type="dxa"/>
          </w:tcPr>
          <w:p w14:paraId="1D04F653" w14:textId="77777777" w:rsidR="00CF192B" w:rsidRPr="00ED12DB" w:rsidRDefault="00CF192B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Duration</w:t>
            </w:r>
          </w:p>
        </w:tc>
      </w:tr>
      <w:tr w:rsidR="00CF192B" w:rsidRPr="001C46DF" w14:paraId="718F76D3" w14:textId="77777777" w:rsidTr="00ED12DB">
        <w:tc>
          <w:tcPr>
            <w:tcW w:w="1693" w:type="dxa"/>
            <w:shd w:val="clear" w:color="auto" w:fill="D9D9D9" w:themeFill="background1" w:themeFillShade="D9"/>
          </w:tcPr>
          <w:p w14:paraId="2F377E68" w14:textId="20FBDAC1" w:rsidR="00CF192B" w:rsidRPr="00ED12DB" w:rsidRDefault="00B866C2" w:rsidP="0057173A">
            <w:pPr>
              <w:rPr>
                <w:i/>
                <w:sz w:val="20"/>
                <w:szCs w:val="20"/>
                <w:lang w:eastAsia="ja-JP"/>
              </w:rPr>
            </w:pPr>
            <w:r w:rsidRPr="00947730">
              <w:rPr>
                <w:b/>
                <w:sz w:val="20"/>
                <w:szCs w:val="20"/>
                <w:lang w:eastAsia="ja-JP"/>
              </w:rPr>
              <w:t>Dose</w:t>
            </w:r>
            <w:r>
              <w:rPr>
                <w:i/>
                <w:sz w:val="20"/>
                <w:szCs w:val="20"/>
                <w:lang w:eastAsia="ja-JP"/>
              </w:rPr>
              <w:t xml:space="preserve"> (</w:t>
            </w:r>
            <w:proofErr w:type="spellStart"/>
            <w:r>
              <w:rPr>
                <w:i/>
                <w:sz w:val="20"/>
                <w:szCs w:val="20"/>
                <w:lang w:eastAsia="ja-JP"/>
              </w:rPr>
              <w:t>paediatric</w:t>
            </w:r>
            <w:proofErr w:type="spellEnd"/>
            <w:r>
              <w:rPr>
                <w:i/>
                <w:sz w:val="20"/>
                <w:szCs w:val="20"/>
                <w:lang w:eastAsia="ja-JP"/>
              </w:rPr>
              <w:t xml:space="preserve"> do</w:t>
            </w:r>
            <w:r w:rsidR="00947730">
              <w:rPr>
                <w:i/>
                <w:sz w:val="20"/>
                <w:szCs w:val="20"/>
                <w:lang w:eastAsia="ja-JP"/>
              </w:rPr>
              <w:t>sing)</w:t>
            </w:r>
          </w:p>
        </w:tc>
        <w:tc>
          <w:tcPr>
            <w:tcW w:w="2555" w:type="dxa"/>
          </w:tcPr>
          <w:p w14:paraId="369CA830" w14:textId="3B3C1530" w:rsidR="00CF192B" w:rsidRPr="00ED12DB" w:rsidRDefault="00947730" w:rsidP="00CF192B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Fluconazole 1200 mg </w:t>
            </w:r>
            <w:r w:rsidRPr="00947730">
              <w:rPr>
                <w:i/>
                <w:sz w:val="20"/>
                <w:szCs w:val="20"/>
                <w:lang w:eastAsia="ja-JP"/>
              </w:rPr>
              <w:t>(18 mg/kg)</w:t>
            </w:r>
            <w:r>
              <w:rPr>
                <w:i/>
                <w:sz w:val="20"/>
                <w:szCs w:val="20"/>
                <w:lang w:eastAsia="ja-JP"/>
              </w:rPr>
              <w:t xml:space="preserve"> OD PO</w:t>
            </w:r>
          </w:p>
        </w:tc>
        <w:tc>
          <w:tcPr>
            <w:tcW w:w="2268" w:type="dxa"/>
          </w:tcPr>
          <w:p w14:paraId="32ED1454" w14:textId="3AFE83C6" w:rsidR="00CF192B" w:rsidRPr="00ED12DB" w:rsidRDefault="00CF192B" w:rsidP="0057173A">
            <w:pPr>
              <w:rPr>
                <w:sz w:val="20"/>
                <w:szCs w:val="20"/>
                <w:lang w:eastAsia="ja-JP"/>
              </w:rPr>
            </w:pPr>
            <w:r w:rsidRPr="00C02A27">
              <w:rPr>
                <w:sz w:val="20"/>
                <w:szCs w:val="20"/>
                <w:lang w:eastAsia="ja-JP"/>
              </w:rPr>
              <w:t>Fluconazole 800</w:t>
            </w:r>
            <w:r w:rsidR="00947730">
              <w:rPr>
                <w:sz w:val="20"/>
                <w:szCs w:val="20"/>
                <w:lang w:eastAsia="ja-JP"/>
              </w:rPr>
              <w:t xml:space="preserve"> </w:t>
            </w:r>
            <w:r w:rsidRPr="00C02A27">
              <w:rPr>
                <w:sz w:val="20"/>
                <w:szCs w:val="20"/>
                <w:lang w:eastAsia="ja-JP"/>
              </w:rPr>
              <w:t>mg (12</w:t>
            </w:r>
            <w:r w:rsidR="00947730">
              <w:rPr>
                <w:sz w:val="20"/>
                <w:szCs w:val="20"/>
                <w:lang w:eastAsia="ja-JP"/>
              </w:rPr>
              <w:t xml:space="preserve"> </w:t>
            </w:r>
            <w:r w:rsidRPr="00C02A27">
              <w:rPr>
                <w:sz w:val="20"/>
                <w:szCs w:val="20"/>
                <w:lang w:eastAsia="ja-JP"/>
              </w:rPr>
              <w:t xml:space="preserve">mg/kg) OD </w:t>
            </w:r>
            <w:r w:rsidR="00947730">
              <w:rPr>
                <w:sz w:val="20"/>
                <w:szCs w:val="20"/>
                <w:lang w:eastAsia="ja-JP"/>
              </w:rPr>
              <w:t>PO</w:t>
            </w:r>
          </w:p>
        </w:tc>
        <w:tc>
          <w:tcPr>
            <w:tcW w:w="2126" w:type="dxa"/>
          </w:tcPr>
          <w:p w14:paraId="4C319AA7" w14:textId="77777777" w:rsidR="00CF192B" w:rsidRPr="00C02A27" w:rsidRDefault="00CF192B" w:rsidP="0057173A">
            <w:pPr>
              <w:rPr>
                <w:sz w:val="20"/>
                <w:szCs w:val="20"/>
                <w:lang w:eastAsia="ja-JP"/>
              </w:rPr>
            </w:pPr>
            <w:r w:rsidRPr="00C02A27">
              <w:rPr>
                <w:sz w:val="20"/>
                <w:szCs w:val="20"/>
                <w:lang w:eastAsia="ja-JP"/>
              </w:rPr>
              <w:t>For at least 6 weeks after surgery</w:t>
            </w:r>
          </w:p>
          <w:p w14:paraId="2606E517" w14:textId="77777777" w:rsidR="00CF192B" w:rsidRPr="00ED12DB" w:rsidRDefault="00CF192B" w:rsidP="0057173A">
            <w:pPr>
              <w:rPr>
                <w:sz w:val="20"/>
                <w:szCs w:val="20"/>
                <w:lang w:eastAsia="ja-JP"/>
              </w:rPr>
            </w:pPr>
            <w:r w:rsidRPr="00ED12DB">
              <w:rPr>
                <w:sz w:val="20"/>
                <w:szCs w:val="20"/>
                <w:lang w:eastAsia="ja-JP"/>
              </w:rPr>
              <w:t>*For patients who cannot undergo valve replacement; lifelong</w:t>
            </w:r>
          </w:p>
        </w:tc>
      </w:tr>
    </w:tbl>
    <w:p w14:paraId="63892435" w14:textId="665D5ED7" w:rsidR="001F56F7" w:rsidRDefault="001F56F7" w:rsidP="00F03F25">
      <w:pPr>
        <w:rPr>
          <w:szCs w:val="22"/>
          <w:lang w:eastAsia="ja-JP"/>
        </w:rPr>
      </w:pPr>
    </w:p>
    <w:p w14:paraId="270C4A4E" w14:textId="612086BC" w:rsidR="00B866C2" w:rsidRPr="001C46DF" w:rsidRDefault="00EC38F5" w:rsidP="00F03F25">
      <w:pPr>
        <w:rPr>
          <w:szCs w:val="22"/>
          <w:lang w:eastAsia="ja-JP"/>
        </w:rPr>
      </w:pPr>
      <w:r>
        <w:rPr>
          <w:szCs w:val="22"/>
          <w:lang w:eastAsia="ja-JP"/>
        </w:rPr>
        <w:t>I</w:t>
      </w:r>
      <w:r w:rsidR="00B866C2">
        <w:rPr>
          <w:szCs w:val="22"/>
          <w:lang w:eastAsia="ja-JP"/>
        </w:rPr>
        <w:t xml:space="preserve">n case a patient has the means to purchase </w:t>
      </w:r>
      <w:r>
        <w:rPr>
          <w:szCs w:val="22"/>
          <w:lang w:eastAsia="ja-JP"/>
        </w:rPr>
        <w:t xml:space="preserve">more effective drugs, they would need to </w:t>
      </w:r>
      <w:r w:rsidR="00E720E9">
        <w:rPr>
          <w:szCs w:val="22"/>
          <w:lang w:eastAsia="ja-JP"/>
        </w:rPr>
        <w:t xml:space="preserve">be </w:t>
      </w:r>
      <w:r>
        <w:rPr>
          <w:szCs w:val="22"/>
          <w:lang w:eastAsia="ja-JP"/>
        </w:rPr>
        <w:t xml:space="preserve">given </w:t>
      </w:r>
      <w:r w:rsidR="00523F08">
        <w:rPr>
          <w:szCs w:val="22"/>
          <w:lang w:eastAsia="ja-JP"/>
        </w:rPr>
        <w:t>amphotericin and flucytosine.</w:t>
      </w:r>
    </w:p>
    <w:p w14:paraId="1F3EEE9B" w14:textId="16E20FE7" w:rsidR="001F4013" w:rsidRPr="001C46DF" w:rsidRDefault="00EC4755" w:rsidP="00F03F25">
      <w:pPr>
        <w:rPr>
          <w:b/>
          <w:szCs w:val="22"/>
          <w:lang w:eastAsia="ja-JP"/>
        </w:rPr>
      </w:pPr>
      <w:r w:rsidRPr="001C46DF">
        <w:rPr>
          <w:b/>
          <w:szCs w:val="22"/>
          <w:lang w:eastAsia="ja-JP"/>
        </w:rPr>
        <w:t>Ind</w:t>
      </w:r>
      <w:r w:rsidR="00220873">
        <w:rPr>
          <w:b/>
          <w:szCs w:val="22"/>
          <w:lang w:eastAsia="ja-JP"/>
        </w:rPr>
        <w:t>ica</w:t>
      </w:r>
      <w:r w:rsidRPr="001C46DF">
        <w:rPr>
          <w:b/>
          <w:szCs w:val="22"/>
          <w:lang w:eastAsia="ja-JP"/>
        </w:rPr>
        <w:t>tion</w:t>
      </w:r>
      <w:r w:rsidR="00220873">
        <w:rPr>
          <w:b/>
          <w:szCs w:val="22"/>
          <w:lang w:eastAsia="ja-JP"/>
        </w:rPr>
        <w:t>s</w:t>
      </w:r>
      <w:r w:rsidRPr="001C46DF">
        <w:rPr>
          <w:b/>
          <w:szCs w:val="22"/>
          <w:lang w:eastAsia="ja-JP"/>
        </w:rPr>
        <w:t xml:space="preserve"> for </w:t>
      </w:r>
      <w:r w:rsidR="001F4013" w:rsidRPr="001C46DF">
        <w:rPr>
          <w:b/>
          <w:szCs w:val="22"/>
          <w:lang w:eastAsia="ja-JP"/>
        </w:rPr>
        <w:t>Surgery</w:t>
      </w:r>
    </w:p>
    <w:p w14:paraId="4C54729F" w14:textId="0AC03571" w:rsidR="00B01534" w:rsidRPr="001C46DF" w:rsidRDefault="00220873" w:rsidP="00F03F25">
      <w:pPr>
        <w:rPr>
          <w:szCs w:val="22"/>
          <w:lang w:eastAsia="ja-JP"/>
        </w:rPr>
      </w:pPr>
      <w:r>
        <w:rPr>
          <w:szCs w:val="22"/>
          <w:lang w:eastAsia="ja-JP"/>
        </w:rPr>
        <w:t>Ideally, a</w:t>
      </w:r>
      <w:r w:rsidR="00B01534" w:rsidRPr="001C46DF">
        <w:rPr>
          <w:szCs w:val="22"/>
          <w:lang w:eastAsia="ja-JP"/>
        </w:rPr>
        <w:t xml:space="preserve"> surgical opinion should be sought for every patient with endocarditis</w:t>
      </w:r>
      <w:r w:rsidR="00C02A27">
        <w:rPr>
          <w:szCs w:val="22"/>
          <w:lang w:eastAsia="ja-JP"/>
        </w:rPr>
        <w:t xml:space="preserve">. Unfortunately, this is not possible here for most patients. However, it may be possible to discuss children with endocarditis with the Chain of Hope team. </w:t>
      </w:r>
      <w:r w:rsidR="00523F08">
        <w:rPr>
          <w:szCs w:val="22"/>
          <w:lang w:eastAsia="ja-JP"/>
        </w:rPr>
        <w:t>T</w:t>
      </w:r>
      <w:r>
        <w:rPr>
          <w:szCs w:val="22"/>
          <w:lang w:eastAsia="ja-JP"/>
        </w:rPr>
        <w:t>he</w:t>
      </w:r>
      <w:r w:rsidR="00B01534" w:rsidRPr="001C46DF">
        <w:rPr>
          <w:szCs w:val="22"/>
          <w:lang w:eastAsia="ja-JP"/>
        </w:rPr>
        <w:t xml:space="preserve"> indications for surgery</w:t>
      </w:r>
      <w:r>
        <w:rPr>
          <w:szCs w:val="22"/>
          <w:lang w:eastAsia="ja-JP"/>
        </w:rPr>
        <w:t xml:space="preserve"> are</w:t>
      </w:r>
      <w:r w:rsidR="00B01534" w:rsidRPr="001C46DF">
        <w:rPr>
          <w:szCs w:val="22"/>
          <w:lang w:eastAsia="ja-JP"/>
        </w:rPr>
        <w:t xml:space="preserve"> listed below.</w:t>
      </w: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8642"/>
      </w:tblGrid>
      <w:tr w:rsidR="001E6E27" w:rsidRPr="001C46DF" w14:paraId="3C2F310B" w14:textId="77777777" w:rsidTr="00ED12DB">
        <w:tc>
          <w:tcPr>
            <w:tcW w:w="8642" w:type="dxa"/>
            <w:shd w:val="clear" w:color="auto" w:fill="D9D9D9" w:themeFill="background1" w:themeFillShade="D9"/>
          </w:tcPr>
          <w:p w14:paraId="5EBE0E15" w14:textId="77777777" w:rsidR="001E6E27" w:rsidRPr="00ED12DB" w:rsidRDefault="001E6E27" w:rsidP="0057173A">
            <w:pPr>
              <w:rPr>
                <w:b/>
                <w:szCs w:val="22"/>
                <w:lang w:eastAsia="ja-JP"/>
              </w:rPr>
            </w:pPr>
            <w:r w:rsidRPr="00ED12DB">
              <w:rPr>
                <w:b/>
                <w:szCs w:val="22"/>
                <w:lang w:eastAsia="ja-JP"/>
              </w:rPr>
              <w:t>Heart Failure</w:t>
            </w:r>
          </w:p>
        </w:tc>
      </w:tr>
      <w:tr w:rsidR="001E6E27" w:rsidRPr="001C46DF" w14:paraId="398D8C8F" w14:textId="77777777" w:rsidTr="001E6E27">
        <w:tc>
          <w:tcPr>
            <w:tcW w:w="8642" w:type="dxa"/>
            <w:shd w:val="clear" w:color="auto" w:fill="auto"/>
          </w:tcPr>
          <w:p w14:paraId="79793EAC" w14:textId="77777777" w:rsidR="001E6E27" w:rsidRPr="001C46DF" w:rsidRDefault="001E6E27" w:rsidP="0057173A">
            <w:pPr>
              <w:rPr>
                <w:szCs w:val="22"/>
                <w:lang w:eastAsia="ja-JP"/>
              </w:rPr>
            </w:pPr>
            <w:r w:rsidRPr="001C46DF">
              <w:rPr>
                <w:szCs w:val="22"/>
                <w:lang w:eastAsia="ja-JP"/>
              </w:rPr>
              <w:t xml:space="preserve">Aortic or </w:t>
            </w:r>
            <w:r w:rsidR="005A141A" w:rsidRPr="001C46DF">
              <w:rPr>
                <w:szCs w:val="22"/>
                <w:lang w:eastAsia="ja-JP"/>
              </w:rPr>
              <w:t>mitral IE with:</w:t>
            </w:r>
          </w:p>
          <w:p w14:paraId="3B6637DB" w14:textId="4174C464" w:rsidR="005A141A" w:rsidRPr="00523F08" w:rsidRDefault="005A141A" w:rsidP="00D37EF2">
            <w:pPr>
              <w:pStyle w:val="ListParagraph"/>
              <w:numPr>
                <w:ilvl w:val="0"/>
                <w:numId w:val="7"/>
              </w:numPr>
              <w:rPr>
                <w:szCs w:val="22"/>
                <w:lang w:eastAsia="ja-JP"/>
              </w:rPr>
            </w:pPr>
            <w:r w:rsidRPr="00523F08">
              <w:rPr>
                <w:szCs w:val="22"/>
                <w:lang w:eastAsia="ja-JP"/>
              </w:rPr>
              <w:t>Severe acute regurgitation or valve obstruction</w:t>
            </w:r>
          </w:p>
          <w:p w14:paraId="5B79B1A3" w14:textId="063FE82D" w:rsidR="005A141A" w:rsidRPr="00523F08" w:rsidRDefault="005A141A" w:rsidP="00D37EF2">
            <w:pPr>
              <w:pStyle w:val="ListParagraph"/>
              <w:numPr>
                <w:ilvl w:val="0"/>
                <w:numId w:val="7"/>
              </w:numPr>
              <w:rPr>
                <w:szCs w:val="22"/>
                <w:lang w:eastAsia="ja-JP"/>
              </w:rPr>
            </w:pPr>
            <w:r w:rsidRPr="00523F08">
              <w:rPr>
                <w:szCs w:val="22"/>
                <w:lang w:eastAsia="ja-JP"/>
              </w:rPr>
              <w:t>Persistent heart failure</w:t>
            </w:r>
          </w:p>
          <w:p w14:paraId="66A09553" w14:textId="2E265B9E" w:rsidR="005A141A" w:rsidRPr="00523F08" w:rsidRDefault="005A141A" w:rsidP="00D37EF2">
            <w:pPr>
              <w:pStyle w:val="ListParagraph"/>
              <w:numPr>
                <w:ilvl w:val="0"/>
                <w:numId w:val="7"/>
              </w:numPr>
              <w:rPr>
                <w:szCs w:val="22"/>
                <w:lang w:eastAsia="ja-JP"/>
              </w:rPr>
            </w:pPr>
            <w:r w:rsidRPr="00523F08">
              <w:rPr>
                <w:szCs w:val="22"/>
                <w:lang w:eastAsia="ja-JP"/>
              </w:rPr>
              <w:t xml:space="preserve">Refractory pulmonary </w:t>
            </w:r>
            <w:proofErr w:type="spellStart"/>
            <w:r w:rsidRPr="00523F08">
              <w:rPr>
                <w:szCs w:val="22"/>
                <w:lang w:eastAsia="ja-JP"/>
              </w:rPr>
              <w:t>oedema</w:t>
            </w:r>
            <w:proofErr w:type="spellEnd"/>
            <w:r w:rsidR="00523F08" w:rsidRPr="00523F08">
              <w:rPr>
                <w:szCs w:val="22"/>
                <w:lang w:eastAsia="ja-JP"/>
              </w:rPr>
              <w:t xml:space="preserve"> </w:t>
            </w:r>
            <w:r w:rsidRPr="00523F08">
              <w:rPr>
                <w:szCs w:val="22"/>
                <w:lang w:eastAsia="ja-JP"/>
              </w:rPr>
              <w:t>/</w:t>
            </w:r>
            <w:r w:rsidR="00523F08" w:rsidRPr="00523F08">
              <w:rPr>
                <w:szCs w:val="22"/>
                <w:lang w:eastAsia="ja-JP"/>
              </w:rPr>
              <w:t xml:space="preserve"> </w:t>
            </w:r>
            <w:r w:rsidRPr="00523F08">
              <w:rPr>
                <w:szCs w:val="22"/>
                <w:lang w:eastAsia="ja-JP"/>
              </w:rPr>
              <w:t xml:space="preserve">cardiogenic shock </w:t>
            </w:r>
          </w:p>
        </w:tc>
      </w:tr>
      <w:tr w:rsidR="001E6E27" w:rsidRPr="00220873" w14:paraId="32966352" w14:textId="77777777" w:rsidTr="00ED12DB">
        <w:tc>
          <w:tcPr>
            <w:tcW w:w="8642" w:type="dxa"/>
            <w:shd w:val="clear" w:color="auto" w:fill="D9D9D9" w:themeFill="background1" w:themeFillShade="D9"/>
          </w:tcPr>
          <w:p w14:paraId="06562A03" w14:textId="77777777" w:rsidR="001E6E27" w:rsidRPr="00ED12DB" w:rsidRDefault="001E6E27" w:rsidP="0057173A">
            <w:pPr>
              <w:rPr>
                <w:b/>
                <w:sz w:val="21"/>
                <w:szCs w:val="22"/>
                <w:lang w:eastAsia="ja-JP"/>
              </w:rPr>
            </w:pPr>
            <w:r w:rsidRPr="00ED12DB">
              <w:rPr>
                <w:b/>
                <w:sz w:val="21"/>
                <w:szCs w:val="22"/>
                <w:lang w:eastAsia="ja-JP"/>
              </w:rPr>
              <w:t xml:space="preserve">Uncontrolled </w:t>
            </w:r>
            <w:r w:rsidR="005A141A" w:rsidRPr="00ED12DB">
              <w:rPr>
                <w:b/>
                <w:sz w:val="21"/>
                <w:szCs w:val="22"/>
                <w:lang w:eastAsia="ja-JP"/>
              </w:rPr>
              <w:t>i</w:t>
            </w:r>
            <w:r w:rsidRPr="00ED12DB">
              <w:rPr>
                <w:b/>
                <w:sz w:val="21"/>
                <w:szCs w:val="22"/>
                <w:lang w:eastAsia="ja-JP"/>
              </w:rPr>
              <w:t>nfection</w:t>
            </w:r>
          </w:p>
        </w:tc>
      </w:tr>
      <w:tr w:rsidR="001E6E27" w:rsidRPr="001C46DF" w14:paraId="13D72040" w14:textId="77777777" w:rsidTr="001E6E27">
        <w:tc>
          <w:tcPr>
            <w:tcW w:w="8642" w:type="dxa"/>
            <w:shd w:val="clear" w:color="auto" w:fill="auto"/>
          </w:tcPr>
          <w:p w14:paraId="4E6D1D66" w14:textId="6001FA23" w:rsidR="001E6E27" w:rsidRPr="00523F08" w:rsidRDefault="005A141A" w:rsidP="00D37EF2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>Abscess, false aneurysm, enlarging vegetation</w:t>
            </w:r>
          </w:p>
          <w:p w14:paraId="4B0DBF60" w14:textId="4AE07060" w:rsidR="005A141A" w:rsidRPr="00523F08" w:rsidRDefault="005A141A" w:rsidP="00D37EF2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>Persisting fever and positive blood culture for &gt;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10 days after commencing appropriate antimicrobial therapy</w:t>
            </w:r>
          </w:p>
          <w:p w14:paraId="6973A03C" w14:textId="3B6531AF" w:rsidR="005A141A" w:rsidRPr="00523F08" w:rsidRDefault="005A141A" w:rsidP="00D37EF2">
            <w:pPr>
              <w:pStyle w:val="ListParagraph"/>
              <w:numPr>
                <w:ilvl w:val="0"/>
                <w:numId w:val="8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 xml:space="preserve">Caused by fungi or </w:t>
            </w:r>
            <w:proofErr w:type="spellStart"/>
            <w:r w:rsidRPr="00523F08">
              <w:rPr>
                <w:sz w:val="21"/>
                <w:szCs w:val="22"/>
                <w:lang w:eastAsia="ja-JP"/>
              </w:rPr>
              <w:t>multiresistant</w:t>
            </w:r>
            <w:proofErr w:type="spellEnd"/>
            <w:r w:rsidRPr="00523F08">
              <w:rPr>
                <w:sz w:val="21"/>
                <w:szCs w:val="22"/>
                <w:lang w:eastAsia="ja-JP"/>
              </w:rPr>
              <w:t xml:space="preserve"> micro organisms</w:t>
            </w:r>
          </w:p>
        </w:tc>
      </w:tr>
      <w:tr w:rsidR="001E6E27" w:rsidRPr="00220873" w14:paraId="09218399" w14:textId="77777777" w:rsidTr="00ED12DB">
        <w:tc>
          <w:tcPr>
            <w:tcW w:w="8642" w:type="dxa"/>
            <w:shd w:val="clear" w:color="auto" w:fill="D9D9D9" w:themeFill="background1" w:themeFillShade="D9"/>
          </w:tcPr>
          <w:p w14:paraId="3EFCF3CB" w14:textId="77777777" w:rsidR="001E6E27" w:rsidRPr="00ED12DB" w:rsidRDefault="001E6E27" w:rsidP="0057173A">
            <w:pPr>
              <w:rPr>
                <w:b/>
                <w:sz w:val="21"/>
                <w:szCs w:val="22"/>
                <w:lang w:eastAsia="ja-JP"/>
              </w:rPr>
            </w:pPr>
            <w:r w:rsidRPr="00ED12DB">
              <w:rPr>
                <w:b/>
                <w:sz w:val="21"/>
                <w:szCs w:val="22"/>
                <w:lang w:eastAsia="ja-JP"/>
              </w:rPr>
              <w:t>Prevention of embolism</w:t>
            </w:r>
          </w:p>
        </w:tc>
      </w:tr>
      <w:tr w:rsidR="001E6E27" w:rsidRPr="001C46DF" w14:paraId="66A37AE1" w14:textId="77777777" w:rsidTr="001E6E27">
        <w:tc>
          <w:tcPr>
            <w:tcW w:w="8642" w:type="dxa"/>
            <w:shd w:val="clear" w:color="auto" w:fill="auto"/>
          </w:tcPr>
          <w:p w14:paraId="65C237AE" w14:textId="02A81E61" w:rsidR="001E6E27" w:rsidRPr="00523F08" w:rsidRDefault="005A141A" w:rsidP="00D37EF2">
            <w:pPr>
              <w:pStyle w:val="ListParagraph"/>
              <w:numPr>
                <w:ilvl w:val="0"/>
                <w:numId w:val="9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>Large vegetations (&gt;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10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mm) + embolic episodes</w:t>
            </w:r>
          </w:p>
          <w:p w14:paraId="66DF09C4" w14:textId="7CCF007E" w:rsidR="00D05076" w:rsidRPr="00523F08" w:rsidRDefault="00D05076" w:rsidP="00D37EF2">
            <w:pPr>
              <w:pStyle w:val="ListParagraph"/>
              <w:numPr>
                <w:ilvl w:val="0"/>
                <w:numId w:val="9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>Large vegetations (&gt;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10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mm) + other predictors of complicated cause</w:t>
            </w:r>
          </w:p>
          <w:p w14:paraId="15869233" w14:textId="0C1CDD3D" w:rsidR="00D05076" w:rsidRPr="00523F08" w:rsidRDefault="00D05076" w:rsidP="00D37EF2">
            <w:pPr>
              <w:pStyle w:val="ListParagraph"/>
              <w:numPr>
                <w:ilvl w:val="0"/>
                <w:numId w:val="9"/>
              </w:numPr>
              <w:rPr>
                <w:sz w:val="21"/>
                <w:szCs w:val="22"/>
                <w:lang w:eastAsia="ja-JP"/>
              </w:rPr>
            </w:pPr>
            <w:r w:rsidRPr="00523F08">
              <w:rPr>
                <w:sz w:val="21"/>
                <w:szCs w:val="22"/>
                <w:lang w:eastAsia="ja-JP"/>
              </w:rPr>
              <w:t xml:space="preserve">Very large vegetation </w:t>
            </w:r>
            <w:r w:rsidR="00220873" w:rsidRPr="00523F08">
              <w:rPr>
                <w:sz w:val="21"/>
                <w:szCs w:val="22"/>
                <w:lang w:eastAsia="ja-JP"/>
              </w:rPr>
              <w:t>(</w:t>
            </w:r>
            <w:r w:rsidRPr="00523F08">
              <w:rPr>
                <w:sz w:val="21"/>
                <w:szCs w:val="22"/>
                <w:lang w:eastAsia="ja-JP"/>
              </w:rPr>
              <w:t>&gt;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15</w:t>
            </w:r>
            <w:r w:rsidR="00220873" w:rsidRPr="00523F08">
              <w:rPr>
                <w:sz w:val="21"/>
                <w:szCs w:val="22"/>
                <w:lang w:eastAsia="ja-JP"/>
              </w:rPr>
              <w:t xml:space="preserve"> </w:t>
            </w:r>
            <w:r w:rsidRPr="00523F08">
              <w:rPr>
                <w:sz w:val="21"/>
                <w:szCs w:val="22"/>
                <w:lang w:eastAsia="ja-JP"/>
              </w:rPr>
              <w:t>mm</w:t>
            </w:r>
            <w:r w:rsidR="00220873" w:rsidRPr="00523F08">
              <w:rPr>
                <w:sz w:val="21"/>
                <w:szCs w:val="22"/>
                <w:lang w:eastAsia="ja-JP"/>
              </w:rPr>
              <w:t>)</w:t>
            </w:r>
          </w:p>
        </w:tc>
      </w:tr>
    </w:tbl>
    <w:p w14:paraId="28ADE71A" w14:textId="77777777" w:rsidR="0061100B" w:rsidRPr="001C46DF" w:rsidRDefault="0061100B" w:rsidP="00F03F25">
      <w:pPr>
        <w:rPr>
          <w:szCs w:val="22"/>
          <w:lang w:eastAsia="ja-JP"/>
        </w:rPr>
      </w:pPr>
    </w:p>
    <w:p w14:paraId="7EEF3E39" w14:textId="77777777" w:rsidR="00523F08" w:rsidRDefault="00523F08">
      <w:pPr>
        <w:spacing w:after="0"/>
        <w:outlineLvl w:val="9"/>
        <w:rPr>
          <w:b/>
          <w:sz w:val="24"/>
          <w:lang w:eastAsia="ja-JP"/>
        </w:rPr>
      </w:pPr>
      <w:r>
        <w:rPr>
          <w:b/>
          <w:sz w:val="24"/>
          <w:lang w:eastAsia="ja-JP"/>
        </w:rPr>
        <w:br w:type="page"/>
      </w:r>
    </w:p>
    <w:p w14:paraId="15B9F0F1" w14:textId="22D921B7" w:rsidR="0061100B" w:rsidRPr="001C46DF" w:rsidRDefault="00EC4755" w:rsidP="00F03F25">
      <w:pPr>
        <w:rPr>
          <w:b/>
          <w:sz w:val="24"/>
          <w:lang w:eastAsia="ja-JP"/>
        </w:rPr>
      </w:pPr>
      <w:r w:rsidRPr="001C46DF">
        <w:rPr>
          <w:b/>
          <w:sz w:val="24"/>
          <w:lang w:eastAsia="ja-JP"/>
        </w:rPr>
        <w:lastRenderedPageBreak/>
        <w:t>Endocarditis Prophylaxis</w:t>
      </w:r>
    </w:p>
    <w:p w14:paraId="195D0706" w14:textId="52477B8C" w:rsidR="008607EF" w:rsidRPr="001C46DF" w:rsidRDefault="008607EF" w:rsidP="00F03F25">
      <w:pPr>
        <w:rPr>
          <w:szCs w:val="22"/>
          <w:lang w:eastAsia="ja-JP"/>
        </w:rPr>
      </w:pPr>
      <w:r w:rsidRPr="001C46DF">
        <w:rPr>
          <w:b/>
          <w:szCs w:val="22"/>
          <w:u w:val="single"/>
          <w:lang w:eastAsia="ja-JP"/>
        </w:rPr>
        <w:t>Ind</w:t>
      </w:r>
      <w:r w:rsidR="004F3B5F">
        <w:rPr>
          <w:b/>
          <w:szCs w:val="22"/>
          <w:u w:val="single"/>
          <w:lang w:eastAsia="ja-JP"/>
        </w:rPr>
        <w:t>ica</w:t>
      </w:r>
      <w:r w:rsidRPr="001C46DF">
        <w:rPr>
          <w:b/>
          <w:szCs w:val="22"/>
          <w:u w:val="single"/>
          <w:lang w:eastAsia="ja-JP"/>
        </w:rPr>
        <w:t>tion</w:t>
      </w:r>
      <w:r w:rsidRPr="001C46DF">
        <w:rPr>
          <w:szCs w:val="22"/>
          <w:lang w:eastAsia="ja-JP"/>
        </w:rPr>
        <w:t xml:space="preserve">: </w:t>
      </w:r>
      <w:r w:rsidR="004F3B5F">
        <w:rPr>
          <w:szCs w:val="22"/>
          <w:lang w:eastAsia="ja-JP"/>
        </w:rPr>
        <w:t>A c</w:t>
      </w:r>
      <w:r w:rsidRPr="001C46DF">
        <w:rPr>
          <w:szCs w:val="22"/>
          <w:lang w:eastAsia="ja-JP"/>
        </w:rPr>
        <w:t xml:space="preserve">ardiac condition </w:t>
      </w:r>
      <w:r w:rsidR="00D05076" w:rsidRPr="001C46DF">
        <w:rPr>
          <w:szCs w:val="22"/>
          <w:lang w:eastAsia="ja-JP"/>
        </w:rPr>
        <w:t>AND</w:t>
      </w:r>
      <w:r w:rsidRPr="001C46DF">
        <w:rPr>
          <w:szCs w:val="22"/>
          <w:lang w:eastAsia="ja-JP"/>
        </w:rPr>
        <w:t xml:space="preserve"> </w:t>
      </w:r>
      <w:r w:rsidR="004F3B5F">
        <w:rPr>
          <w:szCs w:val="22"/>
          <w:lang w:eastAsia="ja-JP"/>
        </w:rPr>
        <w:t>a p</w:t>
      </w:r>
      <w:r w:rsidRPr="001C46DF">
        <w:rPr>
          <w:szCs w:val="22"/>
          <w:lang w:eastAsia="ja-JP"/>
        </w:rPr>
        <w:t>rocedure</w:t>
      </w:r>
    </w:p>
    <w:p w14:paraId="52E0CB85" w14:textId="77777777" w:rsidR="00E720E9" w:rsidRDefault="008607EF" w:rsidP="00F03F25">
      <w:pPr>
        <w:rPr>
          <w:szCs w:val="22"/>
          <w:lang w:eastAsia="ja-JP"/>
        </w:rPr>
      </w:pPr>
      <w:r w:rsidRPr="001C46DF">
        <w:rPr>
          <w:b/>
          <w:szCs w:val="22"/>
          <w:lang w:eastAsia="ja-JP"/>
        </w:rPr>
        <w:t>Cardiac conditions</w:t>
      </w:r>
      <w:r w:rsidRPr="001C46DF">
        <w:rPr>
          <w:szCs w:val="22"/>
          <w:lang w:eastAsia="ja-JP"/>
        </w:rPr>
        <w:t>: Prosthetic valve,</w:t>
      </w:r>
      <w:r w:rsidR="00D05076" w:rsidRPr="001C46DF">
        <w:rPr>
          <w:szCs w:val="22"/>
          <w:lang w:eastAsia="ja-JP"/>
        </w:rPr>
        <w:t xml:space="preserve"> </w:t>
      </w:r>
      <w:r w:rsidR="004F3B5F">
        <w:rPr>
          <w:szCs w:val="22"/>
          <w:lang w:eastAsia="ja-JP"/>
        </w:rPr>
        <w:t xml:space="preserve">unrepaired cyanotic </w:t>
      </w:r>
      <w:r w:rsidRPr="001C46DF">
        <w:rPr>
          <w:szCs w:val="22"/>
          <w:lang w:eastAsia="ja-JP"/>
        </w:rPr>
        <w:t xml:space="preserve">congenital heart disease, </w:t>
      </w:r>
      <w:r w:rsidR="004F3B5F">
        <w:rPr>
          <w:szCs w:val="22"/>
          <w:lang w:eastAsia="ja-JP"/>
        </w:rPr>
        <w:t>some patients with repaired congenital heart disease (check online for current guidance), previous infective endocarditis.</w:t>
      </w:r>
    </w:p>
    <w:p w14:paraId="46D69D9F" w14:textId="37DDCBD0" w:rsidR="004F3B5F" w:rsidRDefault="008607EF" w:rsidP="00F03F25">
      <w:pPr>
        <w:rPr>
          <w:szCs w:val="22"/>
          <w:lang w:eastAsia="ja-JP"/>
        </w:rPr>
      </w:pPr>
      <w:r w:rsidRPr="001C46DF">
        <w:rPr>
          <w:b/>
          <w:szCs w:val="22"/>
          <w:lang w:eastAsia="ja-JP"/>
        </w:rPr>
        <w:t>Procedures</w:t>
      </w:r>
      <w:r w:rsidRPr="001C46DF">
        <w:rPr>
          <w:szCs w:val="22"/>
          <w:lang w:eastAsia="ja-JP"/>
        </w:rPr>
        <w:t xml:space="preserve">: </w:t>
      </w:r>
    </w:p>
    <w:p w14:paraId="3269C8F6" w14:textId="568BD81F" w:rsidR="004F3B5F" w:rsidRDefault="008607EF" w:rsidP="00D37EF2">
      <w:pPr>
        <w:pStyle w:val="ListParagraph"/>
        <w:numPr>
          <w:ilvl w:val="0"/>
          <w:numId w:val="1"/>
        </w:numPr>
        <w:rPr>
          <w:szCs w:val="22"/>
          <w:lang w:eastAsia="ja-JP"/>
        </w:rPr>
      </w:pPr>
      <w:r w:rsidRPr="004F3B5F">
        <w:rPr>
          <w:szCs w:val="22"/>
          <w:lang w:eastAsia="ja-JP"/>
        </w:rPr>
        <w:t>Dental procedure: manipulation of gingival tissue or periapical region of teeth or perf</w:t>
      </w:r>
      <w:r w:rsidR="004F3B5F" w:rsidRPr="004F3B5F">
        <w:rPr>
          <w:szCs w:val="22"/>
          <w:lang w:eastAsia="ja-JP"/>
        </w:rPr>
        <w:t>oration of the</w:t>
      </w:r>
      <w:r w:rsidRPr="004F3B5F">
        <w:rPr>
          <w:szCs w:val="22"/>
          <w:lang w:eastAsia="ja-JP"/>
        </w:rPr>
        <w:t xml:space="preserve"> oral mucosa.</w:t>
      </w:r>
      <w:r w:rsidR="004F3B5F" w:rsidRPr="004F3B5F">
        <w:rPr>
          <w:szCs w:val="22"/>
          <w:lang w:eastAsia="ja-JP"/>
        </w:rPr>
        <w:t xml:space="preserve"> </w:t>
      </w:r>
    </w:p>
    <w:p w14:paraId="3EEDF500" w14:textId="2F06422D" w:rsidR="008607EF" w:rsidRPr="00523F08" w:rsidRDefault="004F3B5F" w:rsidP="00D37EF2">
      <w:pPr>
        <w:pStyle w:val="ListParagraph"/>
        <w:numPr>
          <w:ilvl w:val="0"/>
          <w:numId w:val="1"/>
        </w:numPr>
        <w:rPr>
          <w:szCs w:val="22"/>
          <w:lang w:eastAsia="ja-JP"/>
        </w:rPr>
      </w:pPr>
      <w:r w:rsidRPr="004F3B5F">
        <w:rPr>
          <w:szCs w:val="22"/>
          <w:lang w:eastAsia="ja-JP"/>
        </w:rPr>
        <w:t>Respiratory procedure: incision or biopsy of respiratory mucosa.</w:t>
      </w:r>
    </w:p>
    <w:p w14:paraId="49DCDE49" w14:textId="65C07233" w:rsidR="00EC4755" w:rsidRPr="001C46DF" w:rsidRDefault="00EC4755" w:rsidP="00F03F25">
      <w:pPr>
        <w:rPr>
          <w:szCs w:val="22"/>
          <w:lang w:eastAsia="ja-JP"/>
        </w:rPr>
      </w:pPr>
      <w:r w:rsidRPr="001C46DF">
        <w:rPr>
          <w:b/>
          <w:szCs w:val="22"/>
          <w:lang w:eastAsia="ja-JP"/>
        </w:rPr>
        <w:t>Regimens</w:t>
      </w:r>
      <w:r w:rsidRPr="001C46DF">
        <w:rPr>
          <w:szCs w:val="22"/>
          <w:lang w:eastAsia="ja-JP"/>
        </w:rPr>
        <w:t xml:space="preserve">: </w:t>
      </w:r>
      <w:r w:rsidR="00786B47" w:rsidRPr="001C46DF">
        <w:rPr>
          <w:szCs w:val="22"/>
          <w:lang w:eastAsia="ja-JP"/>
        </w:rPr>
        <w:t>A</w:t>
      </w:r>
      <w:r w:rsidRPr="001C46DF">
        <w:rPr>
          <w:szCs w:val="22"/>
          <w:lang w:eastAsia="ja-JP"/>
        </w:rPr>
        <w:t>moxicillin 2</w:t>
      </w:r>
      <w:r w:rsidR="004F3B5F">
        <w:rPr>
          <w:szCs w:val="22"/>
          <w:lang w:eastAsia="ja-JP"/>
        </w:rPr>
        <w:t xml:space="preserve"> </w:t>
      </w:r>
      <w:r w:rsidRPr="001C46DF">
        <w:rPr>
          <w:szCs w:val="22"/>
          <w:lang w:eastAsia="ja-JP"/>
        </w:rPr>
        <w:t xml:space="preserve">g </w:t>
      </w:r>
      <w:r w:rsidR="004F3B5F">
        <w:rPr>
          <w:szCs w:val="22"/>
          <w:lang w:eastAsia="ja-JP"/>
        </w:rPr>
        <w:t>IV</w:t>
      </w:r>
      <w:r w:rsidR="004F3B5F" w:rsidRPr="001C46DF">
        <w:rPr>
          <w:szCs w:val="22"/>
          <w:lang w:eastAsia="ja-JP"/>
        </w:rPr>
        <w:t xml:space="preserve"> </w:t>
      </w:r>
      <w:r w:rsidR="008607EF" w:rsidRPr="001C46DF">
        <w:rPr>
          <w:szCs w:val="22"/>
          <w:lang w:eastAsia="ja-JP"/>
        </w:rPr>
        <w:t>(Penicillin allergic: clindamycin 600</w:t>
      </w:r>
      <w:r w:rsidR="004F3B5F">
        <w:rPr>
          <w:szCs w:val="22"/>
          <w:lang w:eastAsia="ja-JP"/>
        </w:rPr>
        <w:t xml:space="preserve"> </w:t>
      </w:r>
      <w:r w:rsidR="008607EF" w:rsidRPr="001C46DF">
        <w:rPr>
          <w:szCs w:val="22"/>
          <w:lang w:eastAsia="ja-JP"/>
        </w:rPr>
        <w:t>mg</w:t>
      </w:r>
      <w:r w:rsidR="004F3B5F">
        <w:rPr>
          <w:szCs w:val="22"/>
          <w:lang w:eastAsia="ja-JP"/>
        </w:rPr>
        <w:t xml:space="preserve"> PO</w:t>
      </w:r>
      <w:r w:rsidR="008607EF" w:rsidRPr="001C46DF">
        <w:rPr>
          <w:szCs w:val="22"/>
          <w:lang w:eastAsia="ja-JP"/>
        </w:rPr>
        <w:t>)</w:t>
      </w:r>
    </w:p>
    <w:p w14:paraId="394875D4" w14:textId="77777777" w:rsidR="00D05076" w:rsidRPr="001C46DF" w:rsidRDefault="00D05076" w:rsidP="00F03F25">
      <w:pPr>
        <w:rPr>
          <w:szCs w:val="22"/>
          <w:lang w:eastAsia="ja-JP"/>
        </w:rPr>
      </w:pPr>
      <w:r w:rsidRPr="001C46DF">
        <w:rPr>
          <w:b/>
          <w:szCs w:val="22"/>
          <w:lang w:eastAsia="ja-JP"/>
        </w:rPr>
        <w:t>Timing</w:t>
      </w:r>
      <w:r w:rsidRPr="001C46DF">
        <w:rPr>
          <w:szCs w:val="22"/>
          <w:lang w:eastAsia="ja-JP"/>
        </w:rPr>
        <w:t>: 30-60</w:t>
      </w:r>
      <w:r w:rsidR="004F3B5F">
        <w:rPr>
          <w:szCs w:val="22"/>
          <w:lang w:eastAsia="ja-JP"/>
        </w:rPr>
        <w:t xml:space="preserve"> </w:t>
      </w:r>
      <w:r w:rsidRPr="001C46DF">
        <w:rPr>
          <w:szCs w:val="22"/>
          <w:lang w:eastAsia="ja-JP"/>
        </w:rPr>
        <w:t>min before the procedures</w:t>
      </w:r>
    </w:p>
    <w:p w14:paraId="39E65544" w14:textId="2F43E95E" w:rsidR="001C46DF" w:rsidRPr="00523F08" w:rsidRDefault="00F03F25" w:rsidP="00523F08">
      <w:pPr>
        <w:pStyle w:val="Heading2"/>
        <w:rPr>
          <w:rFonts w:cs="Arial"/>
          <w:szCs w:val="22"/>
        </w:rPr>
      </w:pPr>
      <w:r w:rsidRPr="001C46DF">
        <w:rPr>
          <w:rFonts w:cs="Arial"/>
          <w:szCs w:val="22"/>
        </w:rPr>
        <w:t>Key Issues for Nursing care</w:t>
      </w:r>
    </w:p>
    <w:p w14:paraId="5461F415" w14:textId="77777777" w:rsidR="001C46DF" w:rsidRDefault="001C46DF" w:rsidP="00D37EF2">
      <w:pPr>
        <w:pStyle w:val="ListParagraph"/>
        <w:numPr>
          <w:ilvl w:val="0"/>
          <w:numId w:val="10"/>
        </w:numPr>
      </w:pPr>
      <w:r>
        <w:t>Monitor vital signs especially temperature, heart rate, blood pressure, oxygen saturation</w:t>
      </w:r>
      <w:r w:rsidR="005C5BE6">
        <w:t>.</w:t>
      </w:r>
      <w:r>
        <w:t xml:space="preserve"> </w:t>
      </w:r>
    </w:p>
    <w:p w14:paraId="4CDDB66D" w14:textId="77777777" w:rsidR="001C46DF" w:rsidRDefault="001C46DF" w:rsidP="00D37EF2">
      <w:pPr>
        <w:pStyle w:val="ListParagraph"/>
        <w:numPr>
          <w:ilvl w:val="0"/>
          <w:numId w:val="10"/>
        </w:numPr>
      </w:pPr>
      <w:r>
        <w:t>Educate the patient about:</w:t>
      </w:r>
    </w:p>
    <w:p w14:paraId="70AC438B" w14:textId="5C9597DC" w:rsidR="00854E62" w:rsidRPr="001C46DF" w:rsidRDefault="004F3B5F" w:rsidP="00D37EF2">
      <w:pPr>
        <w:pStyle w:val="ListParagraph"/>
        <w:numPr>
          <w:ilvl w:val="0"/>
          <w:numId w:val="11"/>
        </w:numPr>
        <w:rPr>
          <w:lang w:eastAsia="ja-JP"/>
        </w:rPr>
      </w:pPr>
      <w:r>
        <w:t>The need to i</w:t>
      </w:r>
      <w:r w:rsidR="00854E62" w:rsidRPr="001C46DF">
        <w:t>nform other healthcare practitioners about history of endocarditis because they are at risk for it again and will need prophylactic antibiotics prior to invasive procedures</w:t>
      </w:r>
    </w:p>
    <w:p w14:paraId="1BA8246F" w14:textId="3E0B9C26" w:rsidR="00854E62" w:rsidRPr="001C46DF" w:rsidRDefault="00854E62" w:rsidP="00D37EF2">
      <w:pPr>
        <w:pStyle w:val="ListParagraph"/>
        <w:numPr>
          <w:ilvl w:val="0"/>
          <w:numId w:val="11"/>
        </w:numPr>
        <w:rPr>
          <w:lang w:eastAsia="ja-JP"/>
        </w:rPr>
      </w:pPr>
      <w:r w:rsidRPr="001C46DF">
        <w:t>How to take or administer antibiotics (complete all doses)</w:t>
      </w:r>
    </w:p>
    <w:p w14:paraId="47C55E36" w14:textId="3C207C48" w:rsidR="00D13825" w:rsidRPr="00523F08" w:rsidRDefault="004F3B5F" w:rsidP="00D37EF2">
      <w:pPr>
        <w:pStyle w:val="ListParagraph"/>
        <w:numPr>
          <w:ilvl w:val="0"/>
          <w:numId w:val="11"/>
        </w:numPr>
        <w:rPr>
          <w:lang w:eastAsia="ja-JP"/>
        </w:rPr>
      </w:pPr>
      <w:r>
        <w:t>The importance of g</w:t>
      </w:r>
      <w:r w:rsidR="00854E62" w:rsidRPr="001C46DF">
        <w:t>ood oral care</w:t>
      </w:r>
      <w:r>
        <w:t>.</w:t>
      </w:r>
    </w:p>
    <w:p w14:paraId="79BC0672" w14:textId="77777777" w:rsidR="00F03F25" w:rsidRPr="001C46DF" w:rsidRDefault="00F03F25" w:rsidP="00F03F25">
      <w:pPr>
        <w:pStyle w:val="Heading2"/>
        <w:rPr>
          <w:rFonts w:cs="Arial"/>
          <w:szCs w:val="22"/>
        </w:rPr>
      </w:pPr>
      <w:r w:rsidRPr="001C46DF">
        <w:rPr>
          <w:rFonts w:cs="Arial"/>
          <w:szCs w:val="22"/>
        </w:rPr>
        <w:t>References</w:t>
      </w:r>
    </w:p>
    <w:p w14:paraId="3D503289" w14:textId="77777777" w:rsidR="00F03F25" w:rsidRPr="001C46DF" w:rsidRDefault="00D05076" w:rsidP="005638D0">
      <w:pPr>
        <w:rPr>
          <w:sz w:val="20"/>
          <w:szCs w:val="20"/>
        </w:rPr>
      </w:pPr>
      <w:r w:rsidRPr="001C46DF">
        <w:rPr>
          <w:sz w:val="20"/>
          <w:szCs w:val="20"/>
        </w:rPr>
        <w:t>Guidelines for the diagnosis and antibiotic treatment of endocarditis in adults: Journal of Antimicrobial Chemotherapy, Volume 67, Issue 2, 1 February 2012, Pages 269–289</w:t>
      </w:r>
    </w:p>
    <w:p w14:paraId="48AF73A2" w14:textId="77777777" w:rsidR="00D05076" w:rsidRPr="001C46DF" w:rsidRDefault="00D05076" w:rsidP="005638D0">
      <w:pPr>
        <w:rPr>
          <w:sz w:val="20"/>
          <w:szCs w:val="20"/>
        </w:rPr>
      </w:pPr>
      <w:r w:rsidRPr="001C46DF">
        <w:rPr>
          <w:sz w:val="20"/>
          <w:szCs w:val="20"/>
        </w:rPr>
        <w:t>2015 ESC Guidelines for the management of infective endocarditis: European Heart Journal (2015) 36, 3075–3123 doi:10.1093/</w:t>
      </w:r>
      <w:proofErr w:type="spellStart"/>
      <w:r w:rsidRPr="001C46DF">
        <w:rPr>
          <w:sz w:val="20"/>
          <w:szCs w:val="20"/>
        </w:rPr>
        <w:t>eurheartj</w:t>
      </w:r>
      <w:proofErr w:type="spellEnd"/>
      <w:r w:rsidRPr="001C46DF">
        <w:rPr>
          <w:sz w:val="20"/>
          <w:szCs w:val="20"/>
        </w:rPr>
        <w:t>/ehv319</w:t>
      </w:r>
    </w:p>
    <w:p w14:paraId="0DF3DABB" w14:textId="77777777" w:rsidR="00D05076" w:rsidRPr="001C46DF" w:rsidRDefault="00D05076" w:rsidP="005638D0">
      <w:pPr>
        <w:rPr>
          <w:sz w:val="20"/>
          <w:szCs w:val="20"/>
          <w:lang w:eastAsia="ja-JP"/>
        </w:rPr>
      </w:pPr>
      <w:r w:rsidRPr="001C46DF">
        <w:rPr>
          <w:sz w:val="20"/>
          <w:szCs w:val="20"/>
          <w:lang w:eastAsia="ja-JP"/>
        </w:rPr>
        <w:t>Up to date: Antimicrobial therapy of prosthetic valve endocarditis: last updated: Sep 06, 2018</w:t>
      </w:r>
    </w:p>
    <w:p w14:paraId="5F1AF958" w14:textId="77777777" w:rsidR="00D05076" w:rsidRPr="001C46DF" w:rsidRDefault="00D05076" w:rsidP="005638D0">
      <w:pPr>
        <w:rPr>
          <w:sz w:val="20"/>
          <w:szCs w:val="20"/>
          <w:lang w:eastAsia="ja-JP"/>
        </w:rPr>
      </w:pPr>
      <w:r w:rsidRPr="001C46DF">
        <w:rPr>
          <w:sz w:val="20"/>
          <w:szCs w:val="20"/>
          <w:lang w:eastAsia="ja-JP"/>
        </w:rPr>
        <w:t>Up to date: Clinical manifestations and evaluation of adults with suspected native valve endocarditis last updated: Apr 27, 2018</w:t>
      </w:r>
    </w:p>
    <w:p w14:paraId="28DC94C3" w14:textId="77777777" w:rsidR="00D05076" w:rsidRPr="001C46DF" w:rsidRDefault="00D05076" w:rsidP="005638D0">
      <w:pPr>
        <w:rPr>
          <w:sz w:val="20"/>
          <w:szCs w:val="20"/>
          <w:lang w:eastAsia="ja-JP"/>
        </w:rPr>
      </w:pPr>
      <w:r w:rsidRPr="001C46DF">
        <w:rPr>
          <w:sz w:val="20"/>
          <w:szCs w:val="20"/>
          <w:lang w:eastAsia="ja-JP"/>
        </w:rPr>
        <w:t>Up to date: Epidemiology, risk factors, and microbiology of infective endocarditis: last updated: Oct 26, 2018.</w:t>
      </w:r>
    </w:p>
    <w:p w14:paraId="3143D6FB" w14:textId="77777777" w:rsidR="0028289F" w:rsidRPr="001C46DF" w:rsidRDefault="0028289F" w:rsidP="005638D0">
      <w:pPr>
        <w:rPr>
          <w:sz w:val="20"/>
          <w:szCs w:val="20"/>
          <w:lang w:eastAsia="ja-JP"/>
        </w:rPr>
      </w:pPr>
      <w:r w:rsidRPr="001C46DF">
        <w:rPr>
          <w:sz w:val="20"/>
          <w:szCs w:val="20"/>
          <w:lang w:eastAsia="ja-JP"/>
        </w:rPr>
        <w:t>Up to date: Infective endocarditis in children: last updated: Nov 29, 2017.</w:t>
      </w:r>
    </w:p>
    <w:p w14:paraId="129B225E" w14:textId="77777777" w:rsidR="00F03F25" w:rsidRDefault="004A073F" w:rsidP="005638D0">
      <w:pPr>
        <w:rPr>
          <w:sz w:val="20"/>
          <w:szCs w:val="20"/>
          <w:lang w:eastAsia="ja-JP"/>
        </w:rPr>
      </w:pPr>
      <w:r w:rsidRPr="004A073F">
        <w:rPr>
          <w:sz w:val="20"/>
          <w:szCs w:val="20"/>
          <w:lang w:eastAsia="ja-JP"/>
        </w:rPr>
        <w:t xml:space="preserve">Endocarditis NCLEX Review| </w:t>
      </w:r>
      <w:r w:rsidR="00125B7A">
        <w:rPr>
          <w:sz w:val="20"/>
          <w:szCs w:val="20"/>
          <w:lang w:eastAsia="ja-JP"/>
        </w:rPr>
        <w:t>Registered Nurse RN. com| NCLEX Review</w:t>
      </w:r>
      <w:r w:rsidRPr="004A073F">
        <w:rPr>
          <w:sz w:val="20"/>
          <w:szCs w:val="20"/>
          <w:lang w:eastAsia="ja-JP"/>
        </w:rPr>
        <w:t>. Web. 19 Aug. 2016</w:t>
      </w:r>
    </w:p>
    <w:p w14:paraId="6482390D" w14:textId="77777777" w:rsidR="00940707" w:rsidRPr="001C46DF" w:rsidRDefault="00940707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1C46DF" w14:paraId="369C3FBA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2D39DCF" w14:textId="77777777" w:rsidR="004C4442" w:rsidRPr="001C46DF" w:rsidRDefault="004C4442" w:rsidP="00522C6C">
            <w:pPr>
              <w:spacing w:after="0"/>
              <w:rPr>
                <w:b/>
                <w:szCs w:val="22"/>
              </w:rPr>
            </w:pPr>
            <w:r w:rsidRPr="001C46DF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B59F23B" w14:textId="77777777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>Name</w:t>
            </w:r>
            <w:r w:rsidR="005638D0" w:rsidRPr="001C46DF">
              <w:rPr>
                <w:szCs w:val="22"/>
              </w:rPr>
              <w:t xml:space="preserve">: </w:t>
            </w:r>
            <w:r w:rsidR="000A243F" w:rsidRPr="001C46DF">
              <w:rPr>
                <w:szCs w:val="22"/>
              </w:rPr>
              <w:t>Eriko Ikeda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4AE87CC" w14:textId="49AD0A6C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 xml:space="preserve">Date: </w:t>
            </w:r>
            <w:r w:rsidR="00BA155C">
              <w:rPr>
                <w:szCs w:val="22"/>
              </w:rPr>
              <w:t>16</w:t>
            </w:r>
            <w:r w:rsidR="00B24328">
              <w:rPr>
                <w:szCs w:val="22"/>
              </w:rPr>
              <w:t xml:space="preserve"> November </w:t>
            </w:r>
            <w:r w:rsidR="00BA155C">
              <w:rPr>
                <w:szCs w:val="22"/>
              </w:rPr>
              <w:t>2018</w:t>
            </w:r>
          </w:p>
        </w:tc>
      </w:tr>
      <w:tr w:rsidR="004C4442" w:rsidRPr="001C46DF" w14:paraId="34C12923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3459944" w14:textId="77777777" w:rsidR="004C4442" w:rsidRPr="001C46DF" w:rsidRDefault="004C4442" w:rsidP="00522C6C">
            <w:pPr>
              <w:spacing w:after="0"/>
              <w:rPr>
                <w:b/>
                <w:szCs w:val="22"/>
              </w:rPr>
            </w:pPr>
            <w:r w:rsidRPr="001C46DF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0157F40" w14:textId="5753808A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 xml:space="preserve">Name: </w:t>
            </w:r>
            <w:r w:rsidR="00B24328">
              <w:rPr>
                <w:szCs w:val="22"/>
              </w:rPr>
              <w:t>Karen Forrest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3BF80E9" w14:textId="495511B0" w:rsidR="00B24328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 xml:space="preserve">Date: </w:t>
            </w:r>
            <w:r w:rsidR="00B24328">
              <w:rPr>
                <w:szCs w:val="22"/>
              </w:rPr>
              <w:t>21 November 2018</w:t>
            </w:r>
          </w:p>
        </w:tc>
      </w:tr>
      <w:tr w:rsidR="00C506AF" w:rsidRPr="001C46DF" w14:paraId="1F628BE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4F85412" w14:textId="77777777" w:rsidR="00C506AF" w:rsidRPr="001C46DF" w:rsidRDefault="00C506AF" w:rsidP="00522C6C">
            <w:pPr>
              <w:spacing w:after="0"/>
              <w:rPr>
                <w:b/>
                <w:szCs w:val="22"/>
              </w:rPr>
            </w:pPr>
          </w:p>
        </w:tc>
        <w:tc>
          <w:tcPr>
            <w:tcW w:w="3622" w:type="dxa"/>
            <w:shd w:val="clear" w:color="auto" w:fill="auto"/>
            <w:vAlign w:val="bottom"/>
          </w:tcPr>
          <w:p w14:paraId="35BDFD46" w14:textId="33227DA3" w:rsidR="00C506AF" w:rsidRPr="001C46DF" w:rsidRDefault="00C506AF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Name: Thushan de Silva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4AA2BE3" w14:textId="3E79BD58" w:rsidR="00C506AF" w:rsidRPr="001C46DF" w:rsidRDefault="00C506AF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Date: 21 November 2018</w:t>
            </w:r>
          </w:p>
        </w:tc>
      </w:tr>
      <w:tr w:rsidR="004C4442" w:rsidRPr="001C46DF" w14:paraId="6ED80A3F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153E9EC" w14:textId="77777777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B41E424" w14:textId="77777777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9DA1803" w14:textId="77777777" w:rsidR="004C4442" w:rsidRPr="001C46DF" w:rsidRDefault="004C4442" w:rsidP="00522C6C">
            <w:pPr>
              <w:spacing w:after="0"/>
              <w:rPr>
                <w:b/>
                <w:szCs w:val="22"/>
              </w:rPr>
            </w:pPr>
            <w:r w:rsidRPr="001C46DF">
              <w:rPr>
                <w:b/>
                <w:szCs w:val="22"/>
              </w:rPr>
              <w:t>Review due date:</w:t>
            </w:r>
          </w:p>
        </w:tc>
      </w:tr>
      <w:tr w:rsidR="004C4442" w:rsidRPr="001C46DF" w14:paraId="32511BF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10E06F3" w14:textId="77777777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22D800E" w14:textId="77777777" w:rsidR="004C4442" w:rsidRPr="001C46DF" w:rsidRDefault="004C4442" w:rsidP="00522C6C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66966297" w14:textId="1D463884" w:rsidR="004C4442" w:rsidRPr="001C46DF" w:rsidRDefault="007D62BE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7A5BC4" w:rsidRPr="001C46DF" w14:paraId="5F9165B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C7A0839" w14:textId="0599DFD4" w:rsidR="007A5BC4" w:rsidRPr="001C46DF" w:rsidRDefault="007A5BC4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09A492D" w14:textId="3AA026F5" w:rsidR="007A5BC4" w:rsidRPr="001C46DF" w:rsidRDefault="007A5BC4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29F60E5A" w14:textId="756015E1" w:rsidR="007A5BC4" w:rsidRDefault="007A5BC4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January 2021</w:t>
            </w:r>
          </w:p>
        </w:tc>
      </w:tr>
      <w:tr w:rsidR="005638D0" w:rsidRPr="001C46DF" w14:paraId="76112C8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CAA95CA" w14:textId="77777777" w:rsidR="005638D0" w:rsidRPr="001C46DF" w:rsidRDefault="005638D0" w:rsidP="005638D0">
            <w:pPr>
              <w:spacing w:after="0"/>
              <w:rPr>
                <w:szCs w:val="22"/>
              </w:rPr>
            </w:pPr>
            <w:r w:rsidRPr="001C46DF">
              <w:rPr>
                <w:szCs w:val="22"/>
              </w:rPr>
              <w:t>Review Comments (</w:t>
            </w:r>
            <w:r w:rsidRPr="001C46DF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7415606" w14:textId="77777777" w:rsidR="005638D0" w:rsidRPr="001C46DF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508E16E5" w14:textId="77777777" w:rsidR="005638D0" w:rsidRPr="001C46DF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0BE70381" w14:textId="77777777" w:rsidR="00975A60" w:rsidRPr="001C46DF" w:rsidRDefault="00975A60" w:rsidP="00975A60">
      <w:pPr>
        <w:rPr>
          <w:szCs w:val="22"/>
        </w:rPr>
      </w:pPr>
    </w:p>
    <w:sectPr w:rsidR="00975A60" w:rsidRPr="001C46DF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5EC3" w14:textId="77777777" w:rsidR="00B770C4" w:rsidRDefault="00B770C4" w:rsidP="00975A60">
      <w:pPr>
        <w:spacing w:after="0"/>
      </w:pPr>
      <w:r>
        <w:separator/>
      </w:r>
    </w:p>
  </w:endnote>
  <w:endnote w:type="continuationSeparator" w:id="0">
    <w:p w14:paraId="5C712F52" w14:textId="77777777" w:rsidR="00B770C4" w:rsidRDefault="00B770C4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9FC7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3E392F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A174B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C67021">
      <w:rPr>
        <w:rStyle w:val="PageNumber"/>
        <w:noProof/>
      </w:rPr>
      <w:t>1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7AC7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>
      <w:rPr>
        <w:rStyle w:val="PageNumber"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B4F0D" w14:textId="77777777" w:rsidR="00B770C4" w:rsidRDefault="00B770C4" w:rsidP="00975A60">
      <w:pPr>
        <w:spacing w:after="0"/>
      </w:pPr>
      <w:r>
        <w:separator/>
      </w:r>
    </w:p>
  </w:footnote>
  <w:footnote w:type="continuationSeparator" w:id="0">
    <w:p w14:paraId="60359CC1" w14:textId="77777777" w:rsidR="00B770C4" w:rsidRDefault="00B770C4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A558C" w14:textId="13F0D064" w:rsidR="00D13825" w:rsidRPr="00F87812" w:rsidRDefault="00D13825" w:rsidP="00D13825">
    <w:pPr>
      <w:pStyle w:val="Header"/>
    </w:pPr>
    <w:r w:rsidRPr="00F87812">
      <w:t>Identification code: MeG-CLS-</w:t>
    </w:r>
    <w:r w:rsidR="00FD25C7">
      <w:t>0</w:t>
    </w:r>
    <w:r w:rsidR="007D62BE">
      <w:t>58</w:t>
    </w:r>
    <w:r w:rsidRPr="00F87812">
      <w:tab/>
    </w:r>
  </w:p>
  <w:p w14:paraId="135E2AF1" w14:textId="7E184F94" w:rsidR="00D17714" w:rsidRPr="00D17714" w:rsidRDefault="00D17714" w:rsidP="00D17714">
    <w:pPr>
      <w:pStyle w:val="Header"/>
    </w:pPr>
    <w:r w:rsidRPr="00D17714">
      <w:t xml:space="preserve">Version: </w:t>
    </w:r>
    <w:r w:rsidR="007D62BE">
      <w:t>1</w:t>
    </w:r>
    <w:r w:rsidRPr="00D17714">
      <w:t>.</w:t>
    </w:r>
    <w:r w:rsidR="00FA01E4">
      <w:t>1</w:t>
    </w:r>
    <w:r w:rsidRPr="00D17714">
      <w:t xml:space="preserve"> – </w:t>
    </w:r>
    <w:r w:rsidR="007D62BE">
      <w:t>31 January 2019</w:t>
    </w:r>
  </w:p>
  <w:p w14:paraId="3B40AD3B" w14:textId="48A23F2B" w:rsidR="005D1877" w:rsidRPr="00D13825" w:rsidRDefault="005D1877" w:rsidP="00D17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DDA7" w14:textId="77777777" w:rsidR="00D13825" w:rsidRDefault="00D13825" w:rsidP="00D17714">
    <w:pPr>
      <w:pStyle w:val="Header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60288" behindDoc="1" locked="0" layoutInCell="1" allowOverlap="1" wp14:anchorId="4278FCC3" wp14:editId="36859DA1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8C0CBC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27D16390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26E547EE" w14:textId="78B0859E" w:rsidR="00D13825" w:rsidRPr="00D17714" w:rsidRDefault="00D13825" w:rsidP="00D13825">
    <w:pPr>
      <w:pStyle w:val="Header"/>
    </w:pPr>
    <w:r w:rsidRPr="00F87812">
      <w:t>Identification code: MeG-CLS</w:t>
    </w:r>
    <w:r w:rsidR="00FD25C7">
      <w:t>-0</w:t>
    </w:r>
    <w:r w:rsidR="007D62BE">
      <w:t>58</w:t>
    </w:r>
    <w:r w:rsidRPr="00F87812">
      <w:tab/>
    </w:r>
  </w:p>
  <w:p w14:paraId="45054D47" w14:textId="1C92E4E6" w:rsidR="00D13825" w:rsidRPr="00D17714" w:rsidRDefault="00D13825" w:rsidP="00D13825">
    <w:pPr>
      <w:pStyle w:val="Header"/>
    </w:pPr>
    <w:r w:rsidRPr="00D17714">
      <w:t xml:space="preserve">Version: </w:t>
    </w:r>
    <w:r w:rsidR="007D62BE">
      <w:t>1</w:t>
    </w:r>
    <w:r w:rsidRPr="00D17714">
      <w:t>.</w:t>
    </w:r>
    <w:r w:rsidR="00FA01E4">
      <w:t>1</w:t>
    </w:r>
    <w:r w:rsidRPr="00D17714">
      <w:t xml:space="preserve"> – </w:t>
    </w:r>
    <w:r w:rsidR="007D62BE">
      <w:t>31 January 2019</w:t>
    </w:r>
  </w:p>
  <w:p w14:paraId="77727222" w14:textId="77777777" w:rsidR="00D13825" w:rsidRPr="00D17714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27F4"/>
    <w:multiLevelType w:val="hybridMultilevel"/>
    <w:tmpl w:val="F156F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E22D5"/>
    <w:multiLevelType w:val="hybridMultilevel"/>
    <w:tmpl w:val="F0CE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05902"/>
    <w:multiLevelType w:val="hybridMultilevel"/>
    <w:tmpl w:val="2D6833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2F2C16"/>
    <w:multiLevelType w:val="hybridMultilevel"/>
    <w:tmpl w:val="2AE0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2C38"/>
    <w:multiLevelType w:val="hybridMultilevel"/>
    <w:tmpl w:val="52F87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F65FB"/>
    <w:multiLevelType w:val="hybridMultilevel"/>
    <w:tmpl w:val="113C8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80ACE"/>
    <w:multiLevelType w:val="hybridMultilevel"/>
    <w:tmpl w:val="5FAA8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235BF"/>
    <w:multiLevelType w:val="hybridMultilevel"/>
    <w:tmpl w:val="24B8F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F6AE6"/>
    <w:multiLevelType w:val="hybridMultilevel"/>
    <w:tmpl w:val="72AA595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6291127"/>
    <w:multiLevelType w:val="hybridMultilevel"/>
    <w:tmpl w:val="4C54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D02B3"/>
    <w:multiLevelType w:val="hybridMultilevel"/>
    <w:tmpl w:val="79541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E5713"/>
    <w:multiLevelType w:val="hybridMultilevel"/>
    <w:tmpl w:val="962ED588"/>
    <w:lvl w:ilvl="0" w:tplc="0809000F">
      <w:start w:val="1"/>
      <w:numFmt w:val="decimal"/>
      <w:lvlText w:val="%1."/>
      <w:lvlJc w:val="left"/>
      <w:pPr>
        <w:ind w:left="1050" w:hanging="360"/>
      </w:pPr>
    </w:lvl>
    <w:lvl w:ilvl="1" w:tplc="08090019" w:tentative="1">
      <w:start w:val="1"/>
      <w:numFmt w:val="lowerLetter"/>
      <w:lvlText w:val="%2."/>
      <w:lvlJc w:val="left"/>
      <w:pPr>
        <w:ind w:left="1770" w:hanging="360"/>
      </w:pPr>
    </w:lvl>
    <w:lvl w:ilvl="2" w:tplc="0809001B" w:tentative="1">
      <w:start w:val="1"/>
      <w:numFmt w:val="lowerRoman"/>
      <w:lvlText w:val="%3."/>
      <w:lvlJc w:val="right"/>
      <w:pPr>
        <w:ind w:left="2490" w:hanging="180"/>
      </w:pPr>
    </w:lvl>
    <w:lvl w:ilvl="3" w:tplc="0809000F" w:tentative="1">
      <w:start w:val="1"/>
      <w:numFmt w:val="decimal"/>
      <w:lvlText w:val="%4."/>
      <w:lvlJc w:val="left"/>
      <w:pPr>
        <w:ind w:left="3210" w:hanging="360"/>
      </w:pPr>
    </w:lvl>
    <w:lvl w:ilvl="4" w:tplc="08090019" w:tentative="1">
      <w:start w:val="1"/>
      <w:numFmt w:val="lowerLetter"/>
      <w:lvlText w:val="%5."/>
      <w:lvlJc w:val="left"/>
      <w:pPr>
        <w:ind w:left="3930" w:hanging="360"/>
      </w:pPr>
    </w:lvl>
    <w:lvl w:ilvl="5" w:tplc="0809001B" w:tentative="1">
      <w:start w:val="1"/>
      <w:numFmt w:val="lowerRoman"/>
      <w:lvlText w:val="%6."/>
      <w:lvlJc w:val="right"/>
      <w:pPr>
        <w:ind w:left="4650" w:hanging="180"/>
      </w:pPr>
    </w:lvl>
    <w:lvl w:ilvl="6" w:tplc="0809000F" w:tentative="1">
      <w:start w:val="1"/>
      <w:numFmt w:val="decimal"/>
      <w:lvlText w:val="%7."/>
      <w:lvlJc w:val="left"/>
      <w:pPr>
        <w:ind w:left="5370" w:hanging="360"/>
      </w:pPr>
    </w:lvl>
    <w:lvl w:ilvl="7" w:tplc="08090019" w:tentative="1">
      <w:start w:val="1"/>
      <w:numFmt w:val="lowerLetter"/>
      <w:lvlText w:val="%8."/>
      <w:lvlJc w:val="left"/>
      <w:pPr>
        <w:ind w:left="6090" w:hanging="360"/>
      </w:pPr>
    </w:lvl>
    <w:lvl w:ilvl="8" w:tplc="08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7AB7247A"/>
    <w:multiLevelType w:val="hybridMultilevel"/>
    <w:tmpl w:val="383A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8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MjMzNTQ2NDYxMDFT0lEKTi0uzszPAykwrAUA8dzQ0iwAAAA="/>
  </w:docVars>
  <w:rsids>
    <w:rsidRoot w:val="00D50479"/>
    <w:rsid w:val="000039D9"/>
    <w:rsid w:val="000122B8"/>
    <w:rsid w:val="00013D45"/>
    <w:rsid w:val="0007147C"/>
    <w:rsid w:val="00081642"/>
    <w:rsid w:val="00082C0D"/>
    <w:rsid w:val="00092684"/>
    <w:rsid w:val="00094BDE"/>
    <w:rsid w:val="000A243F"/>
    <w:rsid w:val="000A7BB3"/>
    <w:rsid w:val="00114AAF"/>
    <w:rsid w:val="001203AE"/>
    <w:rsid w:val="00125B7A"/>
    <w:rsid w:val="00141DD5"/>
    <w:rsid w:val="001729C1"/>
    <w:rsid w:val="00174EC4"/>
    <w:rsid w:val="00175153"/>
    <w:rsid w:val="001C1450"/>
    <w:rsid w:val="001C1CEF"/>
    <w:rsid w:val="001C46DF"/>
    <w:rsid w:val="001E6E27"/>
    <w:rsid w:val="001F4013"/>
    <w:rsid w:val="001F56F7"/>
    <w:rsid w:val="001F7438"/>
    <w:rsid w:val="00220873"/>
    <w:rsid w:val="00223920"/>
    <w:rsid w:val="00227FB9"/>
    <w:rsid w:val="00231196"/>
    <w:rsid w:val="00252A11"/>
    <w:rsid w:val="00252AC9"/>
    <w:rsid w:val="00263E35"/>
    <w:rsid w:val="00272365"/>
    <w:rsid w:val="00275587"/>
    <w:rsid w:val="0028289F"/>
    <w:rsid w:val="002879B1"/>
    <w:rsid w:val="0029357D"/>
    <w:rsid w:val="00294732"/>
    <w:rsid w:val="002A2856"/>
    <w:rsid w:val="003020A2"/>
    <w:rsid w:val="003038D3"/>
    <w:rsid w:val="003225CD"/>
    <w:rsid w:val="003423A3"/>
    <w:rsid w:val="003939AC"/>
    <w:rsid w:val="00396010"/>
    <w:rsid w:val="003C0800"/>
    <w:rsid w:val="003F70CA"/>
    <w:rsid w:val="00430EFE"/>
    <w:rsid w:val="00432AC0"/>
    <w:rsid w:val="0048600D"/>
    <w:rsid w:val="00491CD4"/>
    <w:rsid w:val="004968BC"/>
    <w:rsid w:val="004A073F"/>
    <w:rsid w:val="004A25F0"/>
    <w:rsid w:val="004A4C93"/>
    <w:rsid w:val="004C4442"/>
    <w:rsid w:val="004D113D"/>
    <w:rsid w:val="004D744D"/>
    <w:rsid w:val="004F3B5F"/>
    <w:rsid w:val="005151D8"/>
    <w:rsid w:val="00515546"/>
    <w:rsid w:val="00523F08"/>
    <w:rsid w:val="00532036"/>
    <w:rsid w:val="005448CC"/>
    <w:rsid w:val="005638D0"/>
    <w:rsid w:val="00593A75"/>
    <w:rsid w:val="005A141A"/>
    <w:rsid w:val="005A6DEC"/>
    <w:rsid w:val="005C5BE6"/>
    <w:rsid w:val="005D1877"/>
    <w:rsid w:val="005D7A7E"/>
    <w:rsid w:val="0061100B"/>
    <w:rsid w:val="00633320"/>
    <w:rsid w:val="0066726D"/>
    <w:rsid w:val="0067326B"/>
    <w:rsid w:val="0068578E"/>
    <w:rsid w:val="00690C96"/>
    <w:rsid w:val="00693F64"/>
    <w:rsid w:val="006A0573"/>
    <w:rsid w:val="006A074B"/>
    <w:rsid w:val="006A5359"/>
    <w:rsid w:val="006A76E5"/>
    <w:rsid w:val="006B07F1"/>
    <w:rsid w:val="006B7DA0"/>
    <w:rsid w:val="006C21AB"/>
    <w:rsid w:val="006C61A1"/>
    <w:rsid w:val="006E61E9"/>
    <w:rsid w:val="006F421C"/>
    <w:rsid w:val="007067BE"/>
    <w:rsid w:val="007425A2"/>
    <w:rsid w:val="0076299E"/>
    <w:rsid w:val="00786B47"/>
    <w:rsid w:val="00793728"/>
    <w:rsid w:val="007A5BC4"/>
    <w:rsid w:val="007A73A5"/>
    <w:rsid w:val="007B26B1"/>
    <w:rsid w:val="007C599D"/>
    <w:rsid w:val="007C5F45"/>
    <w:rsid w:val="007D62BE"/>
    <w:rsid w:val="008053B3"/>
    <w:rsid w:val="00820CA0"/>
    <w:rsid w:val="008330F7"/>
    <w:rsid w:val="00843DDF"/>
    <w:rsid w:val="00843DF4"/>
    <w:rsid w:val="00854E62"/>
    <w:rsid w:val="00857027"/>
    <w:rsid w:val="008607EF"/>
    <w:rsid w:val="00865108"/>
    <w:rsid w:val="008D0F59"/>
    <w:rsid w:val="008F6290"/>
    <w:rsid w:val="00914E1C"/>
    <w:rsid w:val="009165E9"/>
    <w:rsid w:val="009325A7"/>
    <w:rsid w:val="00940707"/>
    <w:rsid w:val="00947730"/>
    <w:rsid w:val="00954B70"/>
    <w:rsid w:val="00975A60"/>
    <w:rsid w:val="009956F9"/>
    <w:rsid w:val="009B44BE"/>
    <w:rsid w:val="009B5CCA"/>
    <w:rsid w:val="009F4C49"/>
    <w:rsid w:val="009F5B1B"/>
    <w:rsid w:val="00A22200"/>
    <w:rsid w:val="00A312D8"/>
    <w:rsid w:val="00A329C3"/>
    <w:rsid w:val="00A41080"/>
    <w:rsid w:val="00A44718"/>
    <w:rsid w:val="00A66F40"/>
    <w:rsid w:val="00A82D44"/>
    <w:rsid w:val="00AA1487"/>
    <w:rsid w:val="00AE179E"/>
    <w:rsid w:val="00AF76C4"/>
    <w:rsid w:val="00B01534"/>
    <w:rsid w:val="00B24328"/>
    <w:rsid w:val="00B31AC4"/>
    <w:rsid w:val="00B34817"/>
    <w:rsid w:val="00B734CC"/>
    <w:rsid w:val="00B770C4"/>
    <w:rsid w:val="00B844E8"/>
    <w:rsid w:val="00B866C2"/>
    <w:rsid w:val="00BA0CCA"/>
    <w:rsid w:val="00BA155C"/>
    <w:rsid w:val="00BD08AB"/>
    <w:rsid w:val="00BD2EAE"/>
    <w:rsid w:val="00C02A27"/>
    <w:rsid w:val="00C14373"/>
    <w:rsid w:val="00C506AF"/>
    <w:rsid w:val="00C51169"/>
    <w:rsid w:val="00C67021"/>
    <w:rsid w:val="00C858FE"/>
    <w:rsid w:val="00CA4527"/>
    <w:rsid w:val="00CC3CF5"/>
    <w:rsid w:val="00CC4A27"/>
    <w:rsid w:val="00CD4A1D"/>
    <w:rsid w:val="00CE7CDB"/>
    <w:rsid w:val="00CF192B"/>
    <w:rsid w:val="00D03AB2"/>
    <w:rsid w:val="00D05076"/>
    <w:rsid w:val="00D13825"/>
    <w:rsid w:val="00D17714"/>
    <w:rsid w:val="00D373C2"/>
    <w:rsid w:val="00D37EF2"/>
    <w:rsid w:val="00D50479"/>
    <w:rsid w:val="00D6377F"/>
    <w:rsid w:val="00D779AD"/>
    <w:rsid w:val="00D77EFD"/>
    <w:rsid w:val="00D82E27"/>
    <w:rsid w:val="00DA1218"/>
    <w:rsid w:val="00DA20ED"/>
    <w:rsid w:val="00DC1CC5"/>
    <w:rsid w:val="00DC590C"/>
    <w:rsid w:val="00DE3D6D"/>
    <w:rsid w:val="00DF345F"/>
    <w:rsid w:val="00E162DA"/>
    <w:rsid w:val="00E720E9"/>
    <w:rsid w:val="00E73DF5"/>
    <w:rsid w:val="00E80775"/>
    <w:rsid w:val="00E80A7E"/>
    <w:rsid w:val="00E81F10"/>
    <w:rsid w:val="00EA0A48"/>
    <w:rsid w:val="00EB57AE"/>
    <w:rsid w:val="00EC38F5"/>
    <w:rsid w:val="00EC4755"/>
    <w:rsid w:val="00ED12DB"/>
    <w:rsid w:val="00ED322A"/>
    <w:rsid w:val="00F03F25"/>
    <w:rsid w:val="00F13E9D"/>
    <w:rsid w:val="00F535A1"/>
    <w:rsid w:val="00F53968"/>
    <w:rsid w:val="00F62F09"/>
    <w:rsid w:val="00F71F11"/>
    <w:rsid w:val="00FA01E4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43FB67"/>
  <w15:docId w15:val="{9E83244A-6889-4B62-AD04-730D9FD7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203AE"/>
    <w:rPr>
      <w:color w:val="605E5C"/>
      <w:shd w:val="clear" w:color="auto" w:fill="E1DFDD"/>
    </w:rPr>
  </w:style>
  <w:style w:type="character" w:customStyle="1" w:styleId="1">
    <w:name w:val="強調斜体1"/>
    <w:basedOn w:val="DefaultParagraphFont"/>
    <w:rsid w:val="0028289F"/>
  </w:style>
  <w:style w:type="character" w:styleId="CommentReference">
    <w:name w:val="annotation reference"/>
    <w:basedOn w:val="DefaultParagraphFont"/>
    <w:semiHidden/>
    <w:unhideWhenUsed/>
    <w:rsid w:val="00C02A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2A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2A27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2A27"/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o\Documents\Gambia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9</TotalTime>
  <Pages>7</Pages>
  <Words>1615</Words>
  <Characters>9207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MRC</Company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</dc:creator>
  <cp:keywords/>
  <dc:description/>
  <cp:lastModifiedBy>Karen Forrest</cp:lastModifiedBy>
  <cp:revision>16</cp:revision>
  <cp:lastPrinted>2019-04-05T11:04:00Z</cp:lastPrinted>
  <dcterms:created xsi:type="dcterms:W3CDTF">2018-11-22T12:21:00Z</dcterms:created>
  <dcterms:modified xsi:type="dcterms:W3CDTF">2019-05-13T13:11:00Z</dcterms:modified>
</cp:coreProperties>
</file>