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BB1D11" w14:textId="2B3D7DA0" w:rsidR="00490769" w:rsidRPr="009B367D" w:rsidRDefault="00490769" w:rsidP="00490769">
      <w:pPr>
        <w:pStyle w:val="Heading1"/>
      </w:pPr>
      <w:r w:rsidRPr="009B367D">
        <w:t xml:space="preserve">Inflammatory arthritis and connective tissue disease </w:t>
      </w:r>
    </w:p>
    <w:p w14:paraId="1756D6D1" w14:textId="77777777" w:rsidR="00490769" w:rsidRPr="00490769" w:rsidRDefault="00490769" w:rsidP="00490769">
      <w:pPr>
        <w:pStyle w:val="Heading2"/>
        <w:rPr>
          <w:i/>
          <w:iCs/>
        </w:rPr>
      </w:pPr>
      <w:r w:rsidRPr="00490769">
        <w:rPr>
          <w:i/>
          <w:iCs/>
        </w:rPr>
        <w:t xml:space="preserve">Executive summary </w:t>
      </w:r>
    </w:p>
    <w:p w14:paraId="797BC7E5" w14:textId="77777777" w:rsidR="00490769" w:rsidRPr="009B367D" w:rsidRDefault="00490769" w:rsidP="00490769">
      <w:pPr>
        <w:pStyle w:val="Heading2"/>
      </w:pPr>
      <w:r w:rsidRPr="009B367D">
        <w:t xml:space="preserve">Introduction </w:t>
      </w:r>
    </w:p>
    <w:p w14:paraId="1CB09055" w14:textId="77777777" w:rsidR="00490769" w:rsidRPr="009B367D" w:rsidRDefault="00490769" w:rsidP="00490769">
      <w:pPr>
        <w:spacing w:line="276" w:lineRule="auto"/>
        <w:ind w:left="-5"/>
        <w:jc w:val="both"/>
      </w:pPr>
      <w:r w:rsidRPr="009B367D">
        <w:t xml:space="preserve">Rheumatological disorders are difficult to diagnose accurately in our setting and can be difficult to treat, as we are limited by the poor availability of tests and treatments. They are also not common. Despite this, we </w:t>
      </w:r>
      <w:proofErr w:type="gramStart"/>
      <w:r w:rsidRPr="009B367D">
        <w:t>are able to</w:t>
      </w:r>
      <w:proofErr w:type="gramEnd"/>
      <w:r w:rsidRPr="009B367D">
        <w:t xml:space="preserve"> improve the quality of life and prognosis of most of the patients with the medications we have available.  </w:t>
      </w:r>
    </w:p>
    <w:p w14:paraId="3C9DD556" w14:textId="77777777" w:rsidR="00490769" w:rsidRPr="009B367D" w:rsidRDefault="00490769" w:rsidP="00490769">
      <w:pPr>
        <w:spacing w:line="276" w:lineRule="auto"/>
        <w:ind w:left="-5"/>
        <w:jc w:val="both"/>
      </w:pPr>
      <w:r w:rsidRPr="009B367D">
        <w:t xml:space="preserve">Rheumatoid arthritis is the most common condition seen. It is a symmetric, inflammatory, peripheral polyarthritis. Untreated, it leads to joint destruction and disability.  </w:t>
      </w:r>
    </w:p>
    <w:p w14:paraId="0E0E1086" w14:textId="77777777" w:rsidR="00490769" w:rsidRPr="009B367D" w:rsidRDefault="00490769" w:rsidP="00490769">
      <w:pPr>
        <w:spacing w:line="276" w:lineRule="auto"/>
        <w:ind w:left="-5"/>
        <w:jc w:val="both"/>
      </w:pPr>
      <w:r w:rsidRPr="009B367D">
        <w:t xml:space="preserve">Other connective tissue disorders are much less common. However, similar principles can be used to care for these patients.  </w:t>
      </w:r>
    </w:p>
    <w:p w14:paraId="4C9C94B5" w14:textId="77777777" w:rsidR="00490769" w:rsidRPr="009B367D" w:rsidRDefault="00490769" w:rsidP="00490769">
      <w:pPr>
        <w:pStyle w:val="Heading2"/>
      </w:pPr>
      <w:r w:rsidRPr="009B367D">
        <w:t xml:space="preserve">Target users </w:t>
      </w:r>
    </w:p>
    <w:p w14:paraId="2E01CE27" w14:textId="77777777" w:rsidR="00490769" w:rsidRPr="009B367D" w:rsidRDefault="00490769" w:rsidP="00490769">
      <w:pPr>
        <w:pStyle w:val="ListParagraph"/>
        <w:numPr>
          <w:ilvl w:val="0"/>
          <w:numId w:val="31"/>
        </w:numPr>
      </w:pPr>
      <w:r w:rsidRPr="009B367D">
        <w:t xml:space="preserve">Doctors </w:t>
      </w:r>
    </w:p>
    <w:p w14:paraId="164E8550" w14:textId="77777777" w:rsidR="00490769" w:rsidRPr="009B367D" w:rsidRDefault="00490769" w:rsidP="00490769">
      <w:pPr>
        <w:pStyle w:val="Heading2"/>
      </w:pPr>
      <w:r w:rsidRPr="009B367D">
        <w:t xml:space="preserve">Target area of use  </w:t>
      </w:r>
    </w:p>
    <w:p w14:paraId="5D5D0B0D" w14:textId="77777777" w:rsidR="00490769" w:rsidRPr="009B367D" w:rsidRDefault="00490769" w:rsidP="00490769">
      <w:pPr>
        <w:pStyle w:val="ListParagraph"/>
        <w:numPr>
          <w:ilvl w:val="0"/>
          <w:numId w:val="31"/>
        </w:numPr>
      </w:pPr>
      <w:r w:rsidRPr="009B367D">
        <w:t xml:space="preserve">Outpatient department </w:t>
      </w:r>
    </w:p>
    <w:p w14:paraId="557DEC61" w14:textId="77777777" w:rsidR="00490769" w:rsidRPr="009B367D" w:rsidRDefault="00490769" w:rsidP="00490769">
      <w:pPr>
        <w:pStyle w:val="Heading2"/>
      </w:pPr>
      <w:r w:rsidRPr="009B367D">
        <w:t xml:space="preserve">Key areas of focus / New additions / Changes  </w:t>
      </w:r>
    </w:p>
    <w:p w14:paraId="5AE22C57" w14:textId="77777777" w:rsidR="00490769" w:rsidRPr="009B367D" w:rsidRDefault="00490769" w:rsidP="00490769">
      <w:pPr>
        <w:spacing w:after="205" w:line="276" w:lineRule="auto"/>
        <w:ind w:left="-5" w:right="139"/>
        <w:jc w:val="both"/>
      </w:pPr>
      <w:r w:rsidRPr="009B367D">
        <w:t xml:space="preserve">This guideline outlines an approach to connective tissue and inflammatory conditions in our setting. It describes the use of methotrexate (the only available DMARD in our setting) and the clinical disease activity index for monitoring progress. </w:t>
      </w:r>
    </w:p>
    <w:p w14:paraId="31CBDD0C" w14:textId="77777777" w:rsidR="00490769" w:rsidRPr="009B367D" w:rsidRDefault="00490769" w:rsidP="00490769">
      <w:pPr>
        <w:pStyle w:val="Heading2"/>
      </w:pPr>
      <w:r w:rsidRPr="009B367D">
        <w:t xml:space="preserve">Limitations </w:t>
      </w:r>
    </w:p>
    <w:p w14:paraId="74EBEE39" w14:textId="77777777" w:rsidR="00490769" w:rsidRPr="009B367D" w:rsidRDefault="00490769" w:rsidP="00490769">
      <w:pPr>
        <w:spacing w:line="276" w:lineRule="auto"/>
        <w:ind w:left="-5"/>
        <w:jc w:val="both"/>
      </w:pPr>
      <w:r w:rsidRPr="009B367D">
        <w:t xml:space="preserve">We have no access to autoantibodies and other diagnostic tests. We cannot do CRP routinely.  </w:t>
      </w:r>
    </w:p>
    <w:p w14:paraId="1A1EEAE2" w14:textId="77777777" w:rsidR="00490769" w:rsidRPr="009B367D" w:rsidRDefault="00490769" w:rsidP="00490769">
      <w:pPr>
        <w:spacing w:after="135" w:line="276" w:lineRule="auto"/>
        <w:ind w:left="-5"/>
        <w:jc w:val="both"/>
      </w:pPr>
      <w:r w:rsidRPr="009B367D">
        <w:t xml:space="preserve">We have limited access to drugs and no access to biologicals. </w:t>
      </w:r>
    </w:p>
    <w:p w14:paraId="3B407CE0" w14:textId="77777777" w:rsidR="00584E1E" w:rsidRDefault="00584E1E">
      <w:pPr>
        <w:spacing w:after="0"/>
        <w:outlineLvl w:val="9"/>
        <w:rPr>
          <w:b/>
          <w:sz w:val="24"/>
          <w:szCs w:val="22"/>
        </w:rPr>
      </w:pPr>
      <w:r>
        <w:rPr>
          <w:szCs w:val="22"/>
        </w:rPr>
        <w:br w:type="page"/>
      </w:r>
    </w:p>
    <w:p w14:paraId="3403812E" w14:textId="77777777" w:rsidR="00975A60" w:rsidRPr="00DC590C" w:rsidRDefault="00975A60" w:rsidP="00975A60">
      <w:pPr>
        <w:pStyle w:val="Heading2"/>
        <w:rPr>
          <w:rFonts w:cs="Arial"/>
          <w:szCs w:val="22"/>
        </w:rPr>
      </w:pPr>
      <w:r w:rsidRPr="00DC590C">
        <w:rPr>
          <w:rFonts w:cs="Arial"/>
          <w:szCs w:val="22"/>
        </w:rPr>
        <w:lastRenderedPageBreak/>
        <w:t>Presenting symptoms and signs</w:t>
      </w:r>
    </w:p>
    <w:p w14:paraId="7380811C" w14:textId="77777777" w:rsidR="00490769" w:rsidRPr="009B367D" w:rsidRDefault="00490769" w:rsidP="00490769">
      <w:pPr>
        <w:spacing w:line="276" w:lineRule="auto"/>
        <w:ind w:left="-5"/>
        <w:jc w:val="both"/>
      </w:pPr>
      <w:r w:rsidRPr="009B367D">
        <w:t xml:space="preserve">Rheumatoid arthritis presents with joint pain and swelling of the peripheral joints (affecting at least 3 joints), morning stiffness and difficulty performing activities of daily living (ADLs), all lasting at least 6 weeks. Other conditions such as psoriasis, inflammatory bowel disease, SLE should be absent. It is often gradual in </w:t>
      </w:r>
      <w:proofErr w:type="gramStart"/>
      <w:r w:rsidRPr="009B367D">
        <w:t>onset, but</w:t>
      </w:r>
      <w:proofErr w:type="gramEnd"/>
      <w:r w:rsidRPr="009B367D">
        <w:t xml:space="preserve"> may be intermittent at the beginning. Very occasionally, rheumatoid arthritis may present with a persistent </w:t>
      </w:r>
      <w:proofErr w:type="spellStart"/>
      <w:r w:rsidRPr="009B367D">
        <w:t>monoarthritis</w:t>
      </w:r>
      <w:proofErr w:type="spellEnd"/>
      <w:r w:rsidRPr="009B367D">
        <w:t xml:space="preserve">. In these cases, septic arthritis, </w:t>
      </w:r>
      <w:proofErr w:type="gramStart"/>
      <w:r w:rsidRPr="009B367D">
        <w:t>gout</w:t>
      </w:r>
      <w:proofErr w:type="gramEnd"/>
      <w:r w:rsidRPr="009B367D">
        <w:t xml:space="preserve"> and other explanations must be excluded until a polyarthritis develops.  </w:t>
      </w:r>
    </w:p>
    <w:p w14:paraId="23E61705" w14:textId="77777777" w:rsidR="00490769" w:rsidRPr="009B367D" w:rsidRDefault="00490769" w:rsidP="00490769">
      <w:pPr>
        <w:spacing w:after="91" w:line="276" w:lineRule="auto"/>
        <w:ind w:right="316"/>
        <w:jc w:val="both"/>
      </w:pPr>
      <w:r w:rsidRPr="009B367D">
        <w:t xml:space="preserve">Extra-articular features of rheumatoid arthritis include </w:t>
      </w:r>
      <w:proofErr w:type="spellStart"/>
      <w:r w:rsidRPr="009B367D">
        <w:t>anaemia</w:t>
      </w:r>
      <w:proofErr w:type="spellEnd"/>
      <w:r w:rsidRPr="009B367D">
        <w:t xml:space="preserve">, fatigue, pericarditis, rashes, eye complications, neuropathy, splenomegaly, Sjogren’s syndrome, </w:t>
      </w:r>
      <w:proofErr w:type="gramStart"/>
      <w:r w:rsidRPr="009B367D">
        <w:t>vasculitis</w:t>
      </w:r>
      <w:proofErr w:type="gramEnd"/>
      <w:r w:rsidRPr="009B367D">
        <w:t xml:space="preserve"> and others. Alternatively, these and other systemic features may reflect another connective tissue disorder.  </w:t>
      </w:r>
    </w:p>
    <w:p w14:paraId="1C5C32A5" w14:textId="4091B088" w:rsidR="00975A60" w:rsidRPr="00DC590C" w:rsidRDefault="00975A60" w:rsidP="00975A60">
      <w:pPr>
        <w:pStyle w:val="Heading2"/>
        <w:rPr>
          <w:rFonts w:cs="Arial"/>
          <w:szCs w:val="22"/>
        </w:rPr>
      </w:pPr>
      <w:r w:rsidRPr="00DC590C">
        <w:rPr>
          <w:rFonts w:cs="Arial"/>
          <w:szCs w:val="22"/>
        </w:rPr>
        <w:t>Examination findings</w:t>
      </w:r>
    </w:p>
    <w:p w14:paraId="41A534D7" w14:textId="77777777" w:rsidR="00490769" w:rsidRPr="009B367D" w:rsidRDefault="00490769" w:rsidP="00490769">
      <w:pPr>
        <w:pStyle w:val="ListParagraph"/>
        <w:numPr>
          <w:ilvl w:val="0"/>
          <w:numId w:val="31"/>
        </w:numPr>
      </w:pPr>
      <w:r w:rsidRPr="009B367D">
        <w:t xml:space="preserve">Painful, tender, swollen joints – especially the proximal interphalangeal and </w:t>
      </w:r>
      <w:proofErr w:type="spellStart"/>
      <w:r w:rsidRPr="009B367D">
        <w:t>metocarpophalangeal</w:t>
      </w:r>
      <w:proofErr w:type="spellEnd"/>
      <w:r w:rsidRPr="009B367D">
        <w:t xml:space="preserve"> joints, the wrists, feet, elbows, shoulders, </w:t>
      </w:r>
      <w:proofErr w:type="gramStart"/>
      <w:r w:rsidRPr="009B367D">
        <w:t>hip</w:t>
      </w:r>
      <w:proofErr w:type="gramEnd"/>
      <w:r w:rsidRPr="009B367D">
        <w:t xml:space="preserve"> and knees. </w:t>
      </w:r>
    </w:p>
    <w:p w14:paraId="79E8FC4F" w14:textId="77777777" w:rsidR="00490769" w:rsidRPr="009B367D" w:rsidRDefault="00490769" w:rsidP="00490769">
      <w:pPr>
        <w:pStyle w:val="ListParagraph"/>
        <w:numPr>
          <w:ilvl w:val="0"/>
          <w:numId w:val="31"/>
        </w:numPr>
      </w:pPr>
      <w:r w:rsidRPr="009B367D">
        <w:t xml:space="preserve">Joint stiffness, pain on motion, limitation of motion </w:t>
      </w:r>
    </w:p>
    <w:p w14:paraId="7A246B97" w14:textId="77777777" w:rsidR="00490769" w:rsidRPr="009B367D" w:rsidRDefault="00490769" w:rsidP="00490769">
      <w:pPr>
        <w:pStyle w:val="ListParagraph"/>
        <w:numPr>
          <w:ilvl w:val="0"/>
          <w:numId w:val="31"/>
        </w:numPr>
      </w:pPr>
      <w:r w:rsidRPr="009B367D">
        <w:t>Rheumatoid nodules</w:t>
      </w:r>
    </w:p>
    <w:p w14:paraId="62407AA9" w14:textId="77777777" w:rsidR="00490769" w:rsidRPr="009B367D" w:rsidRDefault="00490769" w:rsidP="00490769">
      <w:pPr>
        <w:pStyle w:val="ListParagraph"/>
        <w:numPr>
          <w:ilvl w:val="0"/>
          <w:numId w:val="31"/>
        </w:numPr>
      </w:pPr>
      <w:r w:rsidRPr="009B367D">
        <w:t xml:space="preserve">Typical rheumatoid deformities may be seen in long-standing untreated cases.  </w:t>
      </w:r>
    </w:p>
    <w:p w14:paraId="5EAE9A82" w14:textId="77777777" w:rsidR="00490769" w:rsidRPr="009B367D" w:rsidRDefault="00490769" w:rsidP="00490769">
      <w:pPr>
        <w:pStyle w:val="ListParagraph"/>
        <w:numPr>
          <w:ilvl w:val="0"/>
          <w:numId w:val="31"/>
        </w:numPr>
      </w:pPr>
      <w:r w:rsidRPr="009B367D">
        <w:t xml:space="preserve">C-spine pain and stiffness, which may eventually lead to instability.  </w:t>
      </w:r>
    </w:p>
    <w:p w14:paraId="6B6A4364" w14:textId="3EADFBA1" w:rsidR="00490769" w:rsidRDefault="00490769" w:rsidP="00490769">
      <w:pPr>
        <w:spacing w:line="276" w:lineRule="auto"/>
        <w:ind w:left="-5" w:right="212"/>
        <w:jc w:val="both"/>
      </w:pPr>
      <w:r w:rsidRPr="009B367D">
        <w:t xml:space="preserve">Where an alternative diagnosis is suspected, examine carefully in all systems – paying particular attention to dermatological and musculoskeletal features.  </w:t>
      </w:r>
    </w:p>
    <w:p w14:paraId="339B1373" w14:textId="4F733CE8" w:rsidR="00490769" w:rsidRDefault="00490769" w:rsidP="00490769">
      <w:pPr>
        <w:pStyle w:val="Heading2"/>
      </w:pPr>
      <w:r>
        <w:t>Diagnostic criteria</w:t>
      </w:r>
    </w:p>
    <w:p w14:paraId="68561174" w14:textId="4D7C8781" w:rsidR="00490769" w:rsidRDefault="00490769" w:rsidP="00490769">
      <w:pPr>
        <w:rPr>
          <w:szCs w:val="22"/>
        </w:rPr>
      </w:pPr>
      <w:r>
        <w:rPr>
          <w:szCs w:val="22"/>
        </w:rPr>
        <w:t xml:space="preserve">For Rheumatoid Arthritis to be diagnosed, there should be any 4 of the following criteria </w:t>
      </w:r>
      <w:proofErr w:type="gramStart"/>
      <w:r>
        <w:rPr>
          <w:szCs w:val="22"/>
        </w:rPr>
        <w:t>present</w:t>
      </w:r>
      <w:proofErr w:type="gramEnd"/>
      <w:r>
        <w:rPr>
          <w:szCs w:val="22"/>
        </w:rPr>
        <w:t>:</w:t>
      </w:r>
    </w:p>
    <w:p w14:paraId="3D67423F" w14:textId="19F148A5" w:rsidR="00490769" w:rsidRPr="00490769" w:rsidRDefault="00490769" w:rsidP="00490769">
      <w:pPr>
        <w:pStyle w:val="ListParagraph"/>
        <w:numPr>
          <w:ilvl w:val="0"/>
          <w:numId w:val="34"/>
        </w:numPr>
        <w:rPr>
          <w:szCs w:val="22"/>
        </w:rPr>
      </w:pPr>
      <w:r w:rsidRPr="00490769">
        <w:rPr>
          <w:szCs w:val="22"/>
        </w:rPr>
        <w:t>Morning stiffness for &gt; 1 hour each day</w:t>
      </w:r>
    </w:p>
    <w:p w14:paraId="587CA97F" w14:textId="41312548" w:rsidR="00490769" w:rsidRPr="00490769" w:rsidRDefault="00490769" w:rsidP="00490769">
      <w:pPr>
        <w:pStyle w:val="ListParagraph"/>
        <w:numPr>
          <w:ilvl w:val="0"/>
          <w:numId w:val="34"/>
        </w:numPr>
        <w:rPr>
          <w:szCs w:val="22"/>
        </w:rPr>
      </w:pPr>
      <w:r w:rsidRPr="00490769">
        <w:rPr>
          <w:szCs w:val="22"/>
        </w:rPr>
        <w:t>Arthritis of three or more joints for &gt; 6 weeks</w:t>
      </w:r>
    </w:p>
    <w:p w14:paraId="15700736" w14:textId="5B104864" w:rsidR="00490769" w:rsidRPr="00490769" w:rsidRDefault="00490769" w:rsidP="00490769">
      <w:pPr>
        <w:pStyle w:val="ListParagraph"/>
        <w:numPr>
          <w:ilvl w:val="0"/>
          <w:numId w:val="34"/>
        </w:numPr>
        <w:rPr>
          <w:szCs w:val="22"/>
        </w:rPr>
      </w:pPr>
      <w:r w:rsidRPr="00490769">
        <w:rPr>
          <w:szCs w:val="22"/>
        </w:rPr>
        <w:t>Arthritis of hand joints</w:t>
      </w:r>
    </w:p>
    <w:p w14:paraId="1AB610D4" w14:textId="00EAE792" w:rsidR="00490769" w:rsidRPr="00490769" w:rsidRDefault="00490769" w:rsidP="00490769">
      <w:pPr>
        <w:pStyle w:val="ListParagraph"/>
        <w:numPr>
          <w:ilvl w:val="0"/>
          <w:numId w:val="34"/>
        </w:numPr>
        <w:rPr>
          <w:szCs w:val="22"/>
        </w:rPr>
      </w:pPr>
      <w:r w:rsidRPr="00490769">
        <w:rPr>
          <w:szCs w:val="22"/>
        </w:rPr>
        <w:t>Symmetric arthritis for &gt; 6 weeks</w:t>
      </w:r>
    </w:p>
    <w:p w14:paraId="4EC26E6E" w14:textId="0C33A5F3" w:rsidR="00490769" w:rsidRPr="00490769" w:rsidRDefault="00490769" w:rsidP="00490769">
      <w:pPr>
        <w:pStyle w:val="ListParagraph"/>
        <w:numPr>
          <w:ilvl w:val="0"/>
          <w:numId w:val="34"/>
        </w:numPr>
        <w:rPr>
          <w:szCs w:val="22"/>
        </w:rPr>
      </w:pPr>
      <w:r w:rsidRPr="00490769">
        <w:rPr>
          <w:szCs w:val="22"/>
        </w:rPr>
        <w:t>Rheumatoid nodules</w:t>
      </w:r>
    </w:p>
    <w:p w14:paraId="34720D7B" w14:textId="158F524A" w:rsidR="00490769" w:rsidRPr="00490769" w:rsidRDefault="00490769" w:rsidP="00490769">
      <w:pPr>
        <w:pStyle w:val="ListParagraph"/>
        <w:numPr>
          <w:ilvl w:val="0"/>
          <w:numId w:val="34"/>
        </w:numPr>
        <w:rPr>
          <w:szCs w:val="22"/>
        </w:rPr>
      </w:pPr>
      <w:r w:rsidRPr="00490769">
        <w:rPr>
          <w:szCs w:val="22"/>
        </w:rPr>
        <w:t>Serum rheumatoid factor positive</w:t>
      </w:r>
    </w:p>
    <w:p w14:paraId="36549269" w14:textId="18AAA26E" w:rsidR="00490769" w:rsidRDefault="00490769" w:rsidP="00490769">
      <w:pPr>
        <w:pStyle w:val="ListParagraph"/>
        <w:numPr>
          <w:ilvl w:val="0"/>
          <w:numId w:val="34"/>
        </w:numPr>
        <w:rPr>
          <w:szCs w:val="22"/>
        </w:rPr>
      </w:pPr>
      <w:r w:rsidRPr="00490769">
        <w:rPr>
          <w:szCs w:val="22"/>
        </w:rPr>
        <w:t>Radiographic changes typical of RA</w:t>
      </w:r>
    </w:p>
    <w:p w14:paraId="65260550" w14:textId="04011187" w:rsidR="00490769" w:rsidRDefault="00490769" w:rsidP="00490769">
      <w:pPr>
        <w:pStyle w:val="Heading2"/>
      </w:pPr>
      <w:r>
        <w:t>Investigations</w:t>
      </w:r>
    </w:p>
    <w:p w14:paraId="009F015D" w14:textId="77777777" w:rsidR="00490769" w:rsidRPr="009B367D" w:rsidRDefault="00490769" w:rsidP="00490769">
      <w:pPr>
        <w:pStyle w:val="ListParagraph"/>
        <w:numPr>
          <w:ilvl w:val="0"/>
          <w:numId w:val="35"/>
        </w:numPr>
      </w:pPr>
      <w:r w:rsidRPr="009B367D">
        <w:t xml:space="preserve">Plain films of affected joints – may show osteopenia, joint space narrowing and bone erosions. However, they are not helpful if the diagnosis is clinically clear.  </w:t>
      </w:r>
    </w:p>
    <w:p w14:paraId="6F03F4A5" w14:textId="77777777" w:rsidR="00490769" w:rsidRPr="009B367D" w:rsidRDefault="00490769" w:rsidP="00490769">
      <w:pPr>
        <w:pStyle w:val="ListParagraph"/>
        <w:numPr>
          <w:ilvl w:val="0"/>
          <w:numId w:val="35"/>
        </w:numPr>
      </w:pPr>
      <w:r w:rsidRPr="009B367D">
        <w:t xml:space="preserve">Rheumatoid factor – found in 70-80% of patients (and in 5-10 % of healthy people and 20-30 % of patients with other inflammatory conditions). Helpful, but not essential to the diagnosis.  </w:t>
      </w:r>
    </w:p>
    <w:p w14:paraId="05CD5010" w14:textId="77777777" w:rsidR="00490769" w:rsidRPr="009B367D" w:rsidRDefault="00490769" w:rsidP="00490769">
      <w:pPr>
        <w:pStyle w:val="ListParagraph"/>
        <w:numPr>
          <w:ilvl w:val="0"/>
          <w:numId w:val="35"/>
        </w:numPr>
      </w:pPr>
      <w:r w:rsidRPr="009B367D">
        <w:t xml:space="preserve">ESR – used for monitoring disease activity. </w:t>
      </w:r>
    </w:p>
    <w:p w14:paraId="3085270B" w14:textId="77777777" w:rsidR="00490769" w:rsidRPr="009B367D" w:rsidRDefault="00490769" w:rsidP="00490769">
      <w:pPr>
        <w:pStyle w:val="ListParagraph"/>
        <w:numPr>
          <w:ilvl w:val="0"/>
          <w:numId w:val="35"/>
        </w:numPr>
      </w:pPr>
      <w:r w:rsidRPr="009B367D">
        <w:t xml:space="preserve">FBC, U&amp;Es, LFTs and Hep B &amp; C screening – useful to establish baseline values for patients who will start methotrexate. </w:t>
      </w:r>
    </w:p>
    <w:p w14:paraId="7F37916E" w14:textId="77777777" w:rsidR="00490769" w:rsidRPr="009B367D" w:rsidRDefault="00490769" w:rsidP="00490769">
      <w:pPr>
        <w:pStyle w:val="ListParagraph"/>
        <w:numPr>
          <w:ilvl w:val="0"/>
          <w:numId w:val="35"/>
        </w:numPr>
      </w:pPr>
      <w:r w:rsidRPr="009B367D">
        <w:lastRenderedPageBreak/>
        <w:t xml:space="preserve">Other tests such as CK, U&amp;Es, HIV may be important in excluding alternative diagnoses.  </w:t>
      </w:r>
    </w:p>
    <w:p w14:paraId="26ABBEE2" w14:textId="77777777" w:rsidR="00490769" w:rsidRPr="009B367D" w:rsidRDefault="00490769" w:rsidP="00490769">
      <w:pPr>
        <w:pStyle w:val="Heading3"/>
      </w:pPr>
      <w:r w:rsidRPr="009B367D">
        <w:t>Further investigation where diagnosis unclear</w:t>
      </w:r>
      <w:r w:rsidRPr="009B367D">
        <w:rPr>
          <w:u w:val="none"/>
        </w:rPr>
        <w:t xml:space="preserve"> </w:t>
      </w:r>
    </w:p>
    <w:p w14:paraId="25C6B361" w14:textId="77777777" w:rsidR="00490769" w:rsidRPr="009B367D" w:rsidRDefault="00490769" w:rsidP="00490769">
      <w:pPr>
        <w:spacing w:line="276" w:lineRule="auto"/>
        <w:ind w:left="-5"/>
        <w:jc w:val="both"/>
      </w:pPr>
      <w:r w:rsidRPr="009B367D">
        <w:t xml:space="preserve">Further investigations are not available in the Gambia. If patients are interested and able, there are many investigations available in Dakar and a referral should be made to Professor </w:t>
      </w:r>
      <w:proofErr w:type="spellStart"/>
      <w:r w:rsidRPr="009B367D">
        <w:t>Pouye</w:t>
      </w:r>
      <w:proofErr w:type="spellEnd"/>
      <w:r w:rsidRPr="009B367D">
        <w:t xml:space="preserve"> at </w:t>
      </w:r>
      <w:proofErr w:type="spellStart"/>
      <w:r w:rsidRPr="009B367D">
        <w:t>Hôpital</w:t>
      </w:r>
      <w:proofErr w:type="spellEnd"/>
      <w:r w:rsidRPr="009B367D">
        <w:t xml:space="preserve"> Le </w:t>
      </w:r>
      <w:proofErr w:type="spellStart"/>
      <w:r w:rsidRPr="009B367D">
        <w:t>Dantec</w:t>
      </w:r>
      <w:proofErr w:type="spellEnd"/>
      <w:r w:rsidRPr="009B367D">
        <w:t xml:space="preserve">.  </w:t>
      </w:r>
    </w:p>
    <w:p w14:paraId="77E8AD66" w14:textId="77777777" w:rsidR="00490769" w:rsidRPr="009B367D" w:rsidRDefault="00490769" w:rsidP="00490769">
      <w:pPr>
        <w:pStyle w:val="Heading2"/>
      </w:pPr>
      <w:r w:rsidRPr="009B367D">
        <w:t xml:space="preserve">Management </w:t>
      </w:r>
    </w:p>
    <w:p w14:paraId="345109FB" w14:textId="77777777" w:rsidR="00490769" w:rsidRPr="009B367D" w:rsidRDefault="00490769" w:rsidP="00490769">
      <w:r w:rsidRPr="009B367D">
        <w:t xml:space="preserve">Patients with probable rheumatoid arthritis and raised ESR should be started on disease modifying treatment (DMARD) as soon as possible.  </w:t>
      </w:r>
    </w:p>
    <w:p w14:paraId="23F8B9A0" w14:textId="77777777" w:rsidR="00490769" w:rsidRPr="009B367D" w:rsidRDefault="00490769" w:rsidP="00490769">
      <w:r w:rsidRPr="009B367D">
        <w:t xml:space="preserve">All patients without contraindications should start on methotrexate.  </w:t>
      </w:r>
    </w:p>
    <w:p w14:paraId="17F607FE" w14:textId="77777777" w:rsidR="00490769" w:rsidRPr="009B367D" w:rsidRDefault="00490769" w:rsidP="00490769">
      <w:r w:rsidRPr="009B367D">
        <w:t xml:space="preserve">Contraindications include:  </w:t>
      </w:r>
    </w:p>
    <w:p w14:paraId="549D5F15" w14:textId="77777777" w:rsidR="00490769" w:rsidRPr="009B367D" w:rsidRDefault="00490769" w:rsidP="00490769">
      <w:pPr>
        <w:pStyle w:val="ListParagraph"/>
        <w:numPr>
          <w:ilvl w:val="0"/>
          <w:numId w:val="38"/>
        </w:numPr>
      </w:pPr>
      <w:r w:rsidRPr="009B367D">
        <w:t xml:space="preserve">Women who are pregnant or who want to be pregnant.  </w:t>
      </w:r>
    </w:p>
    <w:p w14:paraId="3455913B" w14:textId="77777777" w:rsidR="00490769" w:rsidRPr="009B367D" w:rsidRDefault="00490769" w:rsidP="00490769">
      <w:pPr>
        <w:pStyle w:val="ListParagraph"/>
        <w:numPr>
          <w:ilvl w:val="0"/>
          <w:numId w:val="38"/>
        </w:numPr>
      </w:pPr>
      <w:r w:rsidRPr="009B367D">
        <w:t xml:space="preserve">Patients with liver disease </w:t>
      </w:r>
      <w:r w:rsidRPr="00490769">
        <w:rPr>
          <w:shd w:val="clear" w:color="auto" w:fill="FFFFFF"/>
        </w:rPr>
        <w:t>or excessive alcohol intake</w:t>
      </w:r>
    </w:p>
    <w:p w14:paraId="51B14DCA" w14:textId="77777777" w:rsidR="00490769" w:rsidRPr="009B367D" w:rsidRDefault="00490769" w:rsidP="00490769">
      <w:pPr>
        <w:pStyle w:val="ListParagraph"/>
        <w:numPr>
          <w:ilvl w:val="0"/>
          <w:numId w:val="38"/>
        </w:numPr>
      </w:pPr>
      <w:r w:rsidRPr="009B367D">
        <w:t xml:space="preserve">Patients with severe renal impairment (eGFR &lt; 30 ml/min) </w:t>
      </w:r>
    </w:p>
    <w:p w14:paraId="1A02118E" w14:textId="77777777" w:rsidR="00490769" w:rsidRPr="009B367D" w:rsidRDefault="00490769" w:rsidP="00490769">
      <w:r w:rsidRPr="009B367D">
        <w:t xml:space="preserve">The presence of respiratory disease is a relative contraindication, so if there are respiratory symptoms, a chest X-ray is helpful to exclude TB or other relevant concerns.  </w:t>
      </w:r>
    </w:p>
    <w:p w14:paraId="5C683FE3" w14:textId="77777777" w:rsidR="00490769" w:rsidRPr="009B367D" w:rsidRDefault="00490769" w:rsidP="00490769">
      <w:pPr>
        <w:pStyle w:val="Heading3"/>
      </w:pPr>
      <w:r w:rsidRPr="009B367D">
        <w:t>Disease modifying treatment (DMARD)</w:t>
      </w:r>
      <w:r w:rsidRPr="009B367D">
        <w:rPr>
          <w:u w:val="none"/>
        </w:rPr>
        <w:t xml:space="preserve"> </w:t>
      </w:r>
    </w:p>
    <w:p w14:paraId="2667D65C" w14:textId="77777777" w:rsidR="00490769" w:rsidRPr="009B367D" w:rsidRDefault="00490769" w:rsidP="00490769">
      <w:pPr>
        <w:spacing w:line="276" w:lineRule="auto"/>
        <w:ind w:left="-5"/>
        <w:jc w:val="both"/>
      </w:pPr>
      <w:r w:rsidRPr="009B367D">
        <w:t xml:space="preserve">Start with </w:t>
      </w:r>
      <w:r w:rsidRPr="009B367D">
        <w:rPr>
          <w:b/>
        </w:rPr>
        <w:t>methotrexate</w:t>
      </w:r>
      <w:r w:rsidRPr="009B367D">
        <w:t xml:space="preserve"> 7.5-15 mg once per week and titrate up as tolerated. Patients who are older, less heavy and with reduced renal function (eGFR &lt; 60 ml/min) should have the lower doses. Increase approximately every 4 weeks to a target dose of 15-25 mg once per week. If these doses are ineffective, the bioavailability can be increased without increasing gastrointestinal side effects by dividing the dose into 2 (taken on the same day once per week).  </w:t>
      </w:r>
    </w:p>
    <w:p w14:paraId="78975AAA" w14:textId="77777777" w:rsidR="00490769" w:rsidRPr="009B367D" w:rsidRDefault="00490769" w:rsidP="00490769">
      <w:pPr>
        <w:spacing w:line="276" w:lineRule="auto"/>
        <w:ind w:left="-5"/>
        <w:jc w:val="both"/>
      </w:pPr>
      <w:r w:rsidRPr="009B367D">
        <w:t xml:space="preserve">Patients on methotrexate should have FBC and LFTs checked once every 3 months. A chest X-ray should be done if there is any suggestion of respiratory symptoms.  </w:t>
      </w:r>
    </w:p>
    <w:p w14:paraId="617E2464" w14:textId="77777777" w:rsidR="00490769" w:rsidRPr="009B367D" w:rsidRDefault="00490769" w:rsidP="00490769">
      <w:pPr>
        <w:spacing w:line="276" w:lineRule="auto"/>
        <w:ind w:left="-5"/>
        <w:jc w:val="both"/>
      </w:pPr>
      <w:r w:rsidRPr="009B367D">
        <w:t xml:space="preserve">Patients on methotrexate should take folic acid daily at a dose of 1 mg OD. As we have only 5 mg tablets, dosing once per week is adequate.  </w:t>
      </w:r>
    </w:p>
    <w:p w14:paraId="3F46FB40" w14:textId="77777777" w:rsidR="00490769" w:rsidRPr="009B367D" w:rsidRDefault="00490769" w:rsidP="00490769">
      <w:pPr>
        <w:spacing w:line="276" w:lineRule="auto"/>
        <w:ind w:left="-5"/>
        <w:jc w:val="both"/>
      </w:pPr>
      <w:r w:rsidRPr="009B367D">
        <w:t xml:space="preserve">Methotrexate should be continued at an effective rate for 3-6 months after the disease enters remission. After this, the dose can be titrated down to the lowest effective level.  </w:t>
      </w:r>
    </w:p>
    <w:p w14:paraId="2121A7CF" w14:textId="77777777" w:rsidR="00490769" w:rsidRPr="009B367D" w:rsidRDefault="00490769" w:rsidP="00490769">
      <w:pPr>
        <w:spacing w:line="276" w:lineRule="auto"/>
        <w:ind w:left="-5"/>
        <w:jc w:val="both"/>
      </w:pPr>
      <w:r w:rsidRPr="009B367D">
        <w:t xml:space="preserve">Combination DMARD treatment can be used for patients who continue to have high disease activity after 3-6 months of treatment with methotrexate. The methotrexate is </w:t>
      </w:r>
      <w:proofErr w:type="gramStart"/>
      <w:r w:rsidRPr="009B367D">
        <w:t>continued</w:t>
      </w:r>
      <w:proofErr w:type="gramEnd"/>
      <w:r w:rsidRPr="009B367D">
        <w:t xml:space="preserve"> and </w:t>
      </w:r>
      <w:r w:rsidRPr="009B367D">
        <w:rPr>
          <w:b/>
        </w:rPr>
        <w:t>sulfasalazine</w:t>
      </w:r>
      <w:r w:rsidRPr="009B367D">
        <w:t xml:space="preserve"> and </w:t>
      </w:r>
      <w:r w:rsidRPr="009B367D">
        <w:rPr>
          <w:b/>
        </w:rPr>
        <w:t>hydroxychloroquine</w:t>
      </w:r>
      <w:r w:rsidRPr="009B367D">
        <w:t xml:space="preserve"> are added. Sulfasalazine and hydroxychloroquine can also be used in combination for patients that cannot take methotrexate.  </w:t>
      </w:r>
    </w:p>
    <w:p w14:paraId="232F76B5" w14:textId="77777777" w:rsidR="00490769" w:rsidRPr="009B367D" w:rsidRDefault="00490769" w:rsidP="00490769">
      <w:pPr>
        <w:spacing w:line="276" w:lineRule="auto"/>
        <w:ind w:left="-5"/>
        <w:jc w:val="both"/>
      </w:pPr>
      <w:r w:rsidRPr="009B367D">
        <w:t xml:space="preserve">Sulfasalazine is started at 500 mg BD and increased by 500 mg each week to a dose of 1500 mg BD.  </w:t>
      </w:r>
    </w:p>
    <w:p w14:paraId="6EE9D4AB" w14:textId="77777777" w:rsidR="00490769" w:rsidRPr="009B367D" w:rsidRDefault="00490769" w:rsidP="00490769">
      <w:pPr>
        <w:spacing w:line="276" w:lineRule="auto"/>
        <w:ind w:left="-5"/>
        <w:jc w:val="both"/>
      </w:pPr>
      <w:r w:rsidRPr="009B367D">
        <w:t xml:space="preserve">Hydroxychloroquine is given at a dose of 400 mg OD (maximum of 5 mg/kg/day).  </w:t>
      </w:r>
    </w:p>
    <w:p w14:paraId="35B27FCB" w14:textId="77777777" w:rsidR="00490769" w:rsidRDefault="00490769">
      <w:pPr>
        <w:spacing w:after="0"/>
        <w:outlineLvl w:val="9"/>
        <w:rPr>
          <w:rFonts w:eastAsia="Times New Roman" w:cs="Times New Roman"/>
          <w:b/>
          <w:bCs/>
          <w:szCs w:val="26"/>
          <w:u w:val="single"/>
        </w:rPr>
      </w:pPr>
      <w:r>
        <w:br w:type="page"/>
      </w:r>
    </w:p>
    <w:p w14:paraId="1B9098F0" w14:textId="3BDD592A" w:rsidR="00490769" w:rsidRPr="009B367D" w:rsidRDefault="00490769" w:rsidP="00490769">
      <w:pPr>
        <w:pStyle w:val="Heading3"/>
      </w:pPr>
      <w:r w:rsidRPr="009B367D">
        <w:lastRenderedPageBreak/>
        <w:t>Symptomatic treatment</w:t>
      </w:r>
      <w:r w:rsidRPr="009B367D">
        <w:rPr>
          <w:u w:val="none"/>
        </w:rPr>
        <w:t xml:space="preserve"> </w:t>
      </w:r>
    </w:p>
    <w:p w14:paraId="1547E98F" w14:textId="77777777" w:rsidR="00490769" w:rsidRPr="009B367D" w:rsidRDefault="00490769" w:rsidP="00490769">
      <w:pPr>
        <w:spacing w:line="276" w:lineRule="auto"/>
        <w:ind w:left="-5"/>
        <w:jc w:val="both"/>
      </w:pPr>
      <w:r w:rsidRPr="009B367D">
        <w:t xml:space="preserve">NSAIDS rapidly reduce inflammation and provide pain relief. They should be used for all patients with active disease at maximal anti-inflammatory doses for at least 2 weeks before being withdrawn gradually. Use </w:t>
      </w:r>
      <w:r w:rsidRPr="009B367D">
        <w:rPr>
          <w:b/>
        </w:rPr>
        <w:t>ibuprofen</w:t>
      </w:r>
      <w:r w:rsidRPr="009B367D">
        <w:t xml:space="preserve"> 800 mg QDS (ibuprofen is more effective and has fewer gastric side effects than diclofenac). Consider also given omeprazole 20 mg OD for patients who also receive steroid treatment.  </w:t>
      </w:r>
    </w:p>
    <w:p w14:paraId="02D7D989" w14:textId="77777777" w:rsidR="00490769" w:rsidRPr="009B367D" w:rsidRDefault="00490769" w:rsidP="00490769">
      <w:pPr>
        <w:spacing w:line="276" w:lineRule="auto"/>
        <w:ind w:left="-5"/>
        <w:jc w:val="both"/>
      </w:pPr>
      <w:r w:rsidRPr="009B367D">
        <w:t xml:space="preserve">Steroids can be used to rapidly control disease in patients with more severe disease or in patients for whom NSAID treatment is ineffective. Give </w:t>
      </w:r>
      <w:r w:rsidRPr="009B367D">
        <w:rPr>
          <w:b/>
        </w:rPr>
        <w:t>prednisolone</w:t>
      </w:r>
      <w:r w:rsidRPr="009B367D">
        <w:t xml:space="preserve"> 20 mg OD for 1 month. Reduce the dose gradually to a maintenance level of 5-10 mg OD once symptoms settle and wean off completely within 4 months, as </w:t>
      </w:r>
      <w:r w:rsidRPr="009B367D">
        <w:rPr>
          <w:shd w:val="clear" w:color="auto" w:fill="FFFFFF"/>
        </w:rPr>
        <w:t>successful DMARD therapy is usually seen within 4 to 6 months. Lower doses of glucocorticoid are usually adequate when combined with effective DMARDs.</w:t>
      </w:r>
    </w:p>
    <w:p w14:paraId="2DC1144B" w14:textId="77777777" w:rsidR="00490769" w:rsidRPr="009B367D" w:rsidRDefault="00490769" w:rsidP="00490769">
      <w:pPr>
        <w:spacing w:line="276" w:lineRule="auto"/>
        <w:ind w:left="-5"/>
        <w:jc w:val="both"/>
      </w:pPr>
      <w:r w:rsidRPr="009B367D">
        <w:t xml:space="preserve">These treatments can be repeated as necessary for patients experiencing flares of their disease.  </w:t>
      </w:r>
    </w:p>
    <w:p w14:paraId="63344B93" w14:textId="77777777" w:rsidR="00490769" w:rsidRPr="009B367D" w:rsidRDefault="00490769" w:rsidP="00490769">
      <w:pPr>
        <w:pStyle w:val="Heading3"/>
      </w:pPr>
      <w:r w:rsidRPr="009B367D">
        <w:t>Monitoring disease activity</w:t>
      </w:r>
      <w:r w:rsidRPr="009B367D">
        <w:rPr>
          <w:u w:val="none"/>
        </w:rPr>
        <w:t xml:space="preserve"> </w:t>
      </w:r>
    </w:p>
    <w:p w14:paraId="68443E6F" w14:textId="77777777" w:rsidR="00490769" w:rsidRPr="009B367D" w:rsidRDefault="00490769" w:rsidP="00490769">
      <w:pPr>
        <w:spacing w:line="276" w:lineRule="auto"/>
        <w:ind w:left="-5"/>
        <w:jc w:val="both"/>
      </w:pPr>
      <w:r w:rsidRPr="009B367D">
        <w:t xml:space="preserve">Various scores are available for monitoring disease activity in rheumatoid arthritis. The Clinical Disease Activity Indicator (CDAI) is simple to calculate and is suitable for our setting.  </w:t>
      </w:r>
    </w:p>
    <w:p w14:paraId="1D1C2814" w14:textId="77777777" w:rsidR="00490769" w:rsidRPr="009B367D" w:rsidRDefault="00490769" w:rsidP="00490769">
      <w:pPr>
        <w:spacing w:line="276" w:lineRule="auto"/>
        <w:ind w:left="-5"/>
        <w:jc w:val="both"/>
      </w:pPr>
      <w:r w:rsidRPr="009B367D">
        <w:t xml:space="preserve">28 joints are reviewed – 10 proximal interphalangeal joints, 10 </w:t>
      </w:r>
      <w:proofErr w:type="spellStart"/>
      <w:r w:rsidRPr="009B367D">
        <w:t>metocarpophalangeal</w:t>
      </w:r>
      <w:proofErr w:type="spellEnd"/>
      <w:r w:rsidRPr="009B367D">
        <w:t xml:space="preserve"> joints, 2 wrists, 2 elbows, 2 shoulders and 2 knees. Each should be examined for swelling and tenderness. Estimate out of 10 (where 0 is completely well and 10 is as ill as possible) how </w:t>
      </w:r>
      <w:proofErr w:type="spellStart"/>
      <w:r w:rsidRPr="009B367D">
        <w:t>ill</w:t>
      </w:r>
      <w:proofErr w:type="spellEnd"/>
      <w:r w:rsidRPr="009B367D">
        <w:t xml:space="preserve"> you think the patient is. Ask the patient the same question.  </w:t>
      </w:r>
    </w:p>
    <w:p w14:paraId="5C3A557D" w14:textId="162F05B8" w:rsidR="00490769" w:rsidRDefault="00490769" w:rsidP="00490769">
      <w:pPr>
        <w:spacing w:after="10" w:line="276" w:lineRule="auto"/>
        <w:ind w:left="-5"/>
        <w:jc w:val="both"/>
      </w:pPr>
      <w:r w:rsidRPr="009B367D">
        <w:t xml:space="preserve">Now add the number of swollen joints, the number of tender joints, your assessment and the patient’s assessment. This gives a score out of 76. </w:t>
      </w:r>
    </w:p>
    <w:p w14:paraId="24FB2DCD" w14:textId="77777777" w:rsidR="00490769" w:rsidRPr="009B367D" w:rsidRDefault="00490769" w:rsidP="00490769">
      <w:pPr>
        <w:spacing w:after="10" w:line="276" w:lineRule="auto"/>
        <w:ind w:left="-5"/>
        <w:jc w:val="both"/>
      </w:pPr>
    </w:p>
    <w:tbl>
      <w:tblPr>
        <w:tblStyle w:val="TableGrid0"/>
        <w:tblW w:w="4398" w:type="dxa"/>
        <w:tblInd w:w="1020" w:type="dxa"/>
        <w:tblCellMar>
          <w:top w:w="11" w:type="dxa"/>
          <w:left w:w="108" w:type="dxa"/>
          <w:right w:w="115" w:type="dxa"/>
        </w:tblCellMar>
        <w:tblLook w:val="04A0" w:firstRow="1" w:lastRow="0" w:firstColumn="1" w:lastColumn="0" w:noHBand="0" w:noVBand="1"/>
      </w:tblPr>
      <w:tblGrid>
        <w:gridCol w:w="2838"/>
        <w:gridCol w:w="1560"/>
      </w:tblGrid>
      <w:tr w:rsidR="00490769" w:rsidRPr="009B367D" w14:paraId="0D3AA9B4" w14:textId="77777777" w:rsidTr="008A63AA">
        <w:trPr>
          <w:trHeight w:val="382"/>
        </w:trPr>
        <w:tc>
          <w:tcPr>
            <w:tcW w:w="2837" w:type="dxa"/>
            <w:tcBorders>
              <w:top w:val="single" w:sz="4" w:space="0" w:color="000000"/>
              <w:left w:val="single" w:sz="4" w:space="0" w:color="000000"/>
              <w:bottom w:val="single" w:sz="4" w:space="0" w:color="000000"/>
              <w:right w:val="single" w:sz="4" w:space="0" w:color="000000"/>
            </w:tcBorders>
          </w:tcPr>
          <w:p w14:paraId="44EE8E87" w14:textId="77777777" w:rsidR="00490769" w:rsidRPr="009B367D" w:rsidRDefault="00490769" w:rsidP="008A63AA">
            <w:pPr>
              <w:spacing w:after="0" w:line="276" w:lineRule="auto"/>
              <w:jc w:val="both"/>
            </w:pPr>
            <w:r w:rsidRPr="009B367D">
              <w:rPr>
                <w:b/>
              </w:rPr>
              <w:t xml:space="preserve">Activity level </w:t>
            </w:r>
          </w:p>
        </w:tc>
        <w:tc>
          <w:tcPr>
            <w:tcW w:w="1560" w:type="dxa"/>
            <w:tcBorders>
              <w:top w:val="single" w:sz="4" w:space="0" w:color="000000"/>
              <w:left w:val="single" w:sz="4" w:space="0" w:color="000000"/>
              <w:bottom w:val="single" w:sz="4" w:space="0" w:color="000000"/>
              <w:right w:val="single" w:sz="4" w:space="0" w:color="000000"/>
            </w:tcBorders>
          </w:tcPr>
          <w:p w14:paraId="0EDE9D06" w14:textId="77777777" w:rsidR="00490769" w:rsidRPr="009B367D" w:rsidRDefault="00490769" w:rsidP="008A63AA">
            <w:pPr>
              <w:spacing w:after="0" w:line="276" w:lineRule="auto"/>
              <w:jc w:val="both"/>
            </w:pPr>
            <w:r w:rsidRPr="009B367D">
              <w:rPr>
                <w:b/>
              </w:rPr>
              <w:t xml:space="preserve">CDAI score </w:t>
            </w:r>
          </w:p>
        </w:tc>
      </w:tr>
      <w:tr w:rsidR="00490769" w:rsidRPr="009B367D" w14:paraId="0DE31BF2" w14:textId="77777777" w:rsidTr="008A63AA">
        <w:trPr>
          <w:trHeight w:val="384"/>
        </w:trPr>
        <w:tc>
          <w:tcPr>
            <w:tcW w:w="2837" w:type="dxa"/>
            <w:tcBorders>
              <w:top w:val="single" w:sz="4" w:space="0" w:color="000000"/>
              <w:left w:val="single" w:sz="4" w:space="0" w:color="000000"/>
              <w:bottom w:val="single" w:sz="4" w:space="0" w:color="000000"/>
              <w:right w:val="single" w:sz="4" w:space="0" w:color="000000"/>
            </w:tcBorders>
          </w:tcPr>
          <w:p w14:paraId="1E8D0C8C" w14:textId="77777777" w:rsidR="00490769" w:rsidRPr="009B367D" w:rsidRDefault="00490769" w:rsidP="008A63AA">
            <w:pPr>
              <w:spacing w:after="0" w:line="276" w:lineRule="auto"/>
              <w:jc w:val="both"/>
            </w:pPr>
            <w:r w:rsidRPr="009B367D">
              <w:t xml:space="preserve">Remission </w:t>
            </w:r>
          </w:p>
        </w:tc>
        <w:tc>
          <w:tcPr>
            <w:tcW w:w="1560" w:type="dxa"/>
            <w:tcBorders>
              <w:top w:val="single" w:sz="4" w:space="0" w:color="000000"/>
              <w:left w:val="single" w:sz="4" w:space="0" w:color="000000"/>
              <w:bottom w:val="single" w:sz="4" w:space="0" w:color="000000"/>
              <w:right w:val="single" w:sz="4" w:space="0" w:color="000000"/>
            </w:tcBorders>
          </w:tcPr>
          <w:p w14:paraId="24272C81" w14:textId="77777777" w:rsidR="00490769" w:rsidRPr="009B367D" w:rsidRDefault="00490769" w:rsidP="008A63AA">
            <w:pPr>
              <w:spacing w:after="0" w:line="276" w:lineRule="auto"/>
              <w:jc w:val="both"/>
            </w:pPr>
            <w:r w:rsidRPr="009B367D">
              <w:t xml:space="preserve">&lt; 2.8 </w:t>
            </w:r>
          </w:p>
        </w:tc>
      </w:tr>
      <w:tr w:rsidR="00490769" w:rsidRPr="009B367D" w14:paraId="2D9BF92C" w14:textId="77777777" w:rsidTr="008A63AA">
        <w:trPr>
          <w:trHeight w:val="384"/>
        </w:trPr>
        <w:tc>
          <w:tcPr>
            <w:tcW w:w="2837" w:type="dxa"/>
            <w:tcBorders>
              <w:top w:val="single" w:sz="4" w:space="0" w:color="000000"/>
              <w:left w:val="single" w:sz="4" w:space="0" w:color="000000"/>
              <w:bottom w:val="single" w:sz="4" w:space="0" w:color="000000"/>
              <w:right w:val="single" w:sz="4" w:space="0" w:color="000000"/>
            </w:tcBorders>
          </w:tcPr>
          <w:p w14:paraId="5CB3C68A" w14:textId="77777777" w:rsidR="00490769" w:rsidRPr="009B367D" w:rsidRDefault="00490769" w:rsidP="008A63AA">
            <w:pPr>
              <w:spacing w:after="0" w:line="276" w:lineRule="auto"/>
              <w:jc w:val="both"/>
            </w:pPr>
            <w:r w:rsidRPr="009B367D">
              <w:t xml:space="preserve">Low disease activity </w:t>
            </w:r>
          </w:p>
        </w:tc>
        <w:tc>
          <w:tcPr>
            <w:tcW w:w="1560" w:type="dxa"/>
            <w:tcBorders>
              <w:top w:val="single" w:sz="4" w:space="0" w:color="000000"/>
              <w:left w:val="single" w:sz="4" w:space="0" w:color="000000"/>
              <w:bottom w:val="single" w:sz="4" w:space="0" w:color="000000"/>
              <w:right w:val="single" w:sz="4" w:space="0" w:color="000000"/>
            </w:tcBorders>
          </w:tcPr>
          <w:p w14:paraId="77D47BBD" w14:textId="77777777" w:rsidR="00490769" w:rsidRPr="009B367D" w:rsidRDefault="00490769" w:rsidP="008A63AA">
            <w:pPr>
              <w:spacing w:after="0" w:line="276" w:lineRule="auto"/>
              <w:jc w:val="both"/>
            </w:pPr>
            <w:r w:rsidRPr="009B367D">
              <w:t xml:space="preserve">3-10 </w:t>
            </w:r>
          </w:p>
        </w:tc>
      </w:tr>
      <w:tr w:rsidR="00490769" w:rsidRPr="009B367D" w14:paraId="7086FF49" w14:textId="77777777" w:rsidTr="008A63AA">
        <w:trPr>
          <w:trHeight w:val="382"/>
        </w:trPr>
        <w:tc>
          <w:tcPr>
            <w:tcW w:w="2837" w:type="dxa"/>
            <w:tcBorders>
              <w:top w:val="single" w:sz="4" w:space="0" w:color="000000"/>
              <w:left w:val="single" w:sz="4" w:space="0" w:color="000000"/>
              <w:bottom w:val="single" w:sz="4" w:space="0" w:color="000000"/>
              <w:right w:val="single" w:sz="4" w:space="0" w:color="000000"/>
            </w:tcBorders>
          </w:tcPr>
          <w:p w14:paraId="53B2DC08" w14:textId="77777777" w:rsidR="00490769" w:rsidRPr="009B367D" w:rsidRDefault="00490769" w:rsidP="008A63AA">
            <w:pPr>
              <w:spacing w:after="0" w:line="276" w:lineRule="auto"/>
              <w:jc w:val="both"/>
            </w:pPr>
            <w:r w:rsidRPr="009B367D">
              <w:t xml:space="preserve">Moderate disease activity </w:t>
            </w:r>
          </w:p>
        </w:tc>
        <w:tc>
          <w:tcPr>
            <w:tcW w:w="1560" w:type="dxa"/>
            <w:tcBorders>
              <w:top w:val="single" w:sz="4" w:space="0" w:color="000000"/>
              <w:left w:val="single" w:sz="4" w:space="0" w:color="000000"/>
              <w:bottom w:val="single" w:sz="4" w:space="0" w:color="000000"/>
              <w:right w:val="single" w:sz="4" w:space="0" w:color="000000"/>
            </w:tcBorders>
          </w:tcPr>
          <w:p w14:paraId="0FB010F3" w14:textId="77777777" w:rsidR="00490769" w:rsidRPr="009B367D" w:rsidRDefault="00490769" w:rsidP="008A63AA">
            <w:pPr>
              <w:spacing w:after="0" w:line="276" w:lineRule="auto"/>
              <w:jc w:val="both"/>
            </w:pPr>
            <w:r w:rsidRPr="009B367D">
              <w:t xml:space="preserve">11-22 </w:t>
            </w:r>
          </w:p>
        </w:tc>
      </w:tr>
      <w:tr w:rsidR="00490769" w:rsidRPr="009B367D" w14:paraId="7862F7D0" w14:textId="77777777" w:rsidTr="008A63AA">
        <w:trPr>
          <w:trHeight w:val="384"/>
        </w:trPr>
        <w:tc>
          <w:tcPr>
            <w:tcW w:w="2837" w:type="dxa"/>
            <w:tcBorders>
              <w:top w:val="single" w:sz="4" w:space="0" w:color="000000"/>
              <w:left w:val="single" w:sz="4" w:space="0" w:color="000000"/>
              <w:bottom w:val="single" w:sz="4" w:space="0" w:color="000000"/>
              <w:right w:val="single" w:sz="4" w:space="0" w:color="000000"/>
            </w:tcBorders>
          </w:tcPr>
          <w:p w14:paraId="05FC7887" w14:textId="77777777" w:rsidR="00490769" w:rsidRPr="009B367D" w:rsidRDefault="00490769" w:rsidP="008A63AA">
            <w:pPr>
              <w:spacing w:after="0" w:line="276" w:lineRule="auto"/>
              <w:jc w:val="both"/>
            </w:pPr>
            <w:r w:rsidRPr="009B367D">
              <w:t xml:space="preserve">High disease activity </w:t>
            </w:r>
          </w:p>
        </w:tc>
        <w:tc>
          <w:tcPr>
            <w:tcW w:w="1560" w:type="dxa"/>
            <w:tcBorders>
              <w:top w:val="single" w:sz="4" w:space="0" w:color="000000"/>
              <w:left w:val="single" w:sz="4" w:space="0" w:color="000000"/>
              <w:bottom w:val="single" w:sz="4" w:space="0" w:color="000000"/>
              <w:right w:val="single" w:sz="4" w:space="0" w:color="000000"/>
            </w:tcBorders>
          </w:tcPr>
          <w:p w14:paraId="41A880D3" w14:textId="77777777" w:rsidR="00490769" w:rsidRPr="009B367D" w:rsidRDefault="00490769" w:rsidP="008A63AA">
            <w:pPr>
              <w:spacing w:after="0" w:line="276" w:lineRule="auto"/>
              <w:jc w:val="both"/>
            </w:pPr>
            <w:r w:rsidRPr="009B367D">
              <w:t xml:space="preserve">&gt; 22 </w:t>
            </w:r>
          </w:p>
        </w:tc>
      </w:tr>
    </w:tbl>
    <w:p w14:paraId="07C9EC9D" w14:textId="77777777" w:rsidR="00490769" w:rsidRPr="009B367D" w:rsidRDefault="00490769" w:rsidP="00490769">
      <w:pPr>
        <w:spacing w:after="117" w:line="276" w:lineRule="auto"/>
        <w:jc w:val="both"/>
      </w:pPr>
      <w:r w:rsidRPr="009B367D">
        <w:t xml:space="preserve"> </w:t>
      </w:r>
    </w:p>
    <w:p w14:paraId="6886F4DC" w14:textId="77777777" w:rsidR="00490769" w:rsidRPr="009B367D" w:rsidRDefault="00490769" w:rsidP="00490769">
      <w:pPr>
        <w:pStyle w:val="Heading2"/>
      </w:pPr>
      <w:r w:rsidRPr="009B367D">
        <w:t>Non-pharmacologic treatment</w:t>
      </w:r>
    </w:p>
    <w:p w14:paraId="1C6C941C" w14:textId="77777777" w:rsidR="00490769" w:rsidRPr="009B367D" w:rsidRDefault="00490769" w:rsidP="00490769">
      <w:pPr>
        <w:pStyle w:val="ListParagraph"/>
        <w:numPr>
          <w:ilvl w:val="0"/>
          <w:numId w:val="39"/>
        </w:numPr>
      </w:pPr>
      <w:r w:rsidRPr="009B367D">
        <w:t xml:space="preserve">Patient education regarding the illness, </w:t>
      </w:r>
      <w:proofErr w:type="gramStart"/>
      <w:r w:rsidRPr="009B367D">
        <w:t>treatment</w:t>
      </w:r>
      <w:proofErr w:type="gramEnd"/>
      <w:r w:rsidRPr="009B367D">
        <w:t xml:space="preserve"> and prognosis.</w:t>
      </w:r>
    </w:p>
    <w:p w14:paraId="0C7AB723" w14:textId="77777777" w:rsidR="00490769" w:rsidRPr="009B367D" w:rsidRDefault="00490769" w:rsidP="00490769">
      <w:pPr>
        <w:pStyle w:val="ListParagraph"/>
        <w:numPr>
          <w:ilvl w:val="0"/>
          <w:numId w:val="39"/>
        </w:numPr>
      </w:pPr>
      <w:r w:rsidRPr="00490769">
        <w:rPr>
          <w:rFonts w:eastAsia="Times New Roman"/>
        </w:rPr>
        <w:t>Heat and cold therapies: Heat</w:t>
      </w:r>
      <w:r w:rsidRPr="009B367D">
        <w:t xml:space="preserve"> is an effective modality for the relief of joint pain and stiffness caused by RA. Cold is preferable for treatment of an acutely inflamed joint.</w:t>
      </w:r>
    </w:p>
    <w:p w14:paraId="5AD07FB2" w14:textId="77777777" w:rsidR="00490769" w:rsidRPr="009B367D" w:rsidRDefault="00490769" w:rsidP="00490769">
      <w:pPr>
        <w:pStyle w:val="ListParagraph"/>
        <w:numPr>
          <w:ilvl w:val="0"/>
          <w:numId w:val="39"/>
        </w:numPr>
      </w:pPr>
      <w:r w:rsidRPr="00490769">
        <w:rPr>
          <w:rFonts w:eastAsia="Times New Roman"/>
        </w:rPr>
        <w:t>Orthotics and splints</w:t>
      </w:r>
    </w:p>
    <w:p w14:paraId="0BBFC288" w14:textId="77777777" w:rsidR="00490769" w:rsidRPr="009B367D" w:rsidRDefault="00490769" w:rsidP="00490769">
      <w:pPr>
        <w:pStyle w:val="ListParagraph"/>
        <w:numPr>
          <w:ilvl w:val="0"/>
          <w:numId w:val="39"/>
        </w:numPr>
      </w:pPr>
      <w:r w:rsidRPr="00490769">
        <w:rPr>
          <w:rFonts w:eastAsia="Times New Roman"/>
        </w:rPr>
        <w:lastRenderedPageBreak/>
        <w:t xml:space="preserve">Therapeutic exercise: </w:t>
      </w:r>
      <w:r w:rsidRPr="009B367D">
        <w:t>Patients with well-controlled RA should be encouraged to engage in 30 minutes of daily aerobic exercise several times a week. Hand exercises may also be useful.</w:t>
      </w:r>
    </w:p>
    <w:p w14:paraId="5696A057" w14:textId="77777777" w:rsidR="00490769" w:rsidRPr="009B367D" w:rsidRDefault="00490769" w:rsidP="00490769">
      <w:pPr>
        <w:pStyle w:val="ListParagraph"/>
        <w:numPr>
          <w:ilvl w:val="0"/>
          <w:numId w:val="39"/>
        </w:numPr>
      </w:pPr>
      <w:r w:rsidRPr="00490769">
        <w:rPr>
          <w:rFonts w:eastAsia="Times New Roman"/>
        </w:rPr>
        <w:t xml:space="preserve">Joint-protection education e.g. </w:t>
      </w:r>
      <w:r w:rsidRPr="009B367D">
        <w:t>maintenance of good posture, avoidance of overuse during inflammation, modification of tasks to decrease joint stress</w:t>
      </w:r>
      <w:r w:rsidRPr="00490769">
        <w:rPr>
          <w:rFonts w:eastAsia="Times New Roman"/>
        </w:rPr>
        <w:t xml:space="preserve"> </w:t>
      </w:r>
      <w:r w:rsidRPr="009B367D">
        <w:t xml:space="preserve"> </w:t>
      </w:r>
    </w:p>
    <w:p w14:paraId="6B9207A3" w14:textId="77777777" w:rsidR="00490769" w:rsidRPr="009B367D" w:rsidRDefault="00490769" w:rsidP="00490769">
      <w:pPr>
        <w:pStyle w:val="ListParagraph"/>
        <w:numPr>
          <w:ilvl w:val="0"/>
          <w:numId w:val="39"/>
        </w:numPr>
      </w:pPr>
      <w:r w:rsidRPr="00490769">
        <w:rPr>
          <w:shd w:val="clear" w:color="auto" w:fill="FFFFFF"/>
        </w:rPr>
        <w:t xml:space="preserve">Nutritional and dietary counselling </w:t>
      </w:r>
    </w:p>
    <w:p w14:paraId="5C3BF6D8" w14:textId="77777777" w:rsidR="00490769" w:rsidRPr="009B367D" w:rsidRDefault="00490769" w:rsidP="00490769">
      <w:pPr>
        <w:pStyle w:val="ListParagraph"/>
        <w:numPr>
          <w:ilvl w:val="0"/>
          <w:numId w:val="39"/>
        </w:numPr>
      </w:pPr>
      <w:r w:rsidRPr="00490769">
        <w:rPr>
          <w:shd w:val="clear" w:color="auto" w:fill="FFFFFF"/>
        </w:rPr>
        <w:t xml:space="preserve">Interventions to reduce risks of cardiovascular disease, including smoking cessation and lipid control </w:t>
      </w:r>
    </w:p>
    <w:p w14:paraId="0379956A" w14:textId="77777777" w:rsidR="00490769" w:rsidRPr="009B367D" w:rsidRDefault="00490769" w:rsidP="00490769">
      <w:pPr>
        <w:pStyle w:val="Heading2"/>
      </w:pPr>
      <w:r w:rsidRPr="009B367D">
        <w:t xml:space="preserve">Key Issues for Nursing care </w:t>
      </w:r>
    </w:p>
    <w:p w14:paraId="6A65A7EC" w14:textId="77777777" w:rsidR="00490769" w:rsidRPr="009B367D" w:rsidRDefault="00490769" w:rsidP="00490769">
      <w:pPr>
        <w:spacing w:after="182" w:line="276" w:lineRule="auto"/>
        <w:ind w:left="-5"/>
        <w:jc w:val="both"/>
      </w:pPr>
      <w:r w:rsidRPr="009B367D">
        <w:t xml:space="preserve">Patients with inflammatory arthritis should be seen by a doctor whenever possible, given how uncommon it is in the Gambia.  </w:t>
      </w:r>
    </w:p>
    <w:p w14:paraId="58E7ED36" w14:textId="77777777" w:rsidR="00490769" w:rsidRPr="009B367D" w:rsidRDefault="00490769" w:rsidP="00490769">
      <w:pPr>
        <w:spacing w:after="182" w:line="276" w:lineRule="auto"/>
        <w:ind w:left="-5"/>
        <w:jc w:val="both"/>
      </w:pPr>
      <w:r w:rsidRPr="009B367D">
        <w:rPr>
          <w:b/>
          <w:sz w:val="24"/>
        </w:rPr>
        <w:t xml:space="preserve">References </w:t>
      </w:r>
    </w:p>
    <w:p w14:paraId="548420B5" w14:textId="77777777" w:rsidR="00490769" w:rsidRPr="009B367D" w:rsidRDefault="00490769" w:rsidP="00490769">
      <w:pPr>
        <w:spacing w:after="111" w:line="276" w:lineRule="auto"/>
        <w:jc w:val="both"/>
        <w:rPr>
          <w:sz w:val="20"/>
          <w:szCs w:val="20"/>
        </w:rPr>
      </w:pPr>
      <w:r w:rsidRPr="009B367D">
        <w:rPr>
          <w:sz w:val="20"/>
          <w:szCs w:val="20"/>
        </w:rPr>
        <w:t xml:space="preserve">Ally, </w:t>
      </w:r>
      <w:proofErr w:type="gramStart"/>
      <w:r w:rsidRPr="009B367D">
        <w:rPr>
          <w:sz w:val="20"/>
          <w:szCs w:val="20"/>
        </w:rPr>
        <w:t>Meyer</w:t>
      </w:r>
      <w:proofErr w:type="gramEnd"/>
      <w:r w:rsidRPr="009B367D">
        <w:rPr>
          <w:sz w:val="20"/>
          <w:szCs w:val="20"/>
        </w:rPr>
        <w:t xml:space="preserve"> and Anderson (2016). Early rheumatoid arthritis: focus on RA in the developing world. South African Family Practice 2016; 58(4):164-166. </w:t>
      </w:r>
    </w:p>
    <w:p w14:paraId="6BE7B5C3" w14:textId="77777777" w:rsidR="00490769" w:rsidRPr="009B367D" w:rsidRDefault="00490769" w:rsidP="00490769">
      <w:pPr>
        <w:pStyle w:val="EndNoteBibliography"/>
        <w:spacing w:after="0"/>
        <w:ind w:left="720" w:hanging="720"/>
        <w:rPr>
          <w:rFonts w:ascii="Arial" w:hAnsi="Arial" w:cs="Arial"/>
          <w:sz w:val="20"/>
          <w:szCs w:val="20"/>
        </w:rPr>
      </w:pPr>
      <w:r w:rsidRPr="009B367D">
        <w:rPr>
          <w:rFonts w:ascii="Arial" w:hAnsi="Arial" w:cs="Arial"/>
          <w:sz w:val="20"/>
          <w:szCs w:val="20"/>
        </w:rPr>
        <w:t xml:space="preserve">Medscape (2020) Rheumatoid arthritis (RA).   </w:t>
      </w:r>
      <w:hyperlink r:id="rId7" w:history="1">
        <w:r w:rsidRPr="009B367D">
          <w:rPr>
            <w:rStyle w:val="Hyperlink"/>
            <w:rFonts w:ascii="Arial" w:hAnsi="Arial" w:cs="Arial"/>
            <w:sz w:val="20"/>
            <w:szCs w:val="20"/>
          </w:rPr>
          <w:t>https://emedicine.medscape.com/article/331715-overview</w:t>
        </w:r>
      </w:hyperlink>
      <w:r w:rsidRPr="009B367D">
        <w:rPr>
          <w:rFonts w:ascii="Arial" w:hAnsi="Arial" w:cs="Arial"/>
          <w:sz w:val="20"/>
          <w:szCs w:val="20"/>
        </w:rPr>
        <w:t xml:space="preserve"> Accessed 28 June 2020.</w:t>
      </w:r>
    </w:p>
    <w:p w14:paraId="3334FD44" w14:textId="77777777" w:rsidR="00490769" w:rsidRPr="009B367D" w:rsidRDefault="00490769" w:rsidP="00490769">
      <w:pPr>
        <w:pStyle w:val="EndNoteBibliography"/>
        <w:spacing w:after="0"/>
        <w:ind w:left="720" w:hanging="720"/>
        <w:rPr>
          <w:rFonts w:ascii="Arial" w:hAnsi="Arial" w:cs="Arial"/>
          <w:sz w:val="20"/>
          <w:szCs w:val="20"/>
        </w:rPr>
      </w:pPr>
      <w:r w:rsidRPr="009B367D">
        <w:rPr>
          <w:rFonts w:ascii="Arial" w:hAnsi="Arial" w:cs="Arial"/>
          <w:sz w:val="20"/>
          <w:szCs w:val="20"/>
        </w:rPr>
        <w:t xml:space="preserve">NICE Guideline (2018) Rheumatoid arthritis in adults: management.   </w:t>
      </w:r>
      <w:hyperlink r:id="rId8" w:history="1">
        <w:r w:rsidRPr="009B367D">
          <w:rPr>
            <w:rStyle w:val="Hyperlink"/>
            <w:rFonts w:ascii="Arial" w:hAnsi="Arial" w:cs="Arial"/>
            <w:sz w:val="20"/>
            <w:szCs w:val="20"/>
          </w:rPr>
          <w:t>https://www.nice.org.uk/guidance/ng100/chapter/Recommendations Accessed 28 June 2020</w:t>
        </w:r>
      </w:hyperlink>
      <w:r w:rsidRPr="009B367D">
        <w:rPr>
          <w:rFonts w:ascii="Arial" w:hAnsi="Arial" w:cs="Arial"/>
          <w:sz w:val="20"/>
          <w:szCs w:val="20"/>
        </w:rPr>
        <w:t>.</w:t>
      </w:r>
    </w:p>
    <w:p w14:paraId="12E4E443" w14:textId="77777777" w:rsidR="00490769" w:rsidRPr="009B367D" w:rsidRDefault="00490769" w:rsidP="00490769">
      <w:pPr>
        <w:spacing w:after="111" w:line="276" w:lineRule="auto"/>
        <w:ind w:left="-5"/>
        <w:jc w:val="both"/>
        <w:rPr>
          <w:sz w:val="20"/>
          <w:szCs w:val="20"/>
        </w:rPr>
      </w:pPr>
      <w:r w:rsidRPr="009B367D">
        <w:rPr>
          <w:sz w:val="20"/>
          <w:szCs w:val="20"/>
        </w:rPr>
        <w:t xml:space="preserve">Singh et al (2016). 2015 American College of Rheumatology Guideline for the treatment of rheumatoid arthritis. Arthritis Care and Research 2016; 68(1):1-25. </w:t>
      </w:r>
    </w:p>
    <w:p w14:paraId="7215878C" w14:textId="77777777" w:rsidR="00490769" w:rsidRPr="009B367D" w:rsidRDefault="00490769" w:rsidP="00490769">
      <w:pPr>
        <w:pStyle w:val="EndNoteBibliography"/>
        <w:spacing w:after="0"/>
        <w:ind w:left="720" w:hanging="720"/>
        <w:rPr>
          <w:rFonts w:ascii="Arial" w:hAnsi="Arial" w:cs="Arial"/>
          <w:sz w:val="20"/>
          <w:szCs w:val="20"/>
        </w:rPr>
      </w:pPr>
      <w:r w:rsidRPr="009B367D">
        <w:rPr>
          <w:rFonts w:ascii="Arial" w:hAnsi="Arial" w:cs="Arial"/>
          <w:sz w:val="20"/>
          <w:szCs w:val="20"/>
        </w:rPr>
        <w:t xml:space="preserve">Smolen and Aletaha (2018). Assessment of rheumatoid arthritis activity in clinical trials and clinical practice. Up To Date.   </w:t>
      </w:r>
    </w:p>
    <w:p w14:paraId="3EFE0251" w14:textId="77777777" w:rsidR="00490769" w:rsidRPr="009B367D" w:rsidRDefault="00490769" w:rsidP="00490769">
      <w:pPr>
        <w:pStyle w:val="EndNoteBibliography"/>
        <w:spacing w:after="0"/>
        <w:ind w:left="720" w:hanging="720"/>
        <w:rPr>
          <w:rFonts w:ascii="Arial" w:hAnsi="Arial" w:cs="Arial"/>
          <w:sz w:val="20"/>
          <w:szCs w:val="20"/>
        </w:rPr>
      </w:pPr>
      <w:r w:rsidRPr="009B367D">
        <w:rPr>
          <w:rFonts w:ascii="Arial" w:hAnsi="Arial" w:cs="Arial"/>
          <w:sz w:val="20"/>
          <w:szCs w:val="20"/>
        </w:rPr>
        <w:t xml:space="preserve">UpToDate (2020) Initial treatment of rheumatoid arthritis in adults. </w:t>
      </w:r>
      <w:hyperlink r:id="rId9" w:anchor="H2985885" w:history="1">
        <w:r w:rsidRPr="009B367D">
          <w:rPr>
            <w:rStyle w:val="Hyperlink"/>
            <w:rFonts w:ascii="Arial" w:hAnsi="Arial" w:cs="Arial"/>
            <w:sz w:val="20"/>
            <w:szCs w:val="20"/>
          </w:rPr>
          <w:t>https://www.uptodate.com/contents/initial-treatment-of-rheumatoid-arthritis-in-adults?csi=6bb16911-2bca-40f9-987c-cc27a347a127&amp;source=contentShare#H2985885</w:t>
        </w:r>
      </w:hyperlink>
      <w:r w:rsidRPr="009B367D">
        <w:rPr>
          <w:rFonts w:ascii="Arial" w:hAnsi="Arial" w:cs="Arial"/>
          <w:sz w:val="20"/>
          <w:szCs w:val="20"/>
        </w:rPr>
        <w:t xml:space="preserve"> Accessed 28 June 2020.</w:t>
      </w:r>
    </w:p>
    <w:p w14:paraId="31ABAC07" w14:textId="77777777" w:rsidR="00490769" w:rsidRPr="009B367D" w:rsidRDefault="00490769" w:rsidP="00490769">
      <w:pPr>
        <w:spacing w:after="7" w:line="276" w:lineRule="auto"/>
        <w:ind w:left="-5"/>
        <w:jc w:val="both"/>
        <w:rPr>
          <w:sz w:val="20"/>
          <w:szCs w:val="20"/>
        </w:rPr>
      </w:pPr>
      <w:r w:rsidRPr="009B367D">
        <w:rPr>
          <w:sz w:val="20"/>
          <w:szCs w:val="20"/>
        </w:rPr>
        <w:t xml:space="preserve"> </w:t>
      </w:r>
    </w:p>
    <w:tbl>
      <w:tblPr>
        <w:tblStyle w:val="TableGrid0"/>
        <w:tblW w:w="8632" w:type="dxa"/>
        <w:tblInd w:w="-108" w:type="dxa"/>
        <w:tblCellMar>
          <w:top w:w="11" w:type="dxa"/>
          <w:left w:w="108" w:type="dxa"/>
          <w:bottom w:w="4" w:type="dxa"/>
          <w:right w:w="115" w:type="dxa"/>
        </w:tblCellMar>
        <w:tblLook w:val="04A0" w:firstRow="1" w:lastRow="0" w:firstColumn="1" w:lastColumn="0" w:noHBand="0" w:noVBand="1"/>
      </w:tblPr>
      <w:tblGrid>
        <w:gridCol w:w="2138"/>
        <w:gridCol w:w="3623"/>
        <w:gridCol w:w="2871"/>
      </w:tblGrid>
      <w:tr w:rsidR="00490769" w:rsidRPr="009B367D" w14:paraId="4C8317DD" w14:textId="77777777" w:rsidTr="008A63AA">
        <w:trPr>
          <w:trHeight w:val="262"/>
        </w:trPr>
        <w:tc>
          <w:tcPr>
            <w:tcW w:w="2138" w:type="dxa"/>
            <w:tcBorders>
              <w:top w:val="single" w:sz="4" w:space="0" w:color="000000"/>
              <w:left w:val="single" w:sz="4" w:space="0" w:color="000000"/>
              <w:bottom w:val="single" w:sz="4" w:space="0" w:color="000000"/>
              <w:right w:val="single" w:sz="4" w:space="0" w:color="000000"/>
            </w:tcBorders>
          </w:tcPr>
          <w:p w14:paraId="21F350C7" w14:textId="77777777" w:rsidR="00490769" w:rsidRPr="009B367D" w:rsidRDefault="00490769" w:rsidP="008A63AA">
            <w:pPr>
              <w:spacing w:after="0" w:line="276" w:lineRule="auto"/>
              <w:jc w:val="both"/>
            </w:pPr>
            <w:r w:rsidRPr="009B367D">
              <w:rPr>
                <w:b/>
              </w:rPr>
              <w:t xml:space="preserve">Written by: </w:t>
            </w:r>
          </w:p>
        </w:tc>
        <w:tc>
          <w:tcPr>
            <w:tcW w:w="3623" w:type="dxa"/>
            <w:tcBorders>
              <w:top w:val="single" w:sz="4" w:space="0" w:color="000000"/>
              <w:left w:val="single" w:sz="4" w:space="0" w:color="000000"/>
              <w:bottom w:val="single" w:sz="4" w:space="0" w:color="000000"/>
              <w:right w:val="single" w:sz="4" w:space="0" w:color="000000"/>
            </w:tcBorders>
          </w:tcPr>
          <w:p w14:paraId="0E6E99AB" w14:textId="77777777" w:rsidR="00490769" w:rsidRPr="009B367D" w:rsidRDefault="00490769" w:rsidP="008A63AA">
            <w:pPr>
              <w:spacing w:after="0" w:line="276" w:lineRule="auto"/>
              <w:jc w:val="both"/>
            </w:pPr>
            <w:r w:rsidRPr="009B367D">
              <w:t xml:space="preserve">Name: </w:t>
            </w:r>
            <w:r>
              <w:t>Karen Forrest</w:t>
            </w:r>
          </w:p>
        </w:tc>
        <w:tc>
          <w:tcPr>
            <w:tcW w:w="2871" w:type="dxa"/>
            <w:tcBorders>
              <w:top w:val="single" w:sz="4" w:space="0" w:color="000000"/>
              <w:left w:val="single" w:sz="4" w:space="0" w:color="000000"/>
              <w:bottom w:val="single" w:sz="4" w:space="0" w:color="000000"/>
              <w:right w:val="single" w:sz="4" w:space="0" w:color="000000"/>
            </w:tcBorders>
          </w:tcPr>
          <w:p w14:paraId="4409F183" w14:textId="77777777" w:rsidR="00490769" w:rsidRPr="009B367D" w:rsidRDefault="00490769" w:rsidP="008A63AA">
            <w:pPr>
              <w:spacing w:after="0" w:line="276" w:lineRule="auto"/>
              <w:jc w:val="both"/>
            </w:pPr>
            <w:r w:rsidRPr="009B367D">
              <w:t xml:space="preserve">Date: </w:t>
            </w:r>
            <w:r>
              <w:t>22 May 2018</w:t>
            </w:r>
          </w:p>
        </w:tc>
      </w:tr>
      <w:tr w:rsidR="00490769" w:rsidRPr="009B367D" w14:paraId="39DFC084" w14:textId="77777777" w:rsidTr="008A63AA">
        <w:trPr>
          <w:trHeight w:val="264"/>
        </w:trPr>
        <w:tc>
          <w:tcPr>
            <w:tcW w:w="2138" w:type="dxa"/>
            <w:tcBorders>
              <w:top w:val="single" w:sz="4" w:space="0" w:color="000000"/>
              <w:left w:val="single" w:sz="4" w:space="0" w:color="000000"/>
              <w:bottom w:val="single" w:sz="4" w:space="0" w:color="000000"/>
              <w:right w:val="single" w:sz="4" w:space="0" w:color="000000"/>
            </w:tcBorders>
          </w:tcPr>
          <w:p w14:paraId="5C375AFE" w14:textId="77777777" w:rsidR="00490769" w:rsidRPr="009B367D" w:rsidRDefault="00490769" w:rsidP="008A63AA">
            <w:pPr>
              <w:spacing w:after="0" w:line="276" w:lineRule="auto"/>
              <w:jc w:val="both"/>
            </w:pPr>
            <w:r w:rsidRPr="009B367D">
              <w:rPr>
                <w:b/>
              </w:rPr>
              <w:t xml:space="preserve">Reviewed by: </w:t>
            </w:r>
          </w:p>
        </w:tc>
        <w:tc>
          <w:tcPr>
            <w:tcW w:w="3623" w:type="dxa"/>
            <w:tcBorders>
              <w:top w:val="single" w:sz="4" w:space="0" w:color="000000"/>
              <w:left w:val="single" w:sz="4" w:space="0" w:color="000000"/>
              <w:bottom w:val="single" w:sz="4" w:space="0" w:color="000000"/>
              <w:right w:val="single" w:sz="4" w:space="0" w:color="000000"/>
            </w:tcBorders>
          </w:tcPr>
          <w:p w14:paraId="52AA96B8" w14:textId="77777777" w:rsidR="00490769" w:rsidRPr="009B367D" w:rsidRDefault="00490769" w:rsidP="008A63AA">
            <w:pPr>
              <w:spacing w:after="0" w:line="276" w:lineRule="auto"/>
              <w:jc w:val="both"/>
            </w:pPr>
            <w:r w:rsidRPr="009B367D">
              <w:t xml:space="preserve">Name: </w:t>
            </w:r>
            <w:r>
              <w:t>Fatai Akemokwe</w:t>
            </w:r>
          </w:p>
        </w:tc>
        <w:tc>
          <w:tcPr>
            <w:tcW w:w="2871" w:type="dxa"/>
            <w:tcBorders>
              <w:top w:val="single" w:sz="4" w:space="0" w:color="000000"/>
              <w:left w:val="single" w:sz="4" w:space="0" w:color="000000"/>
              <w:bottom w:val="single" w:sz="4" w:space="0" w:color="000000"/>
              <w:right w:val="single" w:sz="4" w:space="0" w:color="000000"/>
            </w:tcBorders>
          </w:tcPr>
          <w:p w14:paraId="7564DF84" w14:textId="77777777" w:rsidR="00490769" w:rsidRPr="009B367D" w:rsidRDefault="00490769" w:rsidP="008A63AA">
            <w:pPr>
              <w:spacing w:after="0" w:line="276" w:lineRule="auto"/>
              <w:jc w:val="both"/>
            </w:pPr>
            <w:r>
              <w:t>Date:  17 June 2018</w:t>
            </w:r>
          </w:p>
        </w:tc>
      </w:tr>
      <w:tr w:rsidR="00490769" w:rsidRPr="009B367D" w14:paraId="79DB1C28" w14:textId="77777777" w:rsidTr="008A63AA">
        <w:trPr>
          <w:trHeight w:val="264"/>
        </w:trPr>
        <w:tc>
          <w:tcPr>
            <w:tcW w:w="2138" w:type="dxa"/>
            <w:tcBorders>
              <w:top w:val="single" w:sz="4" w:space="0" w:color="000000"/>
              <w:left w:val="single" w:sz="4" w:space="0" w:color="000000"/>
              <w:bottom w:val="single" w:sz="4" w:space="0" w:color="000000"/>
              <w:right w:val="single" w:sz="4" w:space="0" w:color="000000"/>
            </w:tcBorders>
          </w:tcPr>
          <w:p w14:paraId="57E961A4" w14:textId="77777777" w:rsidR="00490769" w:rsidRPr="009B367D" w:rsidRDefault="00490769" w:rsidP="008A63AA">
            <w:pPr>
              <w:spacing w:after="0" w:line="276" w:lineRule="auto"/>
              <w:jc w:val="both"/>
              <w:rPr>
                <w:b/>
              </w:rPr>
            </w:pPr>
            <w:r>
              <w:rPr>
                <w:b/>
              </w:rPr>
              <w:t>Reviewed by</w:t>
            </w:r>
          </w:p>
        </w:tc>
        <w:tc>
          <w:tcPr>
            <w:tcW w:w="3623" w:type="dxa"/>
            <w:tcBorders>
              <w:top w:val="single" w:sz="4" w:space="0" w:color="000000"/>
              <w:left w:val="single" w:sz="4" w:space="0" w:color="000000"/>
              <w:bottom w:val="single" w:sz="4" w:space="0" w:color="000000"/>
              <w:right w:val="single" w:sz="4" w:space="0" w:color="000000"/>
            </w:tcBorders>
          </w:tcPr>
          <w:p w14:paraId="2F53BAAE" w14:textId="77777777" w:rsidR="00490769" w:rsidRPr="009B367D" w:rsidRDefault="00490769" w:rsidP="008A63AA">
            <w:pPr>
              <w:spacing w:after="0" w:line="276" w:lineRule="auto"/>
              <w:jc w:val="both"/>
            </w:pPr>
            <w:r>
              <w:t>Name Musa Jallow</w:t>
            </w:r>
          </w:p>
        </w:tc>
        <w:tc>
          <w:tcPr>
            <w:tcW w:w="2871" w:type="dxa"/>
            <w:tcBorders>
              <w:top w:val="single" w:sz="4" w:space="0" w:color="000000"/>
              <w:left w:val="single" w:sz="4" w:space="0" w:color="000000"/>
              <w:bottom w:val="single" w:sz="4" w:space="0" w:color="000000"/>
              <w:right w:val="single" w:sz="4" w:space="0" w:color="000000"/>
            </w:tcBorders>
          </w:tcPr>
          <w:p w14:paraId="3A2D607B" w14:textId="77777777" w:rsidR="00490769" w:rsidRDefault="00490769" w:rsidP="008A63AA">
            <w:pPr>
              <w:spacing w:after="0" w:line="276" w:lineRule="auto"/>
              <w:jc w:val="both"/>
            </w:pPr>
            <w:r>
              <w:t>Date 28 June 2020</w:t>
            </w:r>
          </w:p>
        </w:tc>
      </w:tr>
      <w:tr w:rsidR="00490769" w:rsidRPr="009B367D" w14:paraId="55E9E81A" w14:textId="77777777" w:rsidTr="008A63AA">
        <w:trPr>
          <w:trHeight w:val="262"/>
        </w:trPr>
        <w:tc>
          <w:tcPr>
            <w:tcW w:w="2138" w:type="dxa"/>
            <w:tcBorders>
              <w:top w:val="single" w:sz="4" w:space="0" w:color="000000"/>
              <w:left w:val="single" w:sz="4" w:space="0" w:color="000000"/>
              <w:bottom w:val="single" w:sz="4" w:space="0" w:color="000000"/>
              <w:right w:val="single" w:sz="4" w:space="0" w:color="000000"/>
            </w:tcBorders>
          </w:tcPr>
          <w:p w14:paraId="65D423B0" w14:textId="77777777" w:rsidR="00490769" w:rsidRPr="009B367D" w:rsidRDefault="00490769" w:rsidP="008A63AA">
            <w:pPr>
              <w:spacing w:after="0" w:line="276" w:lineRule="auto"/>
              <w:jc w:val="both"/>
            </w:pPr>
            <w:r w:rsidRPr="009B367D">
              <w:rPr>
                <w:b/>
              </w:rPr>
              <w:t>Version:</w:t>
            </w:r>
            <w:r w:rsidRPr="009B367D">
              <w:t xml:space="preserve"> </w:t>
            </w:r>
          </w:p>
        </w:tc>
        <w:tc>
          <w:tcPr>
            <w:tcW w:w="3623" w:type="dxa"/>
            <w:tcBorders>
              <w:top w:val="single" w:sz="4" w:space="0" w:color="000000"/>
              <w:left w:val="single" w:sz="4" w:space="0" w:color="000000"/>
              <w:bottom w:val="single" w:sz="4" w:space="0" w:color="000000"/>
              <w:right w:val="single" w:sz="4" w:space="0" w:color="000000"/>
            </w:tcBorders>
          </w:tcPr>
          <w:p w14:paraId="166A0C34" w14:textId="77777777" w:rsidR="00490769" w:rsidRPr="009B367D" w:rsidRDefault="00490769" w:rsidP="008A63AA">
            <w:pPr>
              <w:spacing w:after="0" w:line="276" w:lineRule="auto"/>
              <w:jc w:val="both"/>
            </w:pPr>
            <w:r w:rsidRPr="009B367D">
              <w:rPr>
                <w:b/>
              </w:rPr>
              <w:t>Change history:</w:t>
            </w:r>
            <w:r w:rsidRPr="009B367D">
              <w:t xml:space="preserve"> </w:t>
            </w:r>
          </w:p>
        </w:tc>
        <w:tc>
          <w:tcPr>
            <w:tcW w:w="2871" w:type="dxa"/>
            <w:tcBorders>
              <w:top w:val="single" w:sz="4" w:space="0" w:color="000000"/>
              <w:left w:val="single" w:sz="4" w:space="0" w:color="000000"/>
              <w:bottom w:val="single" w:sz="4" w:space="0" w:color="000000"/>
              <w:right w:val="single" w:sz="4" w:space="0" w:color="000000"/>
            </w:tcBorders>
          </w:tcPr>
          <w:p w14:paraId="7D62E4A1" w14:textId="77777777" w:rsidR="00490769" w:rsidRPr="009B367D" w:rsidRDefault="00490769" w:rsidP="008A63AA">
            <w:pPr>
              <w:spacing w:after="0" w:line="276" w:lineRule="auto"/>
              <w:jc w:val="both"/>
            </w:pPr>
            <w:r w:rsidRPr="009B367D">
              <w:rPr>
                <w:b/>
              </w:rPr>
              <w:t xml:space="preserve">Review due date: </w:t>
            </w:r>
          </w:p>
        </w:tc>
      </w:tr>
      <w:tr w:rsidR="00490769" w:rsidRPr="009B367D" w14:paraId="1627446B" w14:textId="77777777" w:rsidTr="008A63AA">
        <w:trPr>
          <w:trHeight w:val="264"/>
        </w:trPr>
        <w:tc>
          <w:tcPr>
            <w:tcW w:w="2138" w:type="dxa"/>
            <w:tcBorders>
              <w:top w:val="single" w:sz="4" w:space="0" w:color="000000"/>
              <w:left w:val="single" w:sz="4" w:space="0" w:color="000000"/>
              <w:bottom w:val="single" w:sz="4" w:space="0" w:color="000000"/>
              <w:right w:val="single" w:sz="4" w:space="0" w:color="000000"/>
            </w:tcBorders>
          </w:tcPr>
          <w:p w14:paraId="097A11C7" w14:textId="77777777" w:rsidR="00490769" w:rsidRPr="009B367D" w:rsidRDefault="00490769" w:rsidP="008A63AA">
            <w:pPr>
              <w:spacing w:after="0" w:line="276" w:lineRule="auto"/>
              <w:jc w:val="both"/>
            </w:pPr>
            <w:r w:rsidRPr="009B367D">
              <w:t xml:space="preserve">1.0 </w:t>
            </w:r>
          </w:p>
        </w:tc>
        <w:tc>
          <w:tcPr>
            <w:tcW w:w="3623" w:type="dxa"/>
            <w:tcBorders>
              <w:top w:val="single" w:sz="4" w:space="0" w:color="000000"/>
              <w:left w:val="single" w:sz="4" w:space="0" w:color="000000"/>
              <w:bottom w:val="single" w:sz="4" w:space="0" w:color="000000"/>
              <w:right w:val="single" w:sz="4" w:space="0" w:color="000000"/>
            </w:tcBorders>
          </w:tcPr>
          <w:p w14:paraId="2B08BB16" w14:textId="77777777" w:rsidR="00490769" w:rsidRPr="009B367D" w:rsidRDefault="00490769" w:rsidP="008A63AA">
            <w:pPr>
              <w:spacing w:after="0" w:line="276" w:lineRule="auto"/>
              <w:jc w:val="both"/>
            </w:pPr>
            <w:r w:rsidRPr="009B367D">
              <w:t xml:space="preserve">New document </w:t>
            </w:r>
          </w:p>
        </w:tc>
        <w:tc>
          <w:tcPr>
            <w:tcW w:w="2871" w:type="dxa"/>
            <w:tcBorders>
              <w:top w:val="single" w:sz="4" w:space="0" w:color="000000"/>
              <w:left w:val="single" w:sz="4" w:space="0" w:color="000000"/>
              <w:bottom w:val="single" w:sz="4" w:space="0" w:color="000000"/>
              <w:right w:val="single" w:sz="4" w:space="0" w:color="000000"/>
            </w:tcBorders>
          </w:tcPr>
          <w:p w14:paraId="08FE12E3" w14:textId="77777777" w:rsidR="00490769" w:rsidRPr="009B367D" w:rsidRDefault="00490769" w:rsidP="008A63AA">
            <w:pPr>
              <w:spacing w:after="0" w:line="276" w:lineRule="auto"/>
              <w:jc w:val="both"/>
            </w:pPr>
            <w:r w:rsidRPr="009B367D">
              <w:t xml:space="preserve">15 August 2020 </w:t>
            </w:r>
          </w:p>
        </w:tc>
      </w:tr>
      <w:tr w:rsidR="00490769" w:rsidRPr="009B367D" w14:paraId="2B4A9E5F" w14:textId="77777777" w:rsidTr="008A63AA">
        <w:trPr>
          <w:trHeight w:val="264"/>
        </w:trPr>
        <w:tc>
          <w:tcPr>
            <w:tcW w:w="2138" w:type="dxa"/>
            <w:tcBorders>
              <w:top w:val="single" w:sz="4" w:space="0" w:color="000000"/>
              <w:left w:val="single" w:sz="4" w:space="0" w:color="000000"/>
              <w:bottom w:val="single" w:sz="4" w:space="0" w:color="000000"/>
              <w:right w:val="single" w:sz="4" w:space="0" w:color="000000"/>
            </w:tcBorders>
          </w:tcPr>
          <w:p w14:paraId="7B7867F4" w14:textId="77777777" w:rsidR="00490769" w:rsidRPr="009B367D" w:rsidRDefault="00490769" w:rsidP="008A63AA">
            <w:pPr>
              <w:spacing w:after="0" w:line="276" w:lineRule="auto"/>
              <w:jc w:val="both"/>
            </w:pPr>
            <w:r w:rsidRPr="009B367D">
              <w:t xml:space="preserve">1.1 </w:t>
            </w:r>
          </w:p>
        </w:tc>
        <w:tc>
          <w:tcPr>
            <w:tcW w:w="3623" w:type="dxa"/>
            <w:tcBorders>
              <w:top w:val="single" w:sz="4" w:space="0" w:color="000000"/>
              <w:left w:val="single" w:sz="4" w:space="0" w:color="000000"/>
              <w:bottom w:val="single" w:sz="4" w:space="0" w:color="000000"/>
              <w:right w:val="single" w:sz="4" w:space="0" w:color="000000"/>
            </w:tcBorders>
          </w:tcPr>
          <w:p w14:paraId="5538E67D" w14:textId="77777777" w:rsidR="00490769" w:rsidRPr="009B367D" w:rsidRDefault="00490769" w:rsidP="008A63AA">
            <w:pPr>
              <w:spacing w:after="0" w:line="276" w:lineRule="auto"/>
              <w:jc w:val="both"/>
            </w:pPr>
            <w:r w:rsidRPr="009B367D">
              <w:t xml:space="preserve">Executive summary added </w:t>
            </w:r>
          </w:p>
        </w:tc>
        <w:tc>
          <w:tcPr>
            <w:tcW w:w="2871" w:type="dxa"/>
            <w:tcBorders>
              <w:top w:val="single" w:sz="4" w:space="0" w:color="000000"/>
              <w:left w:val="single" w:sz="4" w:space="0" w:color="000000"/>
              <w:bottom w:val="single" w:sz="4" w:space="0" w:color="000000"/>
              <w:right w:val="single" w:sz="4" w:space="0" w:color="000000"/>
            </w:tcBorders>
          </w:tcPr>
          <w:p w14:paraId="02EF2427" w14:textId="77777777" w:rsidR="00490769" w:rsidRPr="009B367D" w:rsidRDefault="00490769" w:rsidP="008A63AA">
            <w:pPr>
              <w:spacing w:after="0" w:line="276" w:lineRule="auto"/>
              <w:jc w:val="both"/>
            </w:pPr>
            <w:r w:rsidRPr="009B367D">
              <w:t xml:space="preserve">15 August 2020 </w:t>
            </w:r>
          </w:p>
        </w:tc>
      </w:tr>
      <w:tr w:rsidR="00490769" w:rsidRPr="009B367D" w14:paraId="5E86C61B" w14:textId="77777777" w:rsidTr="000E59E7">
        <w:trPr>
          <w:trHeight w:val="264"/>
        </w:trPr>
        <w:tc>
          <w:tcPr>
            <w:tcW w:w="2138" w:type="dxa"/>
            <w:tcBorders>
              <w:top w:val="single" w:sz="4" w:space="0" w:color="000000"/>
              <w:left w:val="single" w:sz="4" w:space="0" w:color="000000"/>
              <w:bottom w:val="single" w:sz="4" w:space="0" w:color="000000"/>
              <w:right w:val="single" w:sz="4" w:space="0" w:color="000000"/>
            </w:tcBorders>
          </w:tcPr>
          <w:p w14:paraId="688AE0CF" w14:textId="792FFC17" w:rsidR="00490769" w:rsidRPr="009B367D" w:rsidRDefault="00490769" w:rsidP="00490769">
            <w:pPr>
              <w:spacing w:after="0" w:line="276" w:lineRule="auto"/>
              <w:jc w:val="both"/>
            </w:pPr>
            <w:r>
              <w:t>2.0</w:t>
            </w:r>
          </w:p>
        </w:tc>
        <w:tc>
          <w:tcPr>
            <w:tcW w:w="3623" w:type="dxa"/>
            <w:tcBorders>
              <w:top w:val="single" w:sz="4" w:space="0" w:color="000000"/>
              <w:left w:val="single" w:sz="4" w:space="0" w:color="000000"/>
              <w:bottom w:val="single" w:sz="4" w:space="0" w:color="000000"/>
              <w:right w:val="single" w:sz="4" w:space="0" w:color="000000"/>
            </w:tcBorders>
          </w:tcPr>
          <w:p w14:paraId="32DF4F39" w14:textId="37C27038" w:rsidR="00490769" w:rsidRPr="009B367D" w:rsidRDefault="00490769" w:rsidP="00490769">
            <w:pPr>
              <w:spacing w:after="0" w:line="276" w:lineRule="auto"/>
              <w:jc w:val="both"/>
            </w:pPr>
            <w:r>
              <w:t>Diagnostic criteria added, Examination findings updated</w:t>
            </w:r>
            <w:proofErr w:type="gramStart"/>
            <w:r>
              <w:t>, ,</w:t>
            </w:r>
            <w:proofErr w:type="gramEnd"/>
            <w:r>
              <w:t xml:space="preserve"> non-pharmacologic treatment added, new reference added</w:t>
            </w:r>
          </w:p>
        </w:tc>
        <w:tc>
          <w:tcPr>
            <w:tcW w:w="2871" w:type="dxa"/>
            <w:tcBorders>
              <w:top w:val="single" w:sz="4" w:space="0" w:color="000000"/>
              <w:left w:val="single" w:sz="4" w:space="0" w:color="000000"/>
              <w:bottom w:val="single" w:sz="4" w:space="0" w:color="000000"/>
              <w:right w:val="single" w:sz="4" w:space="0" w:color="000000"/>
            </w:tcBorders>
            <w:vAlign w:val="bottom"/>
          </w:tcPr>
          <w:p w14:paraId="3BEF185F" w14:textId="3B0CBF1F" w:rsidR="00490769" w:rsidRPr="009B367D" w:rsidRDefault="00490769" w:rsidP="00490769">
            <w:pPr>
              <w:spacing w:after="0" w:line="276" w:lineRule="auto"/>
              <w:jc w:val="both"/>
            </w:pPr>
            <w:r>
              <w:t>01 November 2020</w:t>
            </w:r>
          </w:p>
        </w:tc>
      </w:tr>
      <w:tr w:rsidR="00490769" w:rsidRPr="009B367D" w14:paraId="4B946957" w14:textId="77777777" w:rsidTr="008A63AA">
        <w:trPr>
          <w:trHeight w:val="516"/>
        </w:trPr>
        <w:tc>
          <w:tcPr>
            <w:tcW w:w="2138" w:type="dxa"/>
            <w:tcBorders>
              <w:top w:val="single" w:sz="4" w:space="0" w:color="000000"/>
              <w:left w:val="single" w:sz="4" w:space="0" w:color="000000"/>
              <w:bottom w:val="single" w:sz="4" w:space="0" w:color="000000"/>
              <w:right w:val="single" w:sz="4" w:space="0" w:color="000000"/>
            </w:tcBorders>
          </w:tcPr>
          <w:p w14:paraId="68AA70D0" w14:textId="77777777" w:rsidR="00490769" w:rsidRPr="009B367D" w:rsidRDefault="00490769" w:rsidP="00490769">
            <w:pPr>
              <w:spacing w:after="0" w:line="276" w:lineRule="auto"/>
              <w:jc w:val="both"/>
            </w:pPr>
            <w:r w:rsidRPr="009B367D">
              <w:t xml:space="preserve">Review Comments </w:t>
            </w:r>
          </w:p>
          <w:p w14:paraId="6DB6C549" w14:textId="77777777" w:rsidR="00490769" w:rsidRPr="009B367D" w:rsidRDefault="00490769" w:rsidP="00490769">
            <w:pPr>
              <w:spacing w:after="0" w:line="276" w:lineRule="auto"/>
              <w:jc w:val="both"/>
            </w:pPr>
            <w:r w:rsidRPr="009B367D">
              <w:t>(</w:t>
            </w:r>
            <w:r w:rsidRPr="009B367D">
              <w:rPr>
                <w:i/>
              </w:rPr>
              <w:t>if applicable)</w:t>
            </w:r>
            <w:r w:rsidRPr="009B367D">
              <w:t xml:space="preserve"> </w:t>
            </w:r>
          </w:p>
        </w:tc>
        <w:tc>
          <w:tcPr>
            <w:tcW w:w="3623" w:type="dxa"/>
            <w:tcBorders>
              <w:top w:val="single" w:sz="4" w:space="0" w:color="000000"/>
              <w:left w:val="single" w:sz="4" w:space="0" w:color="000000"/>
              <w:bottom w:val="single" w:sz="4" w:space="0" w:color="000000"/>
              <w:right w:val="single" w:sz="4" w:space="0" w:color="000000"/>
            </w:tcBorders>
            <w:vAlign w:val="bottom"/>
          </w:tcPr>
          <w:p w14:paraId="17BB66AD" w14:textId="486A7976" w:rsidR="00490769" w:rsidRPr="009B367D" w:rsidRDefault="00490769" w:rsidP="00490769">
            <w:pPr>
              <w:spacing w:after="0" w:line="276" w:lineRule="auto"/>
              <w:jc w:val="both"/>
            </w:pPr>
            <w:r w:rsidRPr="009B367D">
              <w:t xml:space="preserve"> </w:t>
            </w:r>
          </w:p>
        </w:tc>
        <w:tc>
          <w:tcPr>
            <w:tcW w:w="2871" w:type="dxa"/>
            <w:tcBorders>
              <w:top w:val="single" w:sz="4" w:space="0" w:color="000000"/>
              <w:left w:val="single" w:sz="4" w:space="0" w:color="000000"/>
              <w:bottom w:val="single" w:sz="4" w:space="0" w:color="000000"/>
              <w:right w:val="single" w:sz="4" w:space="0" w:color="000000"/>
            </w:tcBorders>
            <w:vAlign w:val="bottom"/>
          </w:tcPr>
          <w:p w14:paraId="0B5EB6B8" w14:textId="15CBCAE8" w:rsidR="00490769" w:rsidRPr="009B367D" w:rsidRDefault="00490769" w:rsidP="00490769">
            <w:pPr>
              <w:spacing w:after="0" w:line="276" w:lineRule="auto"/>
              <w:jc w:val="both"/>
            </w:pPr>
          </w:p>
        </w:tc>
      </w:tr>
    </w:tbl>
    <w:p w14:paraId="179A06CD" w14:textId="77777777" w:rsidR="00490769" w:rsidRPr="009B367D" w:rsidRDefault="00490769" w:rsidP="00490769">
      <w:pPr>
        <w:spacing w:after="0" w:line="276" w:lineRule="auto"/>
        <w:jc w:val="both"/>
      </w:pPr>
      <w:r w:rsidRPr="009B367D">
        <w:t xml:space="preserve"> </w:t>
      </w:r>
    </w:p>
    <w:p w14:paraId="788F14E1" w14:textId="77777777" w:rsidR="00975A60" w:rsidRPr="00CC3CF5" w:rsidRDefault="00975A60" w:rsidP="00490769">
      <w:pPr>
        <w:rPr>
          <w:szCs w:val="22"/>
        </w:rPr>
      </w:pPr>
    </w:p>
    <w:sectPr w:rsidR="00975A60" w:rsidRPr="00CC3CF5" w:rsidSect="00D13825">
      <w:headerReference w:type="default" r:id="rId10"/>
      <w:footerReference w:type="even" r:id="rId11"/>
      <w:footerReference w:type="default" r:id="rId12"/>
      <w:headerReference w:type="first" r:id="rId13"/>
      <w:footerReference w:type="first" r:id="rId14"/>
      <w:pgSz w:w="12240" w:h="15840"/>
      <w:pgMar w:top="1440" w:right="1800" w:bottom="1440" w:left="1800"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D356EC" w14:textId="77777777" w:rsidR="00490769" w:rsidRDefault="00490769" w:rsidP="00975A60">
      <w:pPr>
        <w:spacing w:after="0"/>
      </w:pPr>
      <w:r>
        <w:separator/>
      </w:r>
    </w:p>
  </w:endnote>
  <w:endnote w:type="continuationSeparator" w:id="0">
    <w:p w14:paraId="39BD3077" w14:textId="77777777" w:rsidR="00490769" w:rsidRDefault="00490769" w:rsidP="00975A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swiss"/>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361CED" w14:textId="77777777" w:rsidR="005D1877" w:rsidRDefault="005D1877" w:rsidP="00975A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90077E0" w14:textId="77777777" w:rsidR="005D1877" w:rsidRDefault="005D18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DD5ABE" w14:textId="77777777" w:rsidR="005D1877" w:rsidRPr="003A02A5" w:rsidRDefault="005D1877" w:rsidP="00975A60">
    <w:pPr>
      <w:pStyle w:val="Footer"/>
      <w:jc w:val="center"/>
    </w:pPr>
    <w:r w:rsidRPr="003A02A5">
      <w:rPr>
        <w:rStyle w:val="PageNumber"/>
      </w:rPr>
      <w:t xml:space="preserve">Page </w:t>
    </w:r>
    <w:r w:rsidRPr="003A02A5">
      <w:rPr>
        <w:rStyle w:val="PageNumber"/>
      </w:rPr>
      <w:fldChar w:fldCharType="begin"/>
    </w:r>
    <w:r w:rsidRPr="003A02A5">
      <w:rPr>
        <w:rStyle w:val="PageNumber"/>
      </w:rPr>
      <w:instrText xml:space="preserve"> PAGE </w:instrText>
    </w:r>
    <w:r w:rsidRPr="003A02A5">
      <w:rPr>
        <w:rStyle w:val="PageNumber"/>
      </w:rPr>
      <w:fldChar w:fldCharType="separate"/>
    </w:r>
    <w:r w:rsidR="00C67021">
      <w:rPr>
        <w:rStyle w:val="PageNumber"/>
        <w:noProof/>
      </w:rPr>
      <w:t>1</w:t>
    </w:r>
    <w:r w:rsidRPr="003A02A5">
      <w:rPr>
        <w:rStyle w:val="PageNumber"/>
      </w:rPr>
      <w:fldChar w:fldCharType="end"/>
    </w:r>
    <w:r w:rsidRPr="003A02A5">
      <w:rPr>
        <w:rStyle w:val="PageNumber"/>
      </w:rPr>
      <w:t xml:space="preserve"> of </w:t>
    </w:r>
    <w:r w:rsidRPr="003A02A5">
      <w:rPr>
        <w:rStyle w:val="PageNumber"/>
      </w:rPr>
      <w:fldChar w:fldCharType="begin"/>
    </w:r>
    <w:r w:rsidRPr="003A02A5">
      <w:rPr>
        <w:rStyle w:val="PageNumber"/>
      </w:rPr>
      <w:instrText xml:space="preserve"> NUMPAGES </w:instrText>
    </w:r>
    <w:r w:rsidRPr="003A02A5">
      <w:rPr>
        <w:rStyle w:val="PageNumber"/>
      </w:rPr>
      <w:fldChar w:fldCharType="separate"/>
    </w:r>
    <w:r w:rsidR="00C67021">
      <w:rPr>
        <w:rStyle w:val="PageNumber"/>
        <w:noProof/>
      </w:rPr>
      <w:t>1</w:t>
    </w:r>
    <w:r w:rsidRPr="003A02A5">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B3A27C" w14:textId="77777777" w:rsidR="00D13825" w:rsidRDefault="00D13825" w:rsidP="00D13825">
    <w:pPr>
      <w:pStyle w:val="Footer"/>
      <w:jc w:val="center"/>
    </w:pPr>
    <w:r w:rsidRPr="003A02A5">
      <w:rPr>
        <w:rStyle w:val="PageNumber"/>
      </w:rPr>
      <w:t xml:space="preserve">Page </w:t>
    </w:r>
    <w:r w:rsidRPr="003A02A5">
      <w:rPr>
        <w:rStyle w:val="PageNumber"/>
      </w:rPr>
      <w:fldChar w:fldCharType="begin"/>
    </w:r>
    <w:r w:rsidRPr="003A02A5">
      <w:rPr>
        <w:rStyle w:val="PageNumber"/>
      </w:rPr>
      <w:instrText xml:space="preserve"> PAGE </w:instrText>
    </w:r>
    <w:r w:rsidRPr="003A02A5">
      <w:rPr>
        <w:rStyle w:val="PageNumber"/>
      </w:rPr>
      <w:fldChar w:fldCharType="separate"/>
    </w:r>
    <w:r>
      <w:rPr>
        <w:rStyle w:val="PageNumber"/>
      </w:rPr>
      <w:t>2</w:t>
    </w:r>
    <w:r w:rsidRPr="003A02A5">
      <w:rPr>
        <w:rStyle w:val="PageNumber"/>
      </w:rPr>
      <w:fldChar w:fldCharType="end"/>
    </w:r>
    <w:r w:rsidRPr="003A02A5">
      <w:rPr>
        <w:rStyle w:val="PageNumber"/>
      </w:rPr>
      <w:t xml:space="preserve"> of </w:t>
    </w:r>
    <w:r w:rsidRPr="003A02A5">
      <w:rPr>
        <w:rStyle w:val="PageNumber"/>
      </w:rPr>
      <w:fldChar w:fldCharType="begin"/>
    </w:r>
    <w:r w:rsidRPr="003A02A5">
      <w:rPr>
        <w:rStyle w:val="PageNumber"/>
      </w:rPr>
      <w:instrText xml:space="preserve"> NUMPAGES </w:instrText>
    </w:r>
    <w:r w:rsidRPr="003A02A5">
      <w:rPr>
        <w:rStyle w:val="PageNumber"/>
      </w:rPr>
      <w:fldChar w:fldCharType="separate"/>
    </w:r>
    <w:r>
      <w:rPr>
        <w:rStyle w:val="PageNumber"/>
      </w:rPr>
      <w:t>2</w:t>
    </w:r>
    <w:r w:rsidRPr="003A02A5">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20FAD2" w14:textId="77777777" w:rsidR="00490769" w:rsidRDefault="00490769" w:rsidP="00975A60">
      <w:pPr>
        <w:spacing w:after="0"/>
      </w:pPr>
      <w:r>
        <w:separator/>
      </w:r>
    </w:p>
  </w:footnote>
  <w:footnote w:type="continuationSeparator" w:id="0">
    <w:p w14:paraId="456A15BD" w14:textId="77777777" w:rsidR="00490769" w:rsidRDefault="00490769" w:rsidP="00975A6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662C98" w14:textId="2B4BAAD1" w:rsidR="00D13825" w:rsidRPr="00F87812" w:rsidRDefault="00D13825" w:rsidP="00D13825">
    <w:pPr>
      <w:pStyle w:val="Header"/>
    </w:pPr>
    <w:r w:rsidRPr="00F87812">
      <w:t>Identification code: MeG-CLS-</w:t>
    </w:r>
    <w:r w:rsidR="00490769">
      <w:t>041</w:t>
    </w:r>
    <w:r w:rsidRPr="00F87812">
      <w:tab/>
    </w:r>
  </w:p>
  <w:p w14:paraId="5DC98C6C" w14:textId="4B1B51B2" w:rsidR="005D1877" w:rsidRPr="0095050B" w:rsidRDefault="00D13825" w:rsidP="00D13825">
    <w:pPr>
      <w:pStyle w:val="Header"/>
    </w:pPr>
    <w:r w:rsidRPr="0095050B">
      <w:t xml:space="preserve">Version: </w:t>
    </w:r>
    <w:r w:rsidR="00490769">
      <w:t>2</w:t>
    </w:r>
    <w:r w:rsidRPr="0095050B">
      <w:t xml:space="preserve">.0 – </w:t>
    </w:r>
    <w:r w:rsidR="00490769">
      <w:t>01 November 2020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20259A" w14:textId="77777777" w:rsidR="00D13825" w:rsidRDefault="00D13825" w:rsidP="00D13825">
    <w:pPr>
      <w:pStyle w:val="Header"/>
      <w:ind w:firstLine="2880"/>
      <w:rPr>
        <w:rFonts w:cs="Arial"/>
        <w:b/>
      </w:rPr>
    </w:pPr>
    <w:r>
      <w:rPr>
        <w:rFonts w:cs="Arial"/>
        <w:b/>
        <w:noProof/>
      </w:rPr>
      <w:drawing>
        <wp:anchor distT="0" distB="0" distL="114300" distR="114300" simplePos="0" relativeHeight="251660288" behindDoc="1" locked="0" layoutInCell="1" allowOverlap="1" wp14:anchorId="63886896" wp14:editId="032127B9">
          <wp:simplePos x="0" y="0"/>
          <wp:positionH relativeFrom="margin">
            <wp:posOffset>-247650</wp:posOffset>
          </wp:positionH>
          <wp:positionV relativeFrom="paragraph">
            <wp:posOffset>-295275</wp:posOffset>
          </wp:positionV>
          <wp:extent cx="2253812" cy="8953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RC Logo 2018.jpg"/>
                  <pic:cNvPicPr/>
                </pic:nvPicPr>
                <pic:blipFill>
                  <a:blip r:embed="rId1">
                    <a:extLst>
                      <a:ext uri="{28A0092B-C50C-407E-A947-70E740481C1C}">
                        <a14:useLocalDpi xmlns:a14="http://schemas.microsoft.com/office/drawing/2010/main" val="0"/>
                      </a:ext>
                    </a:extLst>
                  </a:blip>
                  <a:stretch>
                    <a:fillRect/>
                  </a:stretch>
                </pic:blipFill>
                <pic:spPr>
                  <a:xfrm>
                    <a:off x="0" y="0"/>
                    <a:ext cx="2253812" cy="895350"/>
                  </a:xfrm>
                  <a:prstGeom prst="rect">
                    <a:avLst/>
                  </a:prstGeom>
                </pic:spPr>
              </pic:pic>
            </a:graphicData>
          </a:graphic>
          <wp14:sizeRelH relativeFrom="page">
            <wp14:pctWidth>0</wp14:pctWidth>
          </wp14:sizeRelH>
          <wp14:sizeRelV relativeFrom="page">
            <wp14:pctHeight>0</wp14:pctHeight>
          </wp14:sizeRelV>
        </wp:anchor>
      </w:drawing>
    </w:r>
  </w:p>
  <w:p w14:paraId="544F3C04" w14:textId="77777777" w:rsidR="00D13825" w:rsidRDefault="00D13825" w:rsidP="00D13825">
    <w:pPr>
      <w:pStyle w:val="Header"/>
      <w:ind w:firstLine="2880"/>
      <w:rPr>
        <w:rFonts w:cs="Arial"/>
        <w:b/>
      </w:rPr>
    </w:pPr>
    <w:r w:rsidRPr="003C0800">
      <w:rPr>
        <w:rFonts w:cs="Arial"/>
        <w:b/>
      </w:rPr>
      <w:t>MRC</w:t>
    </w:r>
    <w:r>
      <w:rPr>
        <w:rFonts w:cs="Arial"/>
        <w:b/>
      </w:rPr>
      <w:t>G@LSHTM</w:t>
    </w:r>
    <w:r w:rsidRPr="003C0800">
      <w:rPr>
        <w:rFonts w:cs="Arial"/>
        <w:b/>
      </w:rPr>
      <w:t xml:space="preserve"> Clinical Guideline</w:t>
    </w:r>
  </w:p>
  <w:p w14:paraId="7EBE52B2" w14:textId="77777777" w:rsidR="00D13825" w:rsidRPr="003C0800" w:rsidRDefault="00D13825" w:rsidP="00D13825">
    <w:pPr>
      <w:pStyle w:val="Header"/>
      <w:ind w:firstLine="2880"/>
      <w:rPr>
        <w:rFonts w:cs="Arial"/>
        <w:b/>
      </w:rPr>
    </w:pPr>
  </w:p>
  <w:p w14:paraId="6677706C" w14:textId="007C6440" w:rsidR="00D13825" w:rsidRPr="00F87812" w:rsidRDefault="00D13825" w:rsidP="00D13825">
    <w:pPr>
      <w:pStyle w:val="Header"/>
    </w:pPr>
    <w:r w:rsidRPr="00F87812">
      <w:t>Identification code: MeG-CLS-</w:t>
    </w:r>
    <w:r w:rsidR="00490769">
      <w:t>041</w:t>
    </w:r>
    <w:r w:rsidRPr="00F87812">
      <w:tab/>
    </w:r>
  </w:p>
  <w:p w14:paraId="0F20BF85" w14:textId="4D3B4835" w:rsidR="00D13825" w:rsidRPr="00F87812" w:rsidRDefault="00D13825" w:rsidP="00D13825">
    <w:pPr>
      <w:pStyle w:val="Header"/>
    </w:pPr>
    <w:r w:rsidRPr="00F87812">
      <w:t xml:space="preserve">Version: </w:t>
    </w:r>
    <w:r w:rsidR="00490769">
      <w:t>2</w:t>
    </w:r>
    <w:r w:rsidRPr="0095050B">
      <w:t xml:space="preserve">.0 – </w:t>
    </w:r>
    <w:r w:rsidR="00490769">
      <w:t>01 November 2020</w:t>
    </w:r>
  </w:p>
  <w:p w14:paraId="76601473" w14:textId="77777777" w:rsidR="00D13825" w:rsidRDefault="00D138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5F41934"/>
    <w:lvl w:ilvl="0">
      <w:start w:val="1"/>
      <w:numFmt w:val="decimal"/>
      <w:lvlText w:val="%1."/>
      <w:lvlJc w:val="left"/>
      <w:pPr>
        <w:tabs>
          <w:tab w:val="num" w:pos="1492"/>
        </w:tabs>
        <w:ind w:left="1492" w:hanging="360"/>
      </w:pPr>
    </w:lvl>
  </w:abstractNum>
  <w:abstractNum w:abstractNumId="1" w15:restartNumberingAfterBreak="0">
    <w:nsid w:val="FFFFFF7F"/>
    <w:multiLevelType w:val="singleLevel"/>
    <w:tmpl w:val="3460AEB8"/>
    <w:lvl w:ilvl="0">
      <w:start w:val="1"/>
      <w:numFmt w:val="decimal"/>
      <w:lvlText w:val="%1."/>
      <w:lvlJc w:val="left"/>
      <w:pPr>
        <w:tabs>
          <w:tab w:val="num" w:pos="643"/>
        </w:tabs>
        <w:ind w:left="643" w:hanging="360"/>
      </w:pPr>
    </w:lvl>
  </w:abstractNum>
  <w:abstractNum w:abstractNumId="2" w15:restartNumberingAfterBreak="0">
    <w:nsid w:val="00353087"/>
    <w:multiLevelType w:val="hybridMultilevel"/>
    <w:tmpl w:val="B6AED0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5FE2162"/>
    <w:multiLevelType w:val="hybridMultilevel"/>
    <w:tmpl w:val="EF9E10EC"/>
    <w:lvl w:ilvl="0" w:tplc="81400CA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124D24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928E96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5E4970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4D8875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F82662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79AAC6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2BC9AC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4F8893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7A212AA"/>
    <w:multiLevelType w:val="hybridMultilevel"/>
    <w:tmpl w:val="F9B2D6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AA8779F"/>
    <w:multiLevelType w:val="hybridMultilevel"/>
    <w:tmpl w:val="AE6E3656"/>
    <w:lvl w:ilvl="0" w:tplc="02CA68C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BAE520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6F6108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ACCD5E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0FA715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39CB19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13E851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76E854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E4C154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0F52731"/>
    <w:multiLevelType w:val="hybridMultilevel"/>
    <w:tmpl w:val="7B2A739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1BDD15A9"/>
    <w:multiLevelType w:val="hybridMultilevel"/>
    <w:tmpl w:val="369ECB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3566015"/>
    <w:multiLevelType w:val="hybridMultilevel"/>
    <w:tmpl w:val="DD2C67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4EB7867"/>
    <w:multiLevelType w:val="hybridMultilevel"/>
    <w:tmpl w:val="A4FCD632"/>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0" w15:restartNumberingAfterBreak="0">
    <w:nsid w:val="2FF63667"/>
    <w:multiLevelType w:val="hybridMultilevel"/>
    <w:tmpl w:val="875A16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9022F25"/>
    <w:multiLevelType w:val="hybridMultilevel"/>
    <w:tmpl w:val="CA9409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3B8B0916"/>
    <w:multiLevelType w:val="hybridMultilevel"/>
    <w:tmpl w:val="9A7AE5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BA144FF"/>
    <w:multiLevelType w:val="hybridMultilevel"/>
    <w:tmpl w:val="407E87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E404BD4"/>
    <w:multiLevelType w:val="hybridMultilevel"/>
    <w:tmpl w:val="AE72C1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514630D"/>
    <w:multiLevelType w:val="hybridMultilevel"/>
    <w:tmpl w:val="753863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8871E75"/>
    <w:multiLevelType w:val="hybridMultilevel"/>
    <w:tmpl w:val="6B1C6E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894278C"/>
    <w:multiLevelType w:val="hybridMultilevel"/>
    <w:tmpl w:val="B31009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99B0CF2"/>
    <w:multiLevelType w:val="hybridMultilevel"/>
    <w:tmpl w:val="ADDE94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BC4387"/>
    <w:multiLevelType w:val="hybridMultilevel"/>
    <w:tmpl w:val="4CCE0D82"/>
    <w:lvl w:ilvl="0" w:tplc="08090001">
      <w:start w:val="1"/>
      <w:numFmt w:val="bullet"/>
      <w:lvlText w:val=""/>
      <w:lvlJc w:val="left"/>
      <w:pPr>
        <w:ind w:left="720" w:hanging="360"/>
      </w:pPr>
      <w:rPr>
        <w:rFonts w:ascii="Symbol" w:hAnsi="Symbol" w:hint="default"/>
      </w:rPr>
    </w:lvl>
    <w:lvl w:ilvl="1" w:tplc="91DE9384">
      <w:start w:val="1"/>
      <w:numFmt w:val="bullet"/>
      <w:lvlText w:val="o"/>
      <w:lvlJc w:val="left"/>
      <w:pPr>
        <w:ind w:left="1353"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13D4E37"/>
    <w:multiLevelType w:val="hybridMultilevel"/>
    <w:tmpl w:val="66D0AC3A"/>
    <w:lvl w:ilvl="0" w:tplc="A0FEB37C">
      <w:numFmt w:val="bullet"/>
      <w:lvlText w:val="•"/>
      <w:lvlJc w:val="left"/>
      <w:pPr>
        <w:ind w:left="1080" w:hanging="720"/>
      </w:pPr>
      <w:rPr>
        <w:rFonts w:ascii="Arial" w:eastAsia="MS Mincho"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29D0C3A"/>
    <w:multiLevelType w:val="hybridMultilevel"/>
    <w:tmpl w:val="5E4CE0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75A5169"/>
    <w:multiLevelType w:val="hybridMultilevel"/>
    <w:tmpl w:val="BE1272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9EF6AE6"/>
    <w:multiLevelType w:val="hybridMultilevel"/>
    <w:tmpl w:val="72AA595E"/>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4" w15:restartNumberingAfterBreak="0">
    <w:nsid w:val="5BC1361A"/>
    <w:multiLevelType w:val="hybridMultilevel"/>
    <w:tmpl w:val="74204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46662A1"/>
    <w:multiLevelType w:val="hybridMultilevel"/>
    <w:tmpl w:val="EE6C47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4764D9C"/>
    <w:multiLevelType w:val="hybridMultilevel"/>
    <w:tmpl w:val="5764F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360F1F"/>
    <w:multiLevelType w:val="hybridMultilevel"/>
    <w:tmpl w:val="70B08C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5605712"/>
    <w:multiLevelType w:val="hybridMultilevel"/>
    <w:tmpl w:val="1DD251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5FF43D4"/>
    <w:multiLevelType w:val="hybridMultilevel"/>
    <w:tmpl w:val="79B48CE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15:restartNumberingAfterBreak="0">
    <w:nsid w:val="66983098"/>
    <w:multiLevelType w:val="hybridMultilevel"/>
    <w:tmpl w:val="C550139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1" w15:restartNumberingAfterBreak="0">
    <w:nsid w:val="692F01AC"/>
    <w:multiLevelType w:val="hybridMultilevel"/>
    <w:tmpl w:val="C37E6E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F0A20B6"/>
    <w:multiLevelType w:val="hybridMultilevel"/>
    <w:tmpl w:val="2F3A4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1080A2C"/>
    <w:multiLevelType w:val="hybridMultilevel"/>
    <w:tmpl w:val="797648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17E42C5"/>
    <w:multiLevelType w:val="hybridMultilevel"/>
    <w:tmpl w:val="832CA278"/>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35" w15:restartNumberingAfterBreak="0">
    <w:nsid w:val="728402B0"/>
    <w:multiLevelType w:val="hybridMultilevel"/>
    <w:tmpl w:val="84A66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ACA7371"/>
    <w:multiLevelType w:val="hybridMultilevel"/>
    <w:tmpl w:val="FCD88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D5B5495"/>
    <w:multiLevelType w:val="hybridMultilevel"/>
    <w:tmpl w:val="2A7891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F2F00C2"/>
    <w:multiLevelType w:val="hybridMultilevel"/>
    <w:tmpl w:val="939A217E"/>
    <w:lvl w:ilvl="0" w:tplc="4150E5D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57A859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E92DF1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71CB96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BDE07B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E104FF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020C17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4E6DD8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19C8E6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17"/>
  </w:num>
  <w:num w:numId="2">
    <w:abstractNumId w:val="27"/>
  </w:num>
  <w:num w:numId="3">
    <w:abstractNumId w:val="12"/>
  </w:num>
  <w:num w:numId="4">
    <w:abstractNumId w:val="1"/>
  </w:num>
  <w:num w:numId="5">
    <w:abstractNumId w:val="0"/>
  </w:num>
  <w:num w:numId="6">
    <w:abstractNumId w:val="6"/>
  </w:num>
  <w:num w:numId="7">
    <w:abstractNumId w:val="19"/>
  </w:num>
  <w:num w:numId="8">
    <w:abstractNumId w:val="2"/>
  </w:num>
  <w:num w:numId="9">
    <w:abstractNumId w:val="37"/>
  </w:num>
  <w:num w:numId="10">
    <w:abstractNumId w:val="4"/>
  </w:num>
  <w:num w:numId="11">
    <w:abstractNumId w:val="13"/>
  </w:num>
  <w:num w:numId="12">
    <w:abstractNumId w:val="26"/>
  </w:num>
  <w:num w:numId="13">
    <w:abstractNumId w:val="32"/>
  </w:num>
  <w:num w:numId="14">
    <w:abstractNumId w:val="29"/>
  </w:num>
  <w:num w:numId="15">
    <w:abstractNumId w:val="36"/>
  </w:num>
  <w:num w:numId="16">
    <w:abstractNumId w:val="15"/>
  </w:num>
  <w:num w:numId="17">
    <w:abstractNumId w:val="10"/>
  </w:num>
  <w:num w:numId="18">
    <w:abstractNumId w:val="30"/>
  </w:num>
  <w:num w:numId="19">
    <w:abstractNumId w:val="16"/>
  </w:num>
  <w:num w:numId="20">
    <w:abstractNumId w:val="35"/>
  </w:num>
  <w:num w:numId="21">
    <w:abstractNumId w:val="18"/>
  </w:num>
  <w:num w:numId="22">
    <w:abstractNumId w:val="11"/>
  </w:num>
  <w:num w:numId="23">
    <w:abstractNumId w:val="25"/>
  </w:num>
  <w:num w:numId="24">
    <w:abstractNumId w:val="28"/>
  </w:num>
  <w:num w:numId="25">
    <w:abstractNumId w:val="20"/>
  </w:num>
  <w:num w:numId="26">
    <w:abstractNumId w:val="14"/>
  </w:num>
  <w:num w:numId="27">
    <w:abstractNumId w:val="9"/>
  </w:num>
  <w:num w:numId="28">
    <w:abstractNumId w:val="34"/>
  </w:num>
  <w:num w:numId="29">
    <w:abstractNumId w:val="23"/>
  </w:num>
  <w:num w:numId="30">
    <w:abstractNumId w:val="3"/>
  </w:num>
  <w:num w:numId="31">
    <w:abstractNumId w:val="33"/>
  </w:num>
  <w:num w:numId="32">
    <w:abstractNumId w:val="5"/>
  </w:num>
  <w:num w:numId="33">
    <w:abstractNumId w:val="8"/>
  </w:num>
  <w:num w:numId="34">
    <w:abstractNumId w:val="22"/>
  </w:num>
  <w:num w:numId="35">
    <w:abstractNumId w:val="21"/>
  </w:num>
  <w:num w:numId="36">
    <w:abstractNumId w:val="38"/>
  </w:num>
  <w:num w:numId="37">
    <w:abstractNumId w:val="31"/>
  </w:num>
  <w:num w:numId="38">
    <w:abstractNumId w:val="24"/>
  </w:num>
  <w:num w:numId="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GrammaticalErrors/>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CysDAzNzA1sTA0MjZV0lEKTi0uzszPAykwrAUAYPSB3SwAAAA="/>
  </w:docVars>
  <w:rsids>
    <w:rsidRoot w:val="00490769"/>
    <w:rsid w:val="000039D9"/>
    <w:rsid w:val="0007147C"/>
    <w:rsid w:val="00081642"/>
    <w:rsid w:val="00114AAF"/>
    <w:rsid w:val="001203AE"/>
    <w:rsid w:val="00175153"/>
    <w:rsid w:val="001C1450"/>
    <w:rsid w:val="00223920"/>
    <w:rsid w:val="00252A11"/>
    <w:rsid w:val="0029357D"/>
    <w:rsid w:val="002A2856"/>
    <w:rsid w:val="003020A2"/>
    <w:rsid w:val="003038D3"/>
    <w:rsid w:val="003225CD"/>
    <w:rsid w:val="003C0800"/>
    <w:rsid w:val="003F70CA"/>
    <w:rsid w:val="00490769"/>
    <w:rsid w:val="004A25F0"/>
    <w:rsid w:val="004A4C93"/>
    <w:rsid w:val="004C4442"/>
    <w:rsid w:val="00504405"/>
    <w:rsid w:val="005151D8"/>
    <w:rsid w:val="00515546"/>
    <w:rsid w:val="005638D0"/>
    <w:rsid w:val="00584E1E"/>
    <w:rsid w:val="005D1877"/>
    <w:rsid w:val="00633320"/>
    <w:rsid w:val="007067BE"/>
    <w:rsid w:val="007B26B1"/>
    <w:rsid w:val="00857027"/>
    <w:rsid w:val="009165E9"/>
    <w:rsid w:val="009325A7"/>
    <w:rsid w:val="0095050B"/>
    <w:rsid w:val="009747D5"/>
    <w:rsid w:val="00975A60"/>
    <w:rsid w:val="009956F9"/>
    <w:rsid w:val="009B44BE"/>
    <w:rsid w:val="009F5B1B"/>
    <w:rsid w:val="00A312D8"/>
    <w:rsid w:val="00A41080"/>
    <w:rsid w:val="00A57064"/>
    <w:rsid w:val="00B31AC4"/>
    <w:rsid w:val="00B844E8"/>
    <w:rsid w:val="00BD08AB"/>
    <w:rsid w:val="00C67021"/>
    <w:rsid w:val="00CC3CF5"/>
    <w:rsid w:val="00CD4A1D"/>
    <w:rsid w:val="00D03AB2"/>
    <w:rsid w:val="00D13825"/>
    <w:rsid w:val="00DA20ED"/>
    <w:rsid w:val="00DC1CC5"/>
    <w:rsid w:val="00DC590C"/>
    <w:rsid w:val="00DE3D6D"/>
    <w:rsid w:val="00DF345F"/>
    <w:rsid w:val="00E162DA"/>
    <w:rsid w:val="00F03F25"/>
    <w:rsid w:val="00F53968"/>
    <w:rsid w:val="00F71F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F86C00"/>
  <w15:docId w15:val="{39C21430-39EA-4996-88AE-A6BEE5130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ahoma" w:eastAsia="MS Mincho" w:hAnsi="Tahoma" w:cs="Arial"/>
        <w:lang w:val="en-GB" w:eastAsia="en-US" w:bidi="ar-SA"/>
      </w:rPr>
    </w:rPrDefault>
    <w:pPrDefault/>
  </w:docDefaults>
  <w:latentStyles w:defLockedState="0" w:defUIPriority="0" w:defSemiHidden="0" w:defUnhideWhenUsed="0" w:defQFormat="0" w:count="376">
    <w:lsdException w:name="heading 2"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F71F11"/>
    <w:pPr>
      <w:spacing w:after="120"/>
      <w:outlineLvl w:val="0"/>
    </w:pPr>
    <w:rPr>
      <w:rFonts w:ascii="Arial" w:hAnsi="Arial"/>
      <w:sz w:val="22"/>
      <w:szCs w:val="24"/>
      <w:lang w:val="en-US"/>
    </w:rPr>
  </w:style>
  <w:style w:type="paragraph" w:styleId="Heading1">
    <w:name w:val="heading 1"/>
    <w:basedOn w:val="Normal"/>
    <w:next w:val="Normal"/>
    <w:link w:val="Heading1Char"/>
    <w:uiPriority w:val="9"/>
    <w:qFormat/>
    <w:rsid w:val="00F71F11"/>
    <w:pPr>
      <w:spacing w:after="360"/>
    </w:pPr>
    <w:rPr>
      <w:rFonts w:cs="Times New Roman"/>
      <w:b/>
      <w:sz w:val="28"/>
      <w:szCs w:val="36"/>
    </w:rPr>
  </w:style>
  <w:style w:type="paragraph" w:styleId="Heading2">
    <w:name w:val="heading 2"/>
    <w:basedOn w:val="Normal"/>
    <w:next w:val="Normal"/>
    <w:link w:val="Heading2Char"/>
    <w:uiPriority w:val="9"/>
    <w:unhideWhenUsed/>
    <w:qFormat/>
    <w:rsid w:val="00F71F11"/>
    <w:pPr>
      <w:spacing w:before="120" w:after="240"/>
      <w:outlineLvl w:val="1"/>
    </w:pPr>
    <w:rPr>
      <w:rFonts w:cs="Times New Roman"/>
      <w:b/>
      <w:sz w:val="24"/>
      <w:szCs w:val="28"/>
    </w:rPr>
  </w:style>
  <w:style w:type="paragraph" w:styleId="Heading3">
    <w:name w:val="heading 3"/>
    <w:basedOn w:val="Normal"/>
    <w:next w:val="Normal"/>
    <w:link w:val="Heading3Char"/>
    <w:autoRedefine/>
    <w:rsid w:val="00F71F11"/>
    <w:pPr>
      <w:spacing w:before="120" w:after="180"/>
      <w:outlineLvl w:val="2"/>
    </w:pPr>
    <w:rPr>
      <w:rFonts w:eastAsia="Times New Roman" w:cs="Times New Roman"/>
      <w:b/>
      <w:bCs/>
      <w:szCs w:val="26"/>
      <w:u w:val="single"/>
    </w:rPr>
  </w:style>
  <w:style w:type="paragraph" w:styleId="Heading4">
    <w:name w:val="heading 4"/>
    <w:basedOn w:val="Normal"/>
    <w:next w:val="Normal"/>
    <w:link w:val="Heading4Char"/>
    <w:rsid w:val="001203A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71F11"/>
    <w:rPr>
      <w:rFonts w:ascii="Arial" w:hAnsi="Arial" w:cs="Times New Roman"/>
      <w:b/>
      <w:sz w:val="28"/>
      <w:szCs w:val="36"/>
      <w:lang w:val="en-US"/>
    </w:rPr>
  </w:style>
  <w:style w:type="character" w:customStyle="1" w:styleId="Heading2Char">
    <w:name w:val="Heading 2 Char"/>
    <w:link w:val="Heading2"/>
    <w:uiPriority w:val="9"/>
    <w:rsid w:val="00F71F11"/>
    <w:rPr>
      <w:rFonts w:ascii="Arial" w:hAnsi="Arial" w:cs="Times New Roman"/>
      <w:b/>
      <w:sz w:val="24"/>
      <w:szCs w:val="28"/>
      <w:lang w:val="en-US"/>
    </w:rPr>
  </w:style>
  <w:style w:type="paragraph" w:styleId="BalloonText">
    <w:name w:val="Balloon Text"/>
    <w:basedOn w:val="Normal"/>
    <w:link w:val="BalloonTextChar"/>
    <w:uiPriority w:val="99"/>
    <w:semiHidden/>
    <w:unhideWhenUsed/>
    <w:rsid w:val="00EF2FB1"/>
    <w:rPr>
      <w:rFonts w:ascii="Lucida Grande" w:hAnsi="Lucida Grande" w:cs="Times New Roman"/>
      <w:sz w:val="18"/>
      <w:szCs w:val="18"/>
    </w:rPr>
  </w:style>
  <w:style w:type="character" w:customStyle="1" w:styleId="BalloonTextChar">
    <w:name w:val="Balloon Text Char"/>
    <w:link w:val="BalloonText"/>
    <w:uiPriority w:val="99"/>
    <w:semiHidden/>
    <w:rsid w:val="00EF2FB1"/>
    <w:rPr>
      <w:rFonts w:ascii="Lucida Grande" w:hAnsi="Lucida Grande" w:cs="Lucida Grande"/>
      <w:sz w:val="18"/>
      <w:szCs w:val="18"/>
    </w:rPr>
  </w:style>
  <w:style w:type="character" w:customStyle="1" w:styleId="Heading3Char">
    <w:name w:val="Heading 3 Char"/>
    <w:basedOn w:val="DefaultParagraphFont"/>
    <w:link w:val="Heading3"/>
    <w:rsid w:val="00F71F11"/>
    <w:rPr>
      <w:rFonts w:ascii="Arial" w:eastAsia="Times New Roman" w:hAnsi="Arial" w:cs="Times New Roman"/>
      <w:b/>
      <w:bCs/>
      <w:sz w:val="22"/>
      <w:szCs w:val="26"/>
      <w:u w:val="single"/>
      <w:lang w:val="en-US"/>
    </w:rPr>
  </w:style>
  <w:style w:type="table" w:styleId="TableGrid">
    <w:name w:val="Table Grid"/>
    <w:basedOn w:val="TableNormal"/>
    <w:uiPriority w:val="59"/>
    <w:rsid w:val="009D48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D483C"/>
    <w:pPr>
      <w:tabs>
        <w:tab w:val="center" w:pos="4320"/>
        <w:tab w:val="right" w:pos="8640"/>
      </w:tabs>
      <w:spacing w:after="0"/>
    </w:pPr>
    <w:rPr>
      <w:rFonts w:cs="Times New Roman"/>
      <w:sz w:val="20"/>
      <w:szCs w:val="20"/>
    </w:rPr>
  </w:style>
  <w:style w:type="character" w:customStyle="1" w:styleId="HeaderChar">
    <w:name w:val="Header Char"/>
    <w:link w:val="Header"/>
    <w:uiPriority w:val="99"/>
    <w:rsid w:val="009D483C"/>
    <w:rPr>
      <w:lang w:val="en-US"/>
    </w:rPr>
  </w:style>
  <w:style w:type="paragraph" w:styleId="Footer">
    <w:name w:val="footer"/>
    <w:basedOn w:val="Normal"/>
    <w:link w:val="FooterChar"/>
    <w:uiPriority w:val="99"/>
    <w:unhideWhenUsed/>
    <w:rsid w:val="009D483C"/>
    <w:pPr>
      <w:tabs>
        <w:tab w:val="center" w:pos="4320"/>
        <w:tab w:val="right" w:pos="8640"/>
      </w:tabs>
      <w:spacing w:after="0"/>
    </w:pPr>
    <w:rPr>
      <w:rFonts w:cs="Times New Roman"/>
      <w:sz w:val="20"/>
      <w:szCs w:val="20"/>
    </w:rPr>
  </w:style>
  <w:style w:type="character" w:customStyle="1" w:styleId="FooterChar">
    <w:name w:val="Footer Char"/>
    <w:link w:val="Footer"/>
    <w:uiPriority w:val="99"/>
    <w:rsid w:val="009D483C"/>
    <w:rPr>
      <w:lang w:val="en-US"/>
    </w:rPr>
  </w:style>
  <w:style w:type="character" w:styleId="PageNumber">
    <w:name w:val="page number"/>
    <w:uiPriority w:val="99"/>
    <w:semiHidden/>
    <w:unhideWhenUsed/>
    <w:rsid w:val="009D483C"/>
  </w:style>
  <w:style w:type="paragraph" w:styleId="ListParagraph">
    <w:name w:val="List Paragraph"/>
    <w:basedOn w:val="Normal"/>
    <w:uiPriority w:val="34"/>
    <w:qFormat/>
    <w:rsid w:val="009956F9"/>
    <w:pPr>
      <w:ind w:left="720"/>
      <w:contextualSpacing/>
    </w:pPr>
  </w:style>
  <w:style w:type="paragraph" w:styleId="BodyTextIndent3">
    <w:name w:val="Body Text Indent 3"/>
    <w:basedOn w:val="Normal"/>
    <w:link w:val="BodyTextIndent3Char"/>
    <w:rsid w:val="00F71F11"/>
    <w:pPr>
      <w:ind w:left="283"/>
    </w:pPr>
    <w:rPr>
      <w:szCs w:val="16"/>
    </w:rPr>
  </w:style>
  <w:style w:type="character" w:customStyle="1" w:styleId="BodyTextIndent3Char">
    <w:name w:val="Body Text Indent 3 Char"/>
    <w:basedOn w:val="DefaultParagraphFont"/>
    <w:link w:val="BodyTextIndent3"/>
    <w:rsid w:val="00F71F11"/>
    <w:rPr>
      <w:rFonts w:ascii="Arial" w:hAnsi="Arial"/>
      <w:sz w:val="22"/>
      <w:szCs w:val="16"/>
      <w:lang w:val="en-US"/>
    </w:rPr>
  </w:style>
  <w:style w:type="character" w:customStyle="1" w:styleId="Heading4Char">
    <w:name w:val="Heading 4 Char"/>
    <w:basedOn w:val="DefaultParagraphFont"/>
    <w:link w:val="Heading4"/>
    <w:rsid w:val="001203AE"/>
    <w:rPr>
      <w:rFonts w:asciiTheme="majorHAnsi" w:eastAsiaTheme="majorEastAsia" w:hAnsiTheme="majorHAnsi" w:cstheme="majorBidi"/>
      <w:i/>
      <w:iCs/>
      <w:color w:val="365F91" w:themeColor="accent1" w:themeShade="BF"/>
      <w:sz w:val="22"/>
      <w:szCs w:val="24"/>
      <w:lang w:val="en-US"/>
    </w:rPr>
  </w:style>
  <w:style w:type="character" w:styleId="Hyperlink">
    <w:name w:val="Hyperlink"/>
    <w:basedOn w:val="DefaultParagraphFont"/>
    <w:uiPriority w:val="99"/>
    <w:rsid w:val="001203AE"/>
    <w:rPr>
      <w:color w:val="0000FF" w:themeColor="hyperlink"/>
      <w:u w:val="single"/>
    </w:rPr>
  </w:style>
  <w:style w:type="character" w:styleId="UnresolvedMention">
    <w:name w:val="Unresolved Mention"/>
    <w:basedOn w:val="DefaultParagraphFont"/>
    <w:rsid w:val="001203AE"/>
    <w:rPr>
      <w:color w:val="605E5C"/>
      <w:shd w:val="clear" w:color="auto" w:fill="E1DFDD"/>
    </w:rPr>
  </w:style>
  <w:style w:type="table" w:customStyle="1" w:styleId="TableGrid0">
    <w:name w:val="TableGrid"/>
    <w:rsid w:val="00490769"/>
    <w:rPr>
      <w:rFonts w:asciiTheme="minorHAnsi" w:eastAsiaTheme="minorEastAsia" w:hAnsiTheme="minorHAnsi" w:cstheme="minorBidi"/>
      <w:sz w:val="22"/>
      <w:szCs w:val="22"/>
      <w:lang w:eastAsia="en-GB"/>
    </w:rPr>
    <w:tblPr>
      <w:tblCellMar>
        <w:top w:w="0" w:type="dxa"/>
        <w:left w:w="0" w:type="dxa"/>
        <w:bottom w:w="0" w:type="dxa"/>
        <w:right w:w="0" w:type="dxa"/>
      </w:tblCellMar>
    </w:tblPr>
  </w:style>
  <w:style w:type="paragraph" w:customStyle="1" w:styleId="EndNoteBibliography">
    <w:name w:val="EndNote Bibliography"/>
    <w:basedOn w:val="Normal"/>
    <w:link w:val="EndNoteBibliographyChar"/>
    <w:rsid w:val="00490769"/>
    <w:pPr>
      <w:spacing w:after="200"/>
      <w:outlineLvl w:val="9"/>
    </w:pPr>
    <w:rPr>
      <w:rFonts w:ascii="Calibri" w:eastAsiaTheme="minorHAnsi" w:hAnsi="Calibri" w:cs="Calibri"/>
      <w:noProof/>
      <w:szCs w:val="22"/>
    </w:rPr>
  </w:style>
  <w:style w:type="character" w:customStyle="1" w:styleId="EndNoteBibliographyChar">
    <w:name w:val="EndNote Bibliography Char"/>
    <w:basedOn w:val="DefaultParagraphFont"/>
    <w:link w:val="EndNoteBibliography"/>
    <w:rsid w:val="00490769"/>
    <w:rPr>
      <w:rFonts w:ascii="Calibri" w:eastAsiaTheme="minorHAnsi" w:hAnsi="Calibri" w:cs="Calibri"/>
      <w:noProof/>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ice.org.uk/guidance/ng100/chapter/Recommendations%20Accessed%2028%20June%202020"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emedicine.medscape.com/article/331715-overview"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uptodate.com/contents/initial-treatment-of-rheumatoid-arthritis-in-adults?csi=6bb16911-2bca-40f9-987c-cc27a347a127&amp;source=contentShare" TargetMode="Externa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forrest\Documents\Custom%20Office%20Templates\Clinical%20guideline%20template%202019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Clinical guideline template 2019a</Template>
  <TotalTime>9</TotalTime>
  <Pages>5</Pages>
  <Words>1582</Words>
  <Characters>9018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MRC</Company>
  <LinksUpToDate>false</LinksUpToDate>
  <CharactersWithSpaces>10579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Forrest Karen</dc:creator>
  <cp:keywords/>
  <dc:description/>
  <cp:lastModifiedBy>Karen Forrest</cp:lastModifiedBy>
  <cp:revision>1</cp:revision>
  <dcterms:created xsi:type="dcterms:W3CDTF">2020-10-27T16:11:00Z</dcterms:created>
  <dcterms:modified xsi:type="dcterms:W3CDTF">2020-10-27T16:21:00Z</dcterms:modified>
</cp:coreProperties>
</file>