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1D7E60" w14:textId="77777777" w:rsidR="00C41097" w:rsidRPr="00DC590C" w:rsidRDefault="00C41097" w:rsidP="00C41097">
      <w:pPr>
        <w:pStyle w:val="Heading1"/>
        <w:rPr>
          <w:rFonts w:cs="Arial"/>
          <w:szCs w:val="22"/>
        </w:rPr>
      </w:pPr>
      <w:r>
        <w:rPr>
          <w:rFonts w:cs="Arial"/>
          <w:szCs w:val="22"/>
        </w:rPr>
        <w:t>Liver disease</w:t>
      </w:r>
    </w:p>
    <w:p w14:paraId="2DE7E222" w14:textId="77777777" w:rsidR="00296C2C" w:rsidRPr="00296C2C" w:rsidRDefault="00296C2C" w:rsidP="00C41097">
      <w:pPr>
        <w:pStyle w:val="Heading2"/>
        <w:rPr>
          <w:rFonts w:cs="Arial"/>
          <w:i/>
          <w:szCs w:val="22"/>
        </w:rPr>
      </w:pPr>
      <w:r w:rsidRPr="00296C2C">
        <w:rPr>
          <w:rFonts w:cs="Arial"/>
          <w:i/>
          <w:szCs w:val="22"/>
        </w:rPr>
        <w:t>Executive summary</w:t>
      </w:r>
    </w:p>
    <w:p w14:paraId="0385E99E" w14:textId="2943ED00" w:rsidR="00C41097" w:rsidRPr="00DC590C" w:rsidRDefault="00C41097" w:rsidP="00C41097">
      <w:pPr>
        <w:pStyle w:val="Heading2"/>
        <w:rPr>
          <w:rFonts w:cs="Arial"/>
          <w:szCs w:val="22"/>
        </w:rPr>
      </w:pPr>
      <w:r w:rsidRPr="00DC590C">
        <w:rPr>
          <w:rFonts w:cs="Arial"/>
          <w:szCs w:val="22"/>
        </w:rPr>
        <w:t>Introduction</w:t>
      </w:r>
    </w:p>
    <w:p w14:paraId="4360037A" w14:textId="77777777" w:rsidR="00C41097" w:rsidRPr="002C6C40" w:rsidRDefault="00C41097" w:rsidP="00C41097">
      <w:r w:rsidRPr="002C6C40">
        <w:t>The liver is responsible for many critical functions within the body and should it become diseased or injured, the loss of those functions can cause significant damage to the body. Liver disease is a broad term that covers all the potential problems that cause the liver to fail to perform its designated functions. Usually, more than 75% or three quarters of liver tissue needs to be affected before a decrease in function occurs.</w:t>
      </w:r>
    </w:p>
    <w:p w14:paraId="5572382F" w14:textId="52F03BF1" w:rsidR="00C41097" w:rsidRDefault="00C41097" w:rsidP="00C41097">
      <w:pPr>
        <w:rPr>
          <w:szCs w:val="22"/>
        </w:rPr>
      </w:pPr>
      <w:r>
        <w:rPr>
          <w:szCs w:val="22"/>
        </w:rPr>
        <w:t xml:space="preserve">Management of these patients is divided into the assessment and treatment of patients with a new diagnosis of liver disease and that of those with established chronic liver disease (CLD) who have decompensated. </w:t>
      </w:r>
    </w:p>
    <w:p w14:paraId="3FC30B4E" w14:textId="77777777" w:rsidR="00C32497" w:rsidRPr="00471542" w:rsidRDefault="00C32497" w:rsidP="00C32497">
      <w:pPr>
        <w:pStyle w:val="Heading2"/>
      </w:pPr>
      <w:r w:rsidRPr="00471542">
        <w:t>Target User</w:t>
      </w:r>
    </w:p>
    <w:p w14:paraId="38957B77" w14:textId="77777777" w:rsidR="00C32497" w:rsidRPr="00471542" w:rsidRDefault="00C32497" w:rsidP="00C32497">
      <w:pPr>
        <w:pStyle w:val="ListParagraph"/>
        <w:numPr>
          <w:ilvl w:val="0"/>
          <w:numId w:val="36"/>
        </w:numPr>
      </w:pPr>
      <w:r w:rsidRPr="00471542">
        <w:t>Doctors</w:t>
      </w:r>
    </w:p>
    <w:p w14:paraId="59AE4CAF" w14:textId="77777777" w:rsidR="00C32497" w:rsidRPr="00471542" w:rsidRDefault="00C32497" w:rsidP="00C32497">
      <w:pPr>
        <w:pStyle w:val="ListParagraph"/>
        <w:numPr>
          <w:ilvl w:val="0"/>
          <w:numId w:val="36"/>
        </w:numPr>
      </w:pPr>
      <w:r>
        <w:t>Nurses</w:t>
      </w:r>
    </w:p>
    <w:p w14:paraId="14CDBC60" w14:textId="77777777" w:rsidR="00C32497" w:rsidRPr="00471542" w:rsidRDefault="00C32497" w:rsidP="00C32497">
      <w:pPr>
        <w:pStyle w:val="Heading2"/>
      </w:pPr>
      <w:r w:rsidRPr="00471542">
        <w:t xml:space="preserve">Target area of use </w:t>
      </w:r>
    </w:p>
    <w:p w14:paraId="33C072E9" w14:textId="77777777" w:rsidR="00C32497" w:rsidRPr="00471542" w:rsidRDefault="00C32497" w:rsidP="00C32497">
      <w:pPr>
        <w:pStyle w:val="ListParagraph"/>
        <w:numPr>
          <w:ilvl w:val="0"/>
          <w:numId w:val="37"/>
        </w:numPr>
      </w:pPr>
      <w:r w:rsidRPr="00471542">
        <w:t>Ward</w:t>
      </w:r>
    </w:p>
    <w:p w14:paraId="566DA160" w14:textId="77777777" w:rsidR="00C32497" w:rsidRDefault="00C32497" w:rsidP="00C32497">
      <w:pPr>
        <w:pStyle w:val="Heading2"/>
      </w:pPr>
      <w:r w:rsidRPr="00471542">
        <w:t>Key areas of focus/new additions/changes</w:t>
      </w:r>
    </w:p>
    <w:p w14:paraId="46D4B452" w14:textId="52964C95" w:rsidR="00C32497" w:rsidRDefault="00C32497" w:rsidP="00C32497">
      <w:r w:rsidRPr="00C32497">
        <w:t xml:space="preserve">This guideline outlines the </w:t>
      </w:r>
      <w:r w:rsidR="003B5F8D">
        <w:t>initial diagnosis of liver disease in our setting as well as the management of patients with established disease who decompensate.</w:t>
      </w:r>
    </w:p>
    <w:p w14:paraId="6B04DEDF" w14:textId="1D4F1831" w:rsidR="00760D27" w:rsidRPr="00C32497" w:rsidRDefault="00760D27" w:rsidP="00760D27">
      <w:pPr>
        <w:pStyle w:val="Heading2"/>
      </w:pPr>
      <w:r>
        <w:t>Limitations</w:t>
      </w:r>
    </w:p>
    <w:p w14:paraId="65386C9B" w14:textId="3F0C972E" w:rsidR="00C04E9B" w:rsidRDefault="00760D27" w:rsidP="00C32497">
      <w:r>
        <w:t xml:space="preserve">We have limited access to </w:t>
      </w:r>
      <w:r w:rsidR="003421FF">
        <w:t xml:space="preserve">most of </w:t>
      </w:r>
      <w:r>
        <w:t xml:space="preserve">the diagnostic tests for </w:t>
      </w:r>
      <w:r w:rsidR="003421FF">
        <w:t xml:space="preserve">causes of </w:t>
      </w:r>
      <w:bookmarkStart w:id="0" w:name="_GoBack"/>
      <w:bookmarkEnd w:id="0"/>
      <w:r>
        <w:t xml:space="preserve">liver disease. </w:t>
      </w:r>
    </w:p>
    <w:p w14:paraId="13B4E294" w14:textId="7739EE01" w:rsidR="00E84DD6" w:rsidRPr="00C32497" w:rsidRDefault="00E84DD6" w:rsidP="00C32497">
      <w:r>
        <w:t xml:space="preserve">Access to higher level care is largely not available – except for dialysis, which might be </w:t>
      </w:r>
      <w:r w:rsidR="003421FF">
        <w:t>possible at the teaching hospital.</w:t>
      </w:r>
    </w:p>
    <w:p w14:paraId="4C63EC2A" w14:textId="77777777" w:rsidR="00CE459F" w:rsidRDefault="00CE459F">
      <w:pPr>
        <w:spacing w:after="0"/>
        <w:outlineLvl w:val="9"/>
        <w:rPr>
          <w:b/>
          <w:sz w:val="24"/>
          <w:szCs w:val="22"/>
        </w:rPr>
      </w:pPr>
      <w:r>
        <w:rPr>
          <w:szCs w:val="22"/>
        </w:rPr>
        <w:br w:type="page"/>
      </w:r>
    </w:p>
    <w:p w14:paraId="19E24D40" w14:textId="20ADF385" w:rsidR="00C41097" w:rsidRPr="00DC590C" w:rsidRDefault="00C41097" w:rsidP="00C41097">
      <w:pPr>
        <w:pStyle w:val="Heading2"/>
        <w:rPr>
          <w:rFonts w:cs="Arial"/>
          <w:szCs w:val="22"/>
        </w:rPr>
      </w:pPr>
      <w:r w:rsidRPr="00DC590C">
        <w:rPr>
          <w:rFonts w:cs="Arial"/>
          <w:szCs w:val="22"/>
        </w:rPr>
        <w:lastRenderedPageBreak/>
        <w:t>Presenting symptoms and sign</w:t>
      </w:r>
      <w:r>
        <w:rPr>
          <w:rFonts w:cs="Arial"/>
          <w:szCs w:val="22"/>
        </w:rPr>
        <w:t>s</w:t>
      </w:r>
    </w:p>
    <w:p w14:paraId="19BA527D" w14:textId="77777777" w:rsidR="00C41097" w:rsidRDefault="00C41097" w:rsidP="00C41097">
      <w:r w:rsidRPr="0058021B">
        <w:rPr>
          <w:lang w:bidi="th-TH"/>
        </w:rPr>
        <w:t xml:space="preserve">If the patient is in extremis, they should be resuscitated prior to any other intervention – the most likely causes are an acute GI bleed or bacterial </w:t>
      </w:r>
      <w:proofErr w:type="spellStart"/>
      <w:r w:rsidRPr="0058021B">
        <w:rPr>
          <w:lang w:bidi="th-TH"/>
        </w:rPr>
        <w:t>septicaemia</w:t>
      </w:r>
      <w:proofErr w:type="spellEnd"/>
      <w:r w:rsidRPr="0058021B">
        <w:rPr>
          <w:lang w:bidi="th-TH"/>
        </w:rPr>
        <w:t>.</w:t>
      </w:r>
    </w:p>
    <w:p w14:paraId="1BFB4EC4" w14:textId="77777777" w:rsidR="00C41097" w:rsidRDefault="00C41097" w:rsidP="00C41097">
      <w:r>
        <w:t xml:space="preserve">Patients with liver disease can present with many different symptoms including: </w:t>
      </w:r>
    </w:p>
    <w:p w14:paraId="13098860" w14:textId="77777777" w:rsidR="00C41097" w:rsidRPr="002C6C40" w:rsidRDefault="00C41097" w:rsidP="00C41097">
      <w:pPr>
        <w:pStyle w:val="ListParagraph"/>
        <w:numPr>
          <w:ilvl w:val="0"/>
          <w:numId w:val="25"/>
        </w:numPr>
        <w:spacing w:after="0"/>
      </w:pPr>
      <w:r w:rsidRPr="002C6C40">
        <w:t>Weakness and fatigue</w:t>
      </w:r>
    </w:p>
    <w:p w14:paraId="6FC1962D" w14:textId="77777777" w:rsidR="00C41097" w:rsidRPr="002C6C40" w:rsidRDefault="00C41097" w:rsidP="00C41097">
      <w:pPr>
        <w:pStyle w:val="ListParagraph"/>
        <w:numPr>
          <w:ilvl w:val="0"/>
          <w:numId w:val="25"/>
        </w:numPr>
        <w:spacing w:after="0"/>
      </w:pPr>
      <w:r w:rsidRPr="002C6C40">
        <w:t>Jaundice</w:t>
      </w:r>
    </w:p>
    <w:p w14:paraId="70AB2B3D" w14:textId="77777777" w:rsidR="00C41097" w:rsidRPr="002C6C40" w:rsidRDefault="00C41097" w:rsidP="00C41097">
      <w:pPr>
        <w:pStyle w:val="ListParagraph"/>
        <w:numPr>
          <w:ilvl w:val="0"/>
          <w:numId w:val="25"/>
        </w:numPr>
        <w:spacing w:after="0"/>
      </w:pPr>
      <w:r w:rsidRPr="002C6C40">
        <w:t>Nausea</w:t>
      </w:r>
    </w:p>
    <w:p w14:paraId="71A6BCC4" w14:textId="77777777" w:rsidR="00C41097" w:rsidRPr="002C6C40" w:rsidRDefault="00C41097" w:rsidP="00C41097">
      <w:pPr>
        <w:pStyle w:val="ListParagraph"/>
        <w:numPr>
          <w:ilvl w:val="0"/>
          <w:numId w:val="25"/>
        </w:numPr>
        <w:spacing w:after="0"/>
      </w:pPr>
      <w:r w:rsidRPr="002C6C40">
        <w:t>Vomiting</w:t>
      </w:r>
    </w:p>
    <w:p w14:paraId="24A4A3EA" w14:textId="77777777" w:rsidR="00C41097" w:rsidRPr="002C6C40" w:rsidRDefault="00C41097" w:rsidP="00C41097">
      <w:pPr>
        <w:pStyle w:val="ListParagraph"/>
        <w:numPr>
          <w:ilvl w:val="0"/>
          <w:numId w:val="25"/>
        </w:numPr>
        <w:spacing w:after="0"/>
      </w:pPr>
      <w:r w:rsidRPr="002C6C40">
        <w:t>Weight loss</w:t>
      </w:r>
    </w:p>
    <w:p w14:paraId="5B311376" w14:textId="77777777" w:rsidR="00C41097" w:rsidRPr="002C6C40" w:rsidRDefault="00C41097" w:rsidP="00C41097">
      <w:pPr>
        <w:pStyle w:val="ListParagraph"/>
        <w:numPr>
          <w:ilvl w:val="0"/>
          <w:numId w:val="25"/>
        </w:numPr>
        <w:spacing w:after="0"/>
      </w:pPr>
      <w:r w:rsidRPr="002C6C40">
        <w:t>Right upper quadrant pain</w:t>
      </w:r>
    </w:p>
    <w:p w14:paraId="04C46C57" w14:textId="77777777" w:rsidR="00C41097" w:rsidRPr="002C6C40" w:rsidRDefault="00C41097" w:rsidP="00C41097">
      <w:pPr>
        <w:pStyle w:val="ListParagraph"/>
        <w:numPr>
          <w:ilvl w:val="0"/>
          <w:numId w:val="25"/>
        </w:numPr>
        <w:spacing w:after="0"/>
      </w:pPr>
      <w:r w:rsidRPr="002C6C40">
        <w:t>Confusion</w:t>
      </w:r>
    </w:p>
    <w:p w14:paraId="7E7CEA3E" w14:textId="77777777" w:rsidR="00C41097" w:rsidRPr="002C6C40" w:rsidRDefault="00C41097" w:rsidP="00C41097">
      <w:pPr>
        <w:pStyle w:val="ListParagraph"/>
        <w:numPr>
          <w:ilvl w:val="0"/>
          <w:numId w:val="25"/>
        </w:numPr>
        <w:spacing w:after="0"/>
      </w:pPr>
      <w:r w:rsidRPr="002C6C40">
        <w:t>Reduced GCS</w:t>
      </w:r>
    </w:p>
    <w:p w14:paraId="193345E9" w14:textId="77777777" w:rsidR="00C41097" w:rsidRPr="002C6C40" w:rsidRDefault="00C41097" w:rsidP="00C41097">
      <w:pPr>
        <w:pStyle w:val="ListParagraph"/>
        <w:numPr>
          <w:ilvl w:val="0"/>
          <w:numId w:val="25"/>
        </w:numPr>
        <w:spacing w:after="0"/>
      </w:pPr>
      <w:r w:rsidRPr="002C6C40">
        <w:t>Clubbing</w:t>
      </w:r>
    </w:p>
    <w:p w14:paraId="5F0DB902" w14:textId="77777777" w:rsidR="00C41097" w:rsidRDefault="00C41097" w:rsidP="00C41097">
      <w:pPr>
        <w:pStyle w:val="ListParagraph"/>
        <w:numPr>
          <w:ilvl w:val="0"/>
          <w:numId w:val="25"/>
        </w:numPr>
      </w:pPr>
      <w:r w:rsidRPr="002C6C40">
        <w:t>Hematemesis</w:t>
      </w:r>
      <w:r>
        <w:t>.</w:t>
      </w:r>
    </w:p>
    <w:p w14:paraId="2C7F78DD" w14:textId="77777777" w:rsidR="00C41097" w:rsidRDefault="00C41097" w:rsidP="00C41097">
      <w:r>
        <w:t xml:space="preserve">They may present with signs of </w:t>
      </w:r>
      <w:proofErr w:type="spellStart"/>
      <w:r>
        <w:t>anaemia</w:t>
      </w:r>
      <w:proofErr w:type="spellEnd"/>
      <w:r>
        <w:t>, sepsis, acute liver disease or chronic liver disease.</w:t>
      </w:r>
    </w:p>
    <w:p w14:paraId="314C88C8" w14:textId="77777777" w:rsidR="00C41097" w:rsidRPr="0058021B" w:rsidRDefault="00C41097" w:rsidP="00C41097">
      <w:pPr>
        <w:rPr>
          <w:rFonts w:cs="Angsana New"/>
          <w:szCs w:val="20"/>
          <w:lang w:bidi="th-TH"/>
        </w:rPr>
      </w:pPr>
      <w:r w:rsidRPr="0058021B">
        <w:rPr>
          <w:rFonts w:cs="Angsana New"/>
          <w:szCs w:val="20"/>
          <w:lang w:bidi="th-TH"/>
        </w:rPr>
        <w:t>The patient’s background history must be taken in order to establish the cause of the underlying liver disease. This may affect the treatment given.</w:t>
      </w:r>
    </w:p>
    <w:p w14:paraId="602839F8" w14:textId="77777777" w:rsidR="00C41097" w:rsidRPr="00961D8F" w:rsidRDefault="00C41097" w:rsidP="00C41097">
      <w:pPr>
        <w:rPr>
          <w:b/>
        </w:rPr>
      </w:pPr>
      <w:r w:rsidRPr="0058021B">
        <w:rPr>
          <w:rFonts w:cs="Angsana New"/>
          <w:szCs w:val="20"/>
          <w:lang w:bidi="th-TH"/>
        </w:rPr>
        <w:t xml:space="preserve">The history of the current event must also be taken with </w:t>
      </w:r>
      <w:proofErr w:type="gramStart"/>
      <w:r w:rsidRPr="0058021B">
        <w:rPr>
          <w:rFonts w:cs="Angsana New"/>
          <w:szCs w:val="20"/>
          <w:lang w:bidi="th-TH"/>
        </w:rPr>
        <w:t>particular note</w:t>
      </w:r>
      <w:proofErr w:type="gramEnd"/>
      <w:r w:rsidRPr="0058021B">
        <w:rPr>
          <w:rFonts w:cs="Angsana New"/>
          <w:szCs w:val="20"/>
          <w:lang w:bidi="th-TH"/>
        </w:rPr>
        <w:t xml:space="preserve"> of any gastrointestinal bleeding, change in girth size, pain, confusion, difficulty breathing, increase in jaundice, recent medications and traditional treatments taken.</w:t>
      </w:r>
    </w:p>
    <w:p w14:paraId="0244CCB8" w14:textId="77777777" w:rsidR="00C41097" w:rsidRPr="00DC590C" w:rsidRDefault="00C41097" w:rsidP="00C41097">
      <w:pPr>
        <w:pStyle w:val="Heading2"/>
        <w:rPr>
          <w:rFonts w:cs="Arial"/>
          <w:szCs w:val="22"/>
        </w:rPr>
      </w:pPr>
      <w:r w:rsidRPr="00DC590C">
        <w:rPr>
          <w:rFonts w:cs="Arial"/>
          <w:szCs w:val="22"/>
        </w:rPr>
        <w:t>Examination findings</w:t>
      </w:r>
    </w:p>
    <w:p w14:paraId="246E585B" w14:textId="77777777" w:rsidR="00C41097" w:rsidRPr="002C6C40" w:rsidRDefault="00C41097" w:rsidP="00C41097">
      <w:pPr>
        <w:pStyle w:val="ListParagraph"/>
        <w:numPr>
          <w:ilvl w:val="0"/>
          <w:numId w:val="26"/>
        </w:numPr>
        <w:rPr>
          <w:lang w:val="en" w:eastAsia="en-GB"/>
        </w:rPr>
      </w:pPr>
      <w:r w:rsidRPr="002C6C40">
        <w:rPr>
          <w:lang w:val="en" w:eastAsia="en-GB"/>
        </w:rPr>
        <w:t xml:space="preserve">General findings: </w:t>
      </w:r>
      <w:proofErr w:type="spellStart"/>
      <w:r w:rsidRPr="002C6C40">
        <w:rPr>
          <w:lang w:val="en" w:eastAsia="en-GB"/>
        </w:rPr>
        <w:t>anaemia</w:t>
      </w:r>
      <w:proofErr w:type="spellEnd"/>
      <w:r w:rsidRPr="002C6C40">
        <w:rPr>
          <w:lang w:val="en" w:eastAsia="en-GB"/>
        </w:rPr>
        <w:t xml:space="preserve">, fever, tachycardia, altered level of consciousness or confusion, peripheral </w:t>
      </w:r>
      <w:proofErr w:type="spellStart"/>
      <w:r w:rsidRPr="002C6C40">
        <w:rPr>
          <w:lang w:val="en" w:eastAsia="en-GB"/>
        </w:rPr>
        <w:t>oedema</w:t>
      </w:r>
      <w:proofErr w:type="spellEnd"/>
      <w:r w:rsidRPr="002C6C40">
        <w:rPr>
          <w:lang w:val="en" w:eastAsia="en-GB"/>
        </w:rPr>
        <w:t>.</w:t>
      </w:r>
    </w:p>
    <w:p w14:paraId="384066AA" w14:textId="77777777" w:rsidR="00C41097" w:rsidRPr="002C6C40" w:rsidRDefault="00C41097" w:rsidP="00C41097">
      <w:pPr>
        <w:pStyle w:val="ListParagraph"/>
        <w:numPr>
          <w:ilvl w:val="0"/>
          <w:numId w:val="26"/>
        </w:numPr>
        <w:rPr>
          <w:lang w:val="en" w:eastAsia="en-GB"/>
        </w:rPr>
      </w:pPr>
      <w:r w:rsidRPr="002C6C40">
        <w:rPr>
          <w:lang w:val="en" w:eastAsia="en-GB"/>
        </w:rPr>
        <w:t xml:space="preserve">Signs of chronic liver disease: liver flap, clubbing, palmar erythema, bruising, spider </w:t>
      </w:r>
      <w:proofErr w:type="spellStart"/>
      <w:r w:rsidRPr="002C6C40">
        <w:rPr>
          <w:lang w:val="en" w:eastAsia="en-GB"/>
        </w:rPr>
        <w:t>naevi</w:t>
      </w:r>
      <w:proofErr w:type="spellEnd"/>
      <w:r w:rsidRPr="002C6C40">
        <w:rPr>
          <w:lang w:val="en" w:eastAsia="en-GB"/>
        </w:rPr>
        <w:t xml:space="preserve">, </w:t>
      </w:r>
      <w:proofErr w:type="spellStart"/>
      <w:r w:rsidRPr="002C6C40">
        <w:rPr>
          <w:lang w:val="en" w:eastAsia="en-GB"/>
        </w:rPr>
        <w:t>gynaecomastia</w:t>
      </w:r>
      <w:proofErr w:type="spellEnd"/>
      <w:r w:rsidRPr="002C6C40">
        <w:rPr>
          <w:lang w:val="en" w:eastAsia="en-GB"/>
        </w:rPr>
        <w:t>, testicular atrophy, ascites</w:t>
      </w:r>
      <w:r>
        <w:rPr>
          <w:lang w:val="en" w:eastAsia="en-GB"/>
        </w:rPr>
        <w:t>, venous collaterals.</w:t>
      </w:r>
    </w:p>
    <w:p w14:paraId="19AF5CCE" w14:textId="77777777" w:rsidR="00C41097" w:rsidRPr="002C6C40" w:rsidRDefault="00C41097" w:rsidP="00C41097">
      <w:pPr>
        <w:pStyle w:val="ListParagraph"/>
        <w:numPr>
          <w:ilvl w:val="0"/>
          <w:numId w:val="26"/>
        </w:numPr>
        <w:rPr>
          <w:lang w:val="en" w:eastAsia="en-GB"/>
        </w:rPr>
      </w:pPr>
      <w:r w:rsidRPr="002C6C40">
        <w:rPr>
          <w:lang w:val="en" w:eastAsia="en-GB"/>
        </w:rPr>
        <w:t>Liver: small in cirrhosis, large in acute hepatitis or neoplasm</w:t>
      </w:r>
      <w:r>
        <w:rPr>
          <w:lang w:val="en" w:eastAsia="en-GB"/>
        </w:rPr>
        <w:t>.</w:t>
      </w:r>
    </w:p>
    <w:p w14:paraId="77880487" w14:textId="77777777" w:rsidR="00C41097" w:rsidRDefault="00C41097" w:rsidP="00C41097">
      <w:pPr>
        <w:pStyle w:val="ListParagraph"/>
        <w:numPr>
          <w:ilvl w:val="0"/>
          <w:numId w:val="26"/>
        </w:numPr>
        <w:rPr>
          <w:lang w:val="en" w:eastAsia="en-GB"/>
        </w:rPr>
      </w:pPr>
      <w:r w:rsidRPr="002C6C40">
        <w:rPr>
          <w:lang w:val="en" w:eastAsia="en-GB"/>
        </w:rPr>
        <w:t>Splenomegaly: suggests portal hypertension</w:t>
      </w:r>
      <w:r>
        <w:rPr>
          <w:lang w:val="en" w:eastAsia="en-GB"/>
        </w:rPr>
        <w:t>.</w:t>
      </w:r>
    </w:p>
    <w:p w14:paraId="3822AA00" w14:textId="77777777" w:rsidR="00C41097" w:rsidRPr="002C6C40" w:rsidRDefault="00C41097" w:rsidP="00C41097">
      <w:pPr>
        <w:pStyle w:val="ListParagraph"/>
        <w:numPr>
          <w:ilvl w:val="0"/>
          <w:numId w:val="26"/>
        </w:numPr>
        <w:rPr>
          <w:lang w:val="en" w:eastAsia="en-GB"/>
        </w:rPr>
      </w:pPr>
      <w:r>
        <w:rPr>
          <w:lang w:val="en" w:eastAsia="en-GB"/>
        </w:rPr>
        <w:t>PR: this is essential if there is any suggestion of a GI bleed.</w:t>
      </w:r>
    </w:p>
    <w:p w14:paraId="24E09EB0" w14:textId="77777777" w:rsidR="00C41097" w:rsidRPr="002C6C40" w:rsidRDefault="00C41097" w:rsidP="00C41097">
      <w:pPr>
        <w:pStyle w:val="ListParagraph"/>
        <w:numPr>
          <w:ilvl w:val="0"/>
          <w:numId w:val="26"/>
        </w:numPr>
        <w:rPr>
          <w:lang w:val="en" w:eastAsia="en-GB"/>
        </w:rPr>
      </w:pPr>
      <w:r w:rsidRPr="002C6C40">
        <w:rPr>
          <w:lang w:val="en" w:eastAsia="en-GB"/>
        </w:rPr>
        <w:t xml:space="preserve">Signs of excess alcohol – </w:t>
      </w:r>
      <w:proofErr w:type="spellStart"/>
      <w:r w:rsidRPr="002C6C40">
        <w:rPr>
          <w:lang w:val="en" w:eastAsia="en-GB"/>
        </w:rPr>
        <w:t>Dupuytren’s</w:t>
      </w:r>
      <w:proofErr w:type="spellEnd"/>
      <w:r w:rsidRPr="002C6C40">
        <w:rPr>
          <w:lang w:val="en" w:eastAsia="en-GB"/>
        </w:rPr>
        <w:t xml:space="preserve"> contracture – parotid enlargement</w:t>
      </w:r>
      <w:r>
        <w:rPr>
          <w:lang w:val="en" w:eastAsia="en-GB"/>
        </w:rPr>
        <w:t>.</w:t>
      </w:r>
    </w:p>
    <w:p w14:paraId="583493DD" w14:textId="77777777" w:rsidR="00C41097" w:rsidRPr="002C6C40" w:rsidRDefault="00C41097" w:rsidP="00C41097">
      <w:pPr>
        <w:pStyle w:val="ListParagraph"/>
        <w:numPr>
          <w:ilvl w:val="0"/>
          <w:numId w:val="26"/>
        </w:numPr>
        <w:rPr>
          <w:lang w:val="en" w:eastAsia="en-GB"/>
        </w:rPr>
      </w:pPr>
      <w:r w:rsidRPr="002C6C40">
        <w:rPr>
          <w:lang w:val="en" w:eastAsia="en-GB"/>
        </w:rPr>
        <w:t xml:space="preserve">Stigmata of HIV: Oral thrush, Herpes </w:t>
      </w:r>
      <w:r>
        <w:rPr>
          <w:lang w:val="en" w:eastAsia="en-GB"/>
        </w:rPr>
        <w:t>Z</w:t>
      </w:r>
      <w:r w:rsidRPr="002C6C40">
        <w:rPr>
          <w:lang w:val="en" w:eastAsia="en-GB"/>
        </w:rPr>
        <w:t>oster scar</w:t>
      </w:r>
      <w:r>
        <w:rPr>
          <w:lang w:val="en" w:eastAsia="en-GB"/>
        </w:rPr>
        <w:t>.</w:t>
      </w:r>
    </w:p>
    <w:p w14:paraId="74195B86" w14:textId="77777777" w:rsidR="00C41097" w:rsidRPr="00DC590C" w:rsidRDefault="00C41097" w:rsidP="00C41097">
      <w:pPr>
        <w:pStyle w:val="Heading2"/>
        <w:rPr>
          <w:rFonts w:cs="Arial"/>
          <w:szCs w:val="22"/>
        </w:rPr>
      </w:pPr>
      <w:r w:rsidRPr="00DC590C">
        <w:rPr>
          <w:rFonts w:cs="Arial"/>
          <w:szCs w:val="22"/>
        </w:rPr>
        <w:t>Investigations</w:t>
      </w:r>
    </w:p>
    <w:p w14:paraId="0BD92682" w14:textId="77777777" w:rsidR="00C41097" w:rsidRDefault="00C41097" w:rsidP="00C41097">
      <w:r>
        <w:t>Tests which may be appropriate to assess patient’s current condition include:</w:t>
      </w:r>
    </w:p>
    <w:p w14:paraId="24A70266" w14:textId="5B04B5C1" w:rsidR="00C41097" w:rsidRDefault="00C41097" w:rsidP="00C41097">
      <w:pPr>
        <w:pStyle w:val="ListParagraph"/>
        <w:numPr>
          <w:ilvl w:val="0"/>
          <w:numId w:val="27"/>
        </w:numPr>
      </w:pPr>
      <w:r>
        <w:t>FBC, LFTs, albumin, INR, U&amp;Es, blood glucose</w:t>
      </w:r>
    </w:p>
    <w:p w14:paraId="3613CD3C" w14:textId="77777777" w:rsidR="00C41097" w:rsidRDefault="00C41097" w:rsidP="00C41097">
      <w:pPr>
        <w:pStyle w:val="ListParagraph"/>
        <w:numPr>
          <w:ilvl w:val="0"/>
          <w:numId w:val="27"/>
        </w:numPr>
      </w:pPr>
      <w:r>
        <w:t>Urinary dipstick</w:t>
      </w:r>
    </w:p>
    <w:p w14:paraId="30B549E5" w14:textId="77777777" w:rsidR="00C41097" w:rsidRDefault="00C41097" w:rsidP="00C41097">
      <w:pPr>
        <w:pStyle w:val="ListParagraph"/>
        <w:numPr>
          <w:ilvl w:val="0"/>
          <w:numId w:val="27"/>
        </w:numPr>
      </w:pPr>
      <w:r>
        <w:t>Blood cultures and chest X-ray</w:t>
      </w:r>
    </w:p>
    <w:p w14:paraId="35E09A87" w14:textId="77777777" w:rsidR="00C41097" w:rsidRDefault="00C41097" w:rsidP="00C41097">
      <w:pPr>
        <w:pStyle w:val="ListParagraph"/>
        <w:numPr>
          <w:ilvl w:val="0"/>
          <w:numId w:val="27"/>
        </w:numPr>
      </w:pPr>
      <w:r>
        <w:t>Ascitic tap (if ascites is present this is essential) – send for MC&amp;S, albumin, AFBs.</w:t>
      </w:r>
    </w:p>
    <w:p w14:paraId="0494F9B3" w14:textId="77777777" w:rsidR="00C41097" w:rsidRDefault="00C41097" w:rsidP="00C41097">
      <w:r>
        <w:t xml:space="preserve">Note that FBC, INR, U&amp;Es, LFTs and ascitic tap microscopy and albumin are all urgent tests and </w:t>
      </w:r>
      <w:r w:rsidRPr="00961D8F">
        <w:rPr>
          <w:b/>
          <w:i/>
        </w:rPr>
        <w:t>the results should be reviewed within 4 hours of admission</w:t>
      </w:r>
      <w:r>
        <w:t xml:space="preserve"> to the ward in any acutely unwell patient. </w:t>
      </w:r>
    </w:p>
    <w:p w14:paraId="623BF488" w14:textId="77777777" w:rsidR="00C41097" w:rsidRDefault="00C41097" w:rsidP="00C41097">
      <w:r>
        <w:t>Tests to identify possible causes include:</w:t>
      </w:r>
    </w:p>
    <w:p w14:paraId="31210190" w14:textId="268D2114" w:rsidR="00C41097" w:rsidRDefault="00C41097" w:rsidP="00C41097">
      <w:pPr>
        <w:pStyle w:val="ListParagraph"/>
        <w:numPr>
          <w:ilvl w:val="0"/>
          <w:numId w:val="28"/>
        </w:numPr>
      </w:pPr>
      <w:r>
        <w:lastRenderedPageBreak/>
        <w:t>Viral serology: HIV, H</w:t>
      </w:r>
      <w:r w:rsidR="00A877CE">
        <w:t>Bs</w:t>
      </w:r>
      <w:r>
        <w:t>Ag (HCV, HAV when available)</w:t>
      </w:r>
    </w:p>
    <w:p w14:paraId="5A45CA53" w14:textId="77777777" w:rsidR="00C41097" w:rsidRDefault="00C41097" w:rsidP="00C41097">
      <w:pPr>
        <w:pStyle w:val="ListParagraph"/>
        <w:numPr>
          <w:ilvl w:val="0"/>
          <w:numId w:val="28"/>
        </w:numPr>
      </w:pPr>
      <w:r>
        <w:t>Hb genotype</w:t>
      </w:r>
    </w:p>
    <w:p w14:paraId="426FCA43" w14:textId="77777777" w:rsidR="00C41097" w:rsidRDefault="00C41097" w:rsidP="00C41097">
      <w:pPr>
        <w:pStyle w:val="ListParagraph"/>
        <w:numPr>
          <w:ilvl w:val="0"/>
          <w:numId w:val="28"/>
        </w:numPr>
      </w:pPr>
      <w:r>
        <w:t>Ultrasound – for jaundiced patients ask directly about duct dilatation.</w:t>
      </w:r>
    </w:p>
    <w:p w14:paraId="55AF4CB2" w14:textId="77777777" w:rsidR="00C41097" w:rsidRPr="00DC590C" w:rsidRDefault="00C41097" w:rsidP="00C41097">
      <w:pPr>
        <w:pStyle w:val="ListParagraph"/>
        <w:numPr>
          <w:ilvl w:val="0"/>
          <w:numId w:val="28"/>
        </w:numPr>
      </w:pPr>
      <w:r>
        <w:t xml:space="preserve">Consider autoantibodies, ferritin and AFP when available. </w:t>
      </w:r>
    </w:p>
    <w:p w14:paraId="411E3922" w14:textId="77777777" w:rsidR="00C41097" w:rsidRDefault="00C41097" w:rsidP="00C41097">
      <w:pPr>
        <w:pStyle w:val="Heading2"/>
        <w:rPr>
          <w:rFonts w:cs="Arial"/>
          <w:szCs w:val="22"/>
        </w:rPr>
      </w:pPr>
      <w:r>
        <w:rPr>
          <w:rFonts w:cs="Arial"/>
          <w:szCs w:val="22"/>
        </w:rPr>
        <w:t>Causes of decompensation in CLD</w:t>
      </w:r>
    </w:p>
    <w:p w14:paraId="3F82997B" w14:textId="77777777" w:rsidR="00C41097" w:rsidRDefault="00C41097" w:rsidP="00C41097">
      <w:pPr>
        <w:rPr>
          <w:lang w:bidi="th-TH"/>
        </w:rPr>
      </w:pPr>
      <w:r>
        <w:t xml:space="preserve">For patients with chronic liver disease, management will depend on the cause of the decompensation. </w:t>
      </w:r>
      <w:r>
        <w:rPr>
          <w:lang w:bidi="th-TH"/>
        </w:rPr>
        <w:t>Patients with CLD may decompensate because of a complication of their underlying liver disease or because of a second insult to the liver or their overall system.</w:t>
      </w:r>
    </w:p>
    <w:p w14:paraId="1046CC24" w14:textId="77777777" w:rsidR="00C41097" w:rsidRDefault="00C41097" w:rsidP="00C41097">
      <w:pPr>
        <w:rPr>
          <w:lang w:bidi="th-TH"/>
        </w:rPr>
      </w:pPr>
      <w:r>
        <w:rPr>
          <w:lang w:bidi="th-TH"/>
        </w:rPr>
        <w:t>Complications of CLD are:</w:t>
      </w:r>
    </w:p>
    <w:p w14:paraId="07124D5C" w14:textId="77777777" w:rsidR="00C41097" w:rsidRDefault="00C41097" w:rsidP="00C41097">
      <w:pPr>
        <w:pStyle w:val="ListParagraph"/>
        <w:numPr>
          <w:ilvl w:val="0"/>
          <w:numId w:val="29"/>
        </w:numPr>
        <w:rPr>
          <w:lang w:bidi="th-TH"/>
        </w:rPr>
      </w:pPr>
      <w:r>
        <w:rPr>
          <w:lang w:bidi="th-TH"/>
        </w:rPr>
        <w:t xml:space="preserve">Variceal </w:t>
      </w:r>
      <w:proofErr w:type="spellStart"/>
      <w:r>
        <w:rPr>
          <w:lang w:bidi="th-TH"/>
        </w:rPr>
        <w:t>haemorrhage</w:t>
      </w:r>
      <w:proofErr w:type="spellEnd"/>
    </w:p>
    <w:p w14:paraId="642E7273" w14:textId="77777777" w:rsidR="00C41097" w:rsidRDefault="00C41097" w:rsidP="00C41097">
      <w:pPr>
        <w:pStyle w:val="ListParagraph"/>
        <w:numPr>
          <w:ilvl w:val="0"/>
          <w:numId w:val="29"/>
        </w:numPr>
        <w:rPr>
          <w:lang w:bidi="th-TH"/>
        </w:rPr>
      </w:pPr>
      <w:r>
        <w:rPr>
          <w:lang w:bidi="th-TH"/>
        </w:rPr>
        <w:t>Portal vein thrombosis</w:t>
      </w:r>
    </w:p>
    <w:p w14:paraId="64E9902C" w14:textId="77777777" w:rsidR="00C41097" w:rsidRDefault="00C41097" w:rsidP="00C41097">
      <w:pPr>
        <w:pStyle w:val="ListParagraph"/>
        <w:numPr>
          <w:ilvl w:val="0"/>
          <w:numId w:val="29"/>
        </w:numPr>
        <w:rPr>
          <w:lang w:bidi="th-TH"/>
        </w:rPr>
      </w:pPr>
      <w:r>
        <w:rPr>
          <w:lang w:bidi="th-TH"/>
        </w:rPr>
        <w:t>Ascites</w:t>
      </w:r>
    </w:p>
    <w:p w14:paraId="6F4CE57D" w14:textId="77777777" w:rsidR="00C41097" w:rsidRDefault="00C41097" w:rsidP="00C41097">
      <w:pPr>
        <w:pStyle w:val="ListParagraph"/>
        <w:numPr>
          <w:ilvl w:val="0"/>
          <w:numId w:val="29"/>
        </w:numPr>
        <w:rPr>
          <w:lang w:bidi="th-TH"/>
        </w:rPr>
      </w:pPr>
      <w:r>
        <w:rPr>
          <w:lang w:bidi="th-TH"/>
        </w:rPr>
        <w:t>Spontaneous bacterial peritonitis</w:t>
      </w:r>
    </w:p>
    <w:p w14:paraId="740CCFC3" w14:textId="77777777" w:rsidR="00C41097" w:rsidRDefault="00C41097" w:rsidP="00C41097">
      <w:pPr>
        <w:pStyle w:val="ListParagraph"/>
        <w:numPr>
          <w:ilvl w:val="0"/>
          <w:numId w:val="29"/>
        </w:numPr>
        <w:rPr>
          <w:lang w:bidi="th-TH"/>
        </w:rPr>
      </w:pPr>
      <w:r>
        <w:rPr>
          <w:lang w:bidi="th-TH"/>
        </w:rPr>
        <w:t>Hepatic encephalopathy</w:t>
      </w:r>
    </w:p>
    <w:p w14:paraId="2A8B66A6" w14:textId="77777777" w:rsidR="00C41097" w:rsidRDefault="00C41097" w:rsidP="00C41097">
      <w:pPr>
        <w:pStyle w:val="ListParagraph"/>
        <w:numPr>
          <w:ilvl w:val="0"/>
          <w:numId w:val="29"/>
        </w:numPr>
        <w:rPr>
          <w:lang w:bidi="th-TH"/>
        </w:rPr>
      </w:pPr>
      <w:r>
        <w:rPr>
          <w:lang w:bidi="th-TH"/>
        </w:rPr>
        <w:t>Hepatorenal syndrome</w:t>
      </w:r>
    </w:p>
    <w:p w14:paraId="40EDBD0E" w14:textId="77777777" w:rsidR="00C41097" w:rsidRDefault="00C41097" w:rsidP="00C41097">
      <w:pPr>
        <w:pStyle w:val="ListParagraph"/>
        <w:numPr>
          <w:ilvl w:val="0"/>
          <w:numId w:val="29"/>
        </w:numPr>
        <w:rPr>
          <w:lang w:bidi="th-TH"/>
        </w:rPr>
      </w:pPr>
      <w:r>
        <w:rPr>
          <w:lang w:bidi="th-TH"/>
        </w:rPr>
        <w:t>Hepatopulmonary syndrome</w:t>
      </w:r>
    </w:p>
    <w:p w14:paraId="7B7A9840" w14:textId="77777777" w:rsidR="00C41097" w:rsidRDefault="00C41097" w:rsidP="00C41097">
      <w:pPr>
        <w:pStyle w:val="ListParagraph"/>
        <w:numPr>
          <w:ilvl w:val="0"/>
          <w:numId w:val="29"/>
        </w:numPr>
        <w:rPr>
          <w:lang w:bidi="th-TH"/>
        </w:rPr>
      </w:pPr>
      <w:r>
        <w:rPr>
          <w:lang w:bidi="th-TH"/>
        </w:rPr>
        <w:t>Hepatocellular carcinoma</w:t>
      </w:r>
    </w:p>
    <w:p w14:paraId="292FCB1C" w14:textId="77777777" w:rsidR="00C41097" w:rsidRDefault="00C41097" w:rsidP="00C41097">
      <w:pPr>
        <w:rPr>
          <w:lang w:bidi="th-TH"/>
        </w:rPr>
      </w:pPr>
      <w:r>
        <w:rPr>
          <w:lang w:bidi="th-TH"/>
        </w:rPr>
        <w:t>Common causes of a second insult are:</w:t>
      </w:r>
    </w:p>
    <w:p w14:paraId="298FAE64" w14:textId="77777777" w:rsidR="00C41097" w:rsidRDefault="00C41097" w:rsidP="00C41097">
      <w:pPr>
        <w:pStyle w:val="ListParagraph"/>
        <w:numPr>
          <w:ilvl w:val="0"/>
          <w:numId w:val="30"/>
        </w:numPr>
        <w:rPr>
          <w:lang w:bidi="th-TH"/>
        </w:rPr>
      </w:pPr>
      <w:r>
        <w:rPr>
          <w:lang w:bidi="th-TH"/>
        </w:rPr>
        <w:t>Acute viral hepatitis</w:t>
      </w:r>
    </w:p>
    <w:p w14:paraId="0821F52B" w14:textId="77777777" w:rsidR="00C41097" w:rsidRDefault="00C41097" w:rsidP="00C41097">
      <w:pPr>
        <w:pStyle w:val="ListParagraph"/>
        <w:numPr>
          <w:ilvl w:val="0"/>
          <w:numId w:val="30"/>
        </w:numPr>
        <w:rPr>
          <w:lang w:bidi="th-TH"/>
        </w:rPr>
      </w:pPr>
      <w:r>
        <w:rPr>
          <w:lang w:bidi="th-TH"/>
        </w:rPr>
        <w:t>Drug-induced liver injury (which may be caused by traditional treatment as well as prescribed medications)</w:t>
      </w:r>
    </w:p>
    <w:p w14:paraId="19C72700" w14:textId="77777777" w:rsidR="00C41097" w:rsidRPr="00D154E5" w:rsidRDefault="00C41097" w:rsidP="00C41097">
      <w:pPr>
        <w:pStyle w:val="ListParagraph"/>
        <w:numPr>
          <w:ilvl w:val="0"/>
          <w:numId w:val="30"/>
        </w:numPr>
        <w:rPr>
          <w:lang w:bidi="th-TH"/>
        </w:rPr>
      </w:pPr>
      <w:r>
        <w:rPr>
          <w:lang w:bidi="th-TH"/>
        </w:rPr>
        <w:t xml:space="preserve">Bacterial infection (UTI, LRI </w:t>
      </w:r>
      <w:proofErr w:type="spellStart"/>
      <w:r>
        <w:rPr>
          <w:lang w:bidi="th-TH"/>
        </w:rPr>
        <w:t>etc</w:t>
      </w:r>
      <w:proofErr w:type="spellEnd"/>
      <w:r>
        <w:rPr>
          <w:lang w:bidi="th-TH"/>
        </w:rPr>
        <w:t>)</w:t>
      </w:r>
    </w:p>
    <w:p w14:paraId="082FDD35" w14:textId="5E9E29AC" w:rsidR="00C41097" w:rsidRPr="00DC590C" w:rsidRDefault="00C41097" w:rsidP="00C41097">
      <w:pPr>
        <w:pStyle w:val="Heading2"/>
        <w:rPr>
          <w:rFonts w:cs="Arial"/>
          <w:szCs w:val="22"/>
        </w:rPr>
      </w:pPr>
      <w:r w:rsidRPr="00DC590C">
        <w:rPr>
          <w:rFonts w:cs="Arial"/>
          <w:szCs w:val="22"/>
        </w:rPr>
        <w:t>Management</w:t>
      </w:r>
    </w:p>
    <w:p w14:paraId="2F45E231" w14:textId="77777777" w:rsidR="00C41097" w:rsidRDefault="00C41097" w:rsidP="00C41097">
      <w:pPr>
        <w:pStyle w:val="Heading3"/>
      </w:pPr>
      <w:r>
        <w:t>Newly diagnosed liver disease</w:t>
      </w:r>
    </w:p>
    <w:p w14:paraId="27034486" w14:textId="77777777" w:rsidR="00C41097" w:rsidRDefault="00C41097" w:rsidP="00C41097">
      <w:r>
        <w:t>Treat precipitants and possible causes.</w:t>
      </w:r>
    </w:p>
    <w:p w14:paraId="43689089" w14:textId="6D7B38CC" w:rsidR="00C41097" w:rsidRDefault="00C41097" w:rsidP="00C41097">
      <w:r>
        <w:t>Ensure adequate hydration and nutrition (give e</w:t>
      </w:r>
      <w:r w:rsidR="00487B96">
        <w:t>-</w:t>
      </w:r>
      <w:r>
        <w:t xml:space="preserve">pap if there is any doubt). </w:t>
      </w:r>
    </w:p>
    <w:p w14:paraId="1D7DB907" w14:textId="77777777" w:rsidR="00C41097" w:rsidRDefault="00C41097" w:rsidP="00C41097">
      <w:r>
        <w:t xml:space="preserve">Avoid hepatotoxic drugs. </w:t>
      </w:r>
    </w:p>
    <w:p w14:paraId="7B30128A" w14:textId="77777777" w:rsidR="00C41097" w:rsidRDefault="00C41097" w:rsidP="00C41097">
      <w:r>
        <w:t xml:space="preserve">Manage according to </w:t>
      </w:r>
      <w:proofErr w:type="gramStart"/>
      <w:r>
        <w:t>particular complications</w:t>
      </w:r>
      <w:proofErr w:type="gramEnd"/>
      <w:r>
        <w:t xml:space="preserve"> (hepatic encephalopathy is common). </w:t>
      </w:r>
    </w:p>
    <w:p w14:paraId="7E441F88" w14:textId="77777777" w:rsidR="00C41097" w:rsidRPr="00FB4E35" w:rsidRDefault="00C41097" w:rsidP="00C41097">
      <w:r>
        <w:t xml:space="preserve">Seek specialist support if acute liver disease is suspected. </w:t>
      </w:r>
    </w:p>
    <w:p w14:paraId="246EE1C3" w14:textId="77777777" w:rsidR="00E75433" w:rsidRDefault="00E75433">
      <w:pPr>
        <w:spacing w:after="0"/>
        <w:outlineLvl w:val="9"/>
        <w:rPr>
          <w:rFonts w:eastAsia="Times New Roman" w:cs="Times New Roman"/>
          <w:b/>
          <w:bCs/>
          <w:szCs w:val="26"/>
          <w:u w:val="single"/>
        </w:rPr>
      </w:pPr>
      <w:r>
        <w:br w:type="page"/>
      </w:r>
    </w:p>
    <w:p w14:paraId="167A97B9" w14:textId="6C3ABCEE" w:rsidR="00C41097" w:rsidRDefault="00C41097" w:rsidP="00C41097">
      <w:pPr>
        <w:pStyle w:val="Heading3"/>
      </w:pPr>
      <w:r>
        <w:lastRenderedPageBreak/>
        <w:t>All patients with CLD</w:t>
      </w:r>
    </w:p>
    <w:p w14:paraId="781B5CA9" w14:textId="77777777" w:rsidR="00C41097" w:rsidRDefault="00C41097" w:rsidP="00C41097">
      <w:r>
        <w:t>All patients admitted with CLD should have their Child-Pugh score calculated in order to provide prognostic information.</w:t>
      </w:r>
    </w:p>
    <w:p w14:paraId="4CBEB209" w14:textId="77777777" w:rsidR="00C41097" w:rsidRDefault="00C41097" w:rsidP="00C41097">
      <w:pPr>
        <w:rPr>
          <w:lang w:bidi="th-TH"/>
        </w:rPr>
      </w:pPr>
      <w:r>
        <w:rPr>
          <w:lang w:bidi="th-TH"/>
        </w:rPr>
        <w:t>Use the table below to assign a score for each item: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1"/>
        <w:gridCol w:w="1508"/>
        <w:gridCol w:w="1508"/>
        <w:gridCol w:w="1508"/>
      </w:tblGrid>
      <w:tr w:rsidR="00C41097" w:rsidRPr="00214E74" w14:paraId="6E9A1252" w14:textId="77777777" w:rsidTr="00792223">
        <w:tc>
          <w:tcPr>
            <w:tcW w:w="1508" w:type="dxa"/>
            <w:shd w:val="clear" w:color="auto" w:fill="auto"/>
          </w:tcPr>
          <w:p w14:paraId="4AC0D9D0" w14:textId="77777777" w:rsidR="00C41097" w:rsidRPr="001E282C" w:rsidRDefault="00C41097" w:rsidP="00792223">
            <w:pPr>
              <w:rPr>
                <w:b/>
                <w:sz w:val="20"/>
                <w:szCs w:val="20"/>
                <w:lang w:bidi="th-TH"/>
              </w:rPr>
            </w:pPr>
            <w:r w:rsidRPr="001E282C">
              <w:rPr>
                <w:b/>
                <w:sz w:val="20"/>
                <w:szCs w:val="20"/>
                <w:lang w:bidi="th-TH"/>
              </w:rPr>
              <w:t>Points</w:t>
            </w:r>
          </w:p>
        </w:tc>
        <w:tc>
          <w:tcPr>
            <w:tcW w:w="1508" w:type="dxa"/>
            <w:shd w:val="clear" w:color="auto" w:fill="auto"/>
          </w:tcPr>
          <w:p w14:paraId="6370D288" w14:textId="77777777" w:rsidR="00C41097" w:rsidRPr="001E282C" w:rsidRDefault="00C41097" w:rsidP="00792223">
            <w:pPr>
              <w:rPr>
                <w:b/>
                <w:sz w:val="20"/>
                <w:szCs w:val="20"/>
                <w:lang w:bidi="th-TH"/>
              </w:rPr>
            </w:pPr>
            <w:r w:rsidRPr="001E282C">
              <w:rPr>
                <w:b/>
                <w:sz w:val="20"/>
                <w:szCs w:val="20"/>
                <w:lang w:bidi="th-TH"/>
              </w:rPr>
              <w:t>1</w:t>
            </w:r>
          </w:p>
        </w:tc>
        <w:tc>
          <w:tcPr>
            <w:tcW w:w="1508" w:type="dxa"/>
            <w:shd w:val="clear" w:color="auto" w:fill="auto"/>
          </w:tcPr>
          <w:p w14:paraId="7A49A0AA" w14:textId="77777777" w:rsidR="00C41097" w:rsidRPr="001E282C" w:rsidRDefault="00C41097" w:rsidP="00792223">
            <w:pPr>
              <w:rPr>
                <w:b/>
                <w:sz w:val="20"/>
                <w:szCs w:val="20"/>
                <w:lang w:bidi="th-TH"/>
              </w:rPr>
            </w:pPr>
            <w:r w:rsidRPr="001E282C">
              <w:rPr>
                <w:b/>
                <w:sz w:val="20"/>
                <w:szCs w:val="20"/>
                <w:lang w:bidi="th-TH"/>
              </w:rPr>
              <w:t>2</w:t>
            </w:r>
          </w:p>
        </w:tc>
        <w:tc>
          <w:tcPr>
            <w:tcW w:w="1508" w:type="dxa"/>
            <w:shd w:val="clear" w:color="auto" w:fill="auto"/>
          </w:tcPr>
          <w:p w14:paraId="75A5A439" w14:textId="77777777" w:rsidR="00C41097" w:rsidRPr="001E282C" w:rsidRDefault="00C41097" w:rsidP="00792223">
            <w:pPr>
              <w:rPr>
                <w:b/>
                <w:sz w:val="20"/>
                <w:szCs w:val="20"/>
                <w:lang w:bidi="th-TH"/>
              </w:rPr>
            </w:pPr>
            <w:r w:rsidRPr="001E282C">
              <w:rPr>
                <w:b/>
                <w:sz w:val="20"/>
                <w:szCs w:val="20"/>
                <w:lang w:bidi="th-TH"/>
              </w:rPr>
              <w:t>3</w:t>
            </w:r>
          </w:p>
        </w:tc>
      </w:tr>
      <w:tr w:rsidR="00C41097" w:rsidRPr="00214E74" w14:paraId="22ECEE01" w14:textId="77777777" w:rsidTr="00792223">
        <w:tc>
          <w:tcPr>
            <w:tcW w:w="1508" w:type="dxa"/>
            <w:shd w:val="clear" w:color="auto" w:fill="auto"/>
          </w:tcPr>
          <w:p w14:paraId="27BDB81F" w14:textId="77777777" w:rsidR="00C41097" w:rsidRPr="001E282C" w:rsidRDefault="00C41097" w:rsidP="00792223">
            <w:pPr>
              <w:rPr>
                <w:sz w:val="20"/>
                <w:szCs w:val="20"/>
                <w:lang w:bidi="th-TH"/>
              </w:rPr>
            </w:pPr>
            <w:r w:rsidRPr="001E282C">
              <w:rPr>
                <w:sz w:val="20"/>
                <w:szCs w:val="20"/>
                <w:lang w:bidi="th-TH"/>
              </w:rPr>
              <w:t>Ascites</w:t>
            </w:r>
          </w:p>
        </w:tc>
        <w:tc>
          <w:tcPr>
            <w:tcW w:w="1508" w:type="dxa"/>
            <w:shd w:val="clear" w:color="auto" w:fill="auto"/>
          </w:tcPr>
          <w:p w14:paraId="344D3921" w14:textId="77777777" w:rsidR="00C41097" w:rsidRPr="001E282C" w:rsidRDefault="00C41097" w:rsidP="00792223">
            <w:pPr>
              <w:rPr>
                <w:sz w:val="20"/>
                <w:szCs w:val="20"/>
                <w:lang w:bidi="th-TH"/>
              </w:rPr>
            </w:pPr>
            <w:r w:rsidRPr="001E282C">
              <w:rPr>
                <w:sz w:val="20"/>
                <w:szCs w:val="20"/>
                <w:lang w:bidi="th-TH"/>
              </w:rPr>
              <w:t>None</w:t>
            </w:r>
          </w:p>
        </w:tc>
        <w:tc>
          <w:tcPr>
            <w:tcW w:w="1508" w:type="dxa"/>
            <w:shd w:val="clear" w:color="auto" w:fill="auto"/>
          </w:tcPr>
          <w:p w14:paraId="119585DA" w14:textId="77777777" w:rsidR="00C41097" w:rsidRPr="001E282C" w:rsidRDefault="00C41097" w:rsidP="00792223">
            <w:pPr>
              <w:rPr>
                <w:sz w:val="20"/>
                <w:szCs w:val="20"/>
                <w:lang w:bidi="th-TH"/>
              </w:rPr>
            </w:pPr>
            <w:r w:rsidRPr="001E282C">
              <w:rPr>
                <w:sz w:val="20"/>
                <w:szCs w:val="20"/>
                <w:lang w:bidi="th-TH"/>
              </w:rPr>
              <w:t>Slight</w:t>
            </w:r>
          </w:p>
        </w:tc>
        <w:tc>
          <w:tcPr>
            <w:tcW w:w="1508" w:type="dxa"/>
            <w:shd w:val="clear" w:color="auto" w:fill="auto"/>
          </w:tcPr>
          <w:p w14:paraId="303CAE06" w14:textId="77777777" w:rsidR="00C41097" w:rsidRPr="001E282C" w:rsidRDefault="00C41097" w:rsidP="00792223">
            <w:pPr>
              <w:rPr>
                <w:sz w:val="20"/>
                <w:szCs w:val="20"/>
                <w:lang w:bidi="th-TH"/>
              </w:rPr>
            </w:pPr>
            <w:r w:rsidRPr="001E282C">
              <w:rPr>
                <w:sz w:val="20"/>
                <w:szCs w:val="20"/>
                <w:lang w:bidi="th-TH"/>
              </w:rPr>
              <w:t>Moderate or above</w:t>
            </w:r>
          </w:p>
        </w:tc>
      </w:tr>
      <w:tr w:rsidR="00C41097" w:rsidRPr="00214E74" w14:paraId="4D9C406D" w14:textId="77777777" w:rsidTr="00792223">
        <w:tc>
          <w:tcPr>
            <w:tcW w:w="1508" w:type="dxa"/>
            <w:shd w:val="clear" w:color="auto" w:fill="auto"/>
          </w:tcPr>
          <w:p w14:paraId="76735D53" w14:textId="77777777" w:rsidR="00C41097" w:rsidRPr="001E282C" w:rsidRDefault="00C41097" w:rsidP="00792223">
            <w:pPr>
              <w:rPr>
                <w:sz w:val="20"/>
                <w:szCs w:val="20"/>
                <w:lang w:bidi="th-TH"/>
              </w:rPr>
            </w:pPr>
            <w:r w:rsidRPr="001E282C">
              <w:rPr>
                <w:sz w:val="20"/>
                <w:szCs w:val="20"/>
                <w:lang w:bidi="th-TH"/>
              </w:rPr>
              <w:t>Bilirubin</w:t>
            </w:r>
          </w:p>
        </w:tc>
        <w:tc>
          <w:tcPr>
            <w:tcW w:w="1508" w:type="dxa"/>
            <w:shd w:val="clear" w:color="auto" w:fill="auto"/>
          </w:tcPr>
          <w:p w14:paraId="42D02580" w14:textId="77777777" w:rsidR="00C41097" w:rsidRPr="001E282C" w:rsidRDefault="00C41097" w:rsidP="00792223">
            <w:pPr>
              <w:rPr>
                <w:sz w:val="20"/>
                <w:szCs w:val="20"/>
                <w:lang w:bidi="th-TH"/>
              </w:rPr>
            </w:pPr>
            <w:r w:rsidRPr="001E282C">
              <w:rPr>
                <w:sz w:val="20"/>
                <w:szCs w:val="20"/>
                <w:lang w:bidi="th-TH"/>
              </w:rPr>
              <w:t>&lt;34.2</w:t>
            </w:r>
          </w:p>
        </w:tc>
        <w:tc>
          <w:tcPr>
            <w:tcW w:w="1508" w:type="dxa"/>
            <w:shd w:val="clear" w:color="auto" w:fill="auto"/>
          </w:tcPr>
          <w:p w14:paraId="463B6C27" w14:textId="77777777" w:rsidR="00C41097" w:rsidRPr="001E282C" w:rsidRDefault="00C41097" w:rsidP="00792223">
            <w:pPr>
              <w:rPr>
                <w:sz w:val="20"/>
                <w:szCs w:val="20"/>
                <w:lang w:bidi="th-TH"/>
              </w:rPr>
            </w:pPr>
            <w:r w:rsidRPr="001E282C">
              <w:rPr>
                <w:sz w:val="20"/>
                <w:szCs w:val="20"/>
                <w:lang w:bidi="th-TH"/>
              </w:rPr>
              <w:t>34.2-51.3</w:t>
            </w:r>
          </w:p>
        </w:tc>
        <w:tc>
          <w:tcPr>
            <w:tcW w:w="1508" w:type="dxa"/>
            <w:shd w:val="clear" w:color="auto" w:fill="auto"/>
          </w:tcPr>
          <w:p w14:paraId="70B0E709" w14:textId="77777777" w:rsidR="00C41097" w:rsidRPr="001E282C" w:rsidRDefault="00C41097" w:rsidP="00792223">
            <w:pPr>
              <w:rPr>
                <w:sz w:val="20"/>
                <w:szCs w:val="20"/>
                <w:lang w:bidi="th-TH"/>
              </w:rPr>
            </w:pPr>
            <w:r w:rsidRPr="001E282C">
              <w:rPr>
                <w:sz w:val="20"/>
                <w:szCs w:val="20"/>
                <w:lang w:bidi="th-TH"/>
              </w:rPr>
              <w:t>&gt;51.3</w:t>
            </w:r>
          </w:p>
        </w:tc>
      </w:tr>
      <w:tr w:rsidR="00C41097" w:rsidRPr="00214E74" w14:paraId="7D9CEF71" w14:textId="77777777" w:rsidTr="00792223">
        <w:tc>
          <w:tcPr>
            <w:tcW w:w="1508" w:type="dxa"/>
            <w:shd w:val="clear" w:color="auto" w:fill="auto"/>
          </w:tcPr>
          <w:p w14:paraId="7E606EAF" w14:textId="77777777" w:rsidR="00C41097" w:rsidRPr="001E282C" w:rsidRDefault="00C41097" w:rsidP="00792223">
            <w:pPr>
              <w:rPr>
                <w:sz w:val="20"/>
                <w:szCs w:val="20"/>
                <w:lang w:bidi="th-TH"/>
              </w:rPr>
            </w:pPr>
            <w:r w:rsidRPr="001E282C">
              <w:rPr>
                <w:sz w:val="20"/>
                <w:szCs w:val="20"/>
                <w:lang w:bidi="th-TH"/>
              </w:rPr>
              <w:t>Serum albumin</w:t>
            </w:r>
          </w:p>
        </w:tc>
        <w:tc>
          <w:tcPr>
            <w:tcW w:w="1508" w:type="dxa"/>
            <w:shd w:val="clear" w:color="auto" w:fill="auto"/>
          </w:tcPr>
          <w:p w14:paraId="54832EA7" w14:textId="77777777" w:rsidR="00C41097" w:rsidRPr="001E282C" w:rsidRDefault="00C41097" w:rsidP="00792223">
            <w:pPr>
              <w:rPr>
                <w:sz w:val="20"/>
                <w:szCs w:val="20"/>
                <w:lang w:bidi="th-TH"/>
              </w:rPr>
            </w:pPr>
            <w:r w:rsidRPr="001E282C">
              <w:rPr>
                <w:sz w:val="20"/>
                <w:szCs w:val="20"/>
                <w:lang w:bidi="th-TH"/>
              </w:rPr>
              <w:t>&gt;35</w:t>
            </w:r>
          </w:p>
        </w:tc>
        <w:tc>
          <w:tcPr>
            <w:tcW w:w="1508" w:type="dxa"/>
            <w:shd w:val="clear" w:color="auto" w:fill="auto"/>
          </w:tcPr>
          <w:p w14:paraId="47A198E8" w14:textId="77777777" w:rsidR="00C41097" w:rsidRPr="001E282C" w:rsidRDefault="00C41097" w:rsidP="00792223">
            <w:pPr>
              <w:rPr>
                <w:sz w:val="20"/>
                <w:szCs w:val="20"/>
                <w:lang w:bidi="th-TH"/>
              </w:rPr>
            </w:pPr>
            <w:r w:rsidRPr="001E282C">
              <w:rPr>
                <w:sz w:val="20"/>
                <w:szCs w:val="20"/>
                <w:lang w:bidi="th-TH"/>
              </w:rPr>
              <w:t>28-35</w:t>
            </w:r>
          </w:p>
        </w:tc>
        <w:tc>
          <w:tcPr>
            <w:tcW w:w="1508" w:type="dxa"/>
            <w:shd w:val="clear" w:color="auto" w:fill="auto"/>
          </w:tcPr>
          <w:p w14:paraId="1D73C6C3" w14:textId="77777777" w:rsidR="00C41097" w:rsidRPr="001E282C" w:rsidRDefault="00C41097" w:rsidP="00792223">
            <w:pPr>
              <w:rPr>
                <w:sz w:val="20"/>
                <w:szCs w:val="20"/>
                <w:lang w:bidi="th-TH"/>
              </w:rPr>
            </w:pPr>
            <w:r w:rsidRPr="001E282C">
              <w:rPr>
                <w:sz w:val="20"/>
                <w:szCs w:val="20"/>
                <w:lang w:bidi="th-TH"/>
              </w:rPr>
              <w:t>&lt;28</w:t>
            </w:r>
          </w:p>
        </w:tc>
      </w:tr>
      <w:tr w:rsidR="00C41097" w:rsidRPr="00214E74" w14:paraId="0C99419D" w14:textId="77777777" w:rsidTr="00792223">
        <w:tc>
          <w:tcPr>
            <w:tcW w:w="1508" w:type="dxa"/>
            <w:shd w:val="clear" w:color="auto" w:fill="auto"/>
          </w:tcPr>
          <w:p w14:paraId="089AC2A2" w14:textId="77777777" w:rsidR="00C41097" w:rsidRPr="001E282C" w:rsidRDefault="00C41097" w:rsidP="00792223">
            <w:pPr>
              <w:rPr>
                <w:sz w:val="20"/>
                <w:szCs w:val="20"/>
                <w:lang w:bidi="th-TH"/>
              </w:rPr>
            </w:pPr>
            <w:r w:rsidRPr="001E282C">
              <w:rPr>
                <w:sz w:val="20"/>
                <w:szCs w:val="20"/>
                <w:lang w:bidi="th-TH"/>
              </w:rPr>
              <w:t>INR</w:t>
            </w:r>
          </w:p>
        </w:tc>
        <w:tc>
          <w:tcPr>
            <w:tcW w:w="1508" w:type="dxa"/>
            <w:shd w:val="clear" w:color="auto" w:fill="auto"/>
          </w:tcPr>
          <w:p w14:paraId="342968A4" w14:textId="77777777" w:rsidR="00C41097" w:rsidRPr="001E282C" w:rsidRDefault="00C41097" w:rsidP="00792223">
            <w:pPr>
              <w:rPr>
                <w:sz w:val="20"/>
                <w:szCs w:val="20"/>
                <w:lang w:bidi="th-TH"/>
              </w:rPr>
            </w:pPr>
            <w:r w:rsidRPr="001E282C">
              <w:rPr>
                <w:sz w:val="20"/>
                <w:szCs w:val="20"/>
                <w:lang w:bidi="th-TH"/>
              </w:rPr>
              <w:t>&lt;1.7</w:t>
            </w:r>
          </w:p>
        </w:tc>
        <w:tc>
          <w:tcPr>
            <w:tcW w:w="1508" w:type="dxa"/>
            <w:shd w:val="clear" w:color="auto" w:fill="auto"/>
          </w:tcPr>
          <w:p w14:paraId="33A0205D" w14:textId="77777777" w:rsidR="00C41097" w:rsidRPr="001E282C" w:rsidRDefault="00C41097" w:rsidP="00792223">
            <w:pPr>
              <w:rPr>
                <w:sz w:val="20"/>
                <w:szCs w:val="20"/>
                <w:lang w:bidi="th-TH"/>
              </w:rPr>
            </w:pPr>
            <w:r w:rsidRPr="001E282C">
              <w:rPr>
                <w:sz w:val="20"/>
                <w:szCs w:val="20"/>
                <w:lang w:bidi="th-TH"/>
              </w:rPr>
              <w:t>1.7-2.3</w:t>
            </w:r>
          </w:p>
        </w:tc>
        <w:tc>
          <w:tcPr>
            <w:tcW w:w="1508" w:type="dxa"/>
            <w:shd w:val="clear" w:color="auto" w:fill="auto"/>
          </w:tcPr>
          <w:p w14:paraId="21065FE3" w14:textId="77777777" w:rsidR="00C41097" w:rsidRPr="001E282C" w:rsidRDefault="00C41097" w:rsidP="00792223">
            <w:pPr>
              <w:rPr>
                <w:sz w:val="20"/>
                <w:szCs w:val="20"/>
                <w:lang w:bidi="th-TH"/>
              </w:rPr>
            </w:pPr>
            <w:r w:rsidRPr="001E282C">
              <w:rPr>
                <w:sz w:val="20"/>
                <w:szCs w:val="20"/>
                <w:lang w:bidi="th-TH"/>
              </w:rPr>
              <w:t>&gt;2.3</w:t>
            </w:r>
          </w:p>
        </w:tc>
      </w:tr>
      <w:tr w:rsidR="00C41097" w:rsidRPr="00214E74" w14:paraId="57689892" w14:textId="77777777" w:rsidTr="00792223">
        <w:tc>
          <w:tcPr>
            <w:tcW w:w="1508" w:type="dxa"/>
            <w:shd w:val="clear" w:color="auto" w:fill="auto"/>
          </w:tcPr>
          <w:p w14:paraId="6E76D5B6" w14:textId="77777777" w:rsidR="00C41097" w:rsidRPr="001E282C" w:rsidRDefault="00C41097" w:rsidP="00792223">
            <w:pPr>
              <w:rPr>
                <w:sz w:val="20"/>
                <w:szCs w:val="20"/>
                <w:lang w:bidi="th-TH"/>
              </w:rPr>
            </w:pPr>
            <w:r w:rsidRPr="001E282C">
              <w:rPr>
                <w:sz w:val="20"/>
                <w:szCs w:val="20"/>
                <w:lang w:bidi="th-TH"/>
              </w:rPr>
              <w:t>Encephalopathy</w:t>
            </w:r>
          </w:p>
        </w:tc>
        <w:tc>
          <w:tcPr>
            <w:tcW w:w="1508" w:type="dxa"/>
            <w:shd w:val="clear" w:color="auto" w:fill="auto"/>
          </w:tcPr>
          <w:p w14:paraId="5FF1915D" w14:textId="77777777" w:rsidR="00C41097" w:rsidRPr="001E282C" w:rsidRDefault="00C41097" w:rsidP="00792223">
            <w:pPr>
              <w:rPr>
                <w:sz w:val="20"/>
                <w:szCs w:val="20"/>
                <w:lang w:bidi="th-TH"/>
              </w:rPr>
            </w:pPr>
            <w:r w:rsidRPr="001E282C">
              <w:rPr>
                <w:sz w:val="20"/>
                <w:szCs w:val="20"/>
                <w:lang w:bidi="th-TH"/>
              </w:rPr>
              <w:t>None</w:t>
            </w:r>
          </w:p>
        </w:tc>
        <w:tc>
          <w:tcPr>
            <w:tcW w:w="1508" w:type="dxa"/>
            <w:shd w:val="clear" w:color="auto" w:fill="auto"/>
          </w:tcPr>
          <w:p w14:paraId="51628C81" w14:textId="77777777" w:rsidR="00C41097" w:rsidRPr="001E282C" w:rsidRDefault="00C41097" w:rsidP="00792223">
            <w:pPr>
              <w:rPr>
                <w:sz w:val="20"/>
                <w:szCs w:val="20"/>
                <w:lang w:bidi="th-TH"/>
              </w:rPr>
            </w:pPr>
            <w:r w:rsidRPr="001E282C">
              <w:rPr>
                <w:sz w:val="20"/>
                <w:szCs w:val="20"/>
                <w:lang w:bidi="th-TH"/>
              </w:rPr>
              <w:t>Grade 1-2</w:t>
            </w:r>
          </w:p>
        </w:tc>
        <w:tc>
          <w:tcPr>
            <w:tcW w:w="1508" w:type="dxa"/>
            <w:shd w:val="clear" w:color="auto" w:fill="auto"/>
          </w:tcPr>
          <w:p w14:paraId="4CB50409" w14:textId="77777777" w:rsidR="00C41097" w:rsidRPr="001E282C" w:rsidRDefault="00C41097" w:rsidP="00792223">
            <w:pPr>
              <w:rPr>
                <w:sz w:val="20"/>
                <w:szCs w:val="20"/>
                <w:lang w:bidi="th-TH"/>
              </w:rPr>
            </w:pPr>
            <w:r w:rsidRPr="001E282C">
              <w:rPr>
                <w:sz w:val="20"/>
                <w:szCs w:val="20"/>
                <w:lang w:bidi="th-TH"/>
              </w:rPr>
              <w:t>Grade 3-4</w:t>
            </w:r>
          </w:p>
        </w:tc>
      </w:tr>
    </w:tbl>
    <w:p w14:paraId="62B207EE" w14:textId="77777777" w:rsidR="00C41097" w:rsidRDefault="00C41097" w:rsidP="00C41097">
      <w:pPr>
        <w:rPr>
          <w:lang w:bidi="th-TH"/>
        </w:rPr>
      </w:pPr>
    </w:p>
    <w:p w14:paraId="62E72F11" w14:textId="77777777" w:rsidR="00C41097" w:rsidRPr="008B3690" w:rsidRDefault="00C41097" w:rsidP="00C41097">
      <w:pPr>
        <w:rPr>
          <w:lang w:bidi="th-TH"/>
        </w:rPr>
      </w:pPr>
      <w:r>
        <w:rPr>
          <w:lang w:bidi="th-TH"/>
        </w:rPr>
        <w:t>Add the score and interpret the findings according to this table: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08"/>
        <w:gridCol w:w="1508"/>
        <w:gridCol w:w="1508"/>
        <w:gridCol w:w="1508"/>
      </w:tblGrid>
      <w:tr w:rsidR="00C41097" w:rsidRPr="00294491" w14:paraId="79367BB1" w14:textId="77777777" w:rsidTr="00792223">
        <w:tc>
          <w:tcPr>
            <w:tcW w:w="1508" w:type="dxa"/>
            <w:shd w:val="clear" w:color="auto" w:fill="auto"/>
          </w:tcPr>
          <w:p w14:paraId="5A0597CF" w14:textId="77777777" w:rsidR="00C41097" w:rsidRPr="00294491" w:rsidRDefault="00C41097" w:rsidP="00792223">
            <w:pPr>
              <w:rPr>
                <w:b/>
                <w:sz w:val="20"/>
                <w:szCs w:val="20"/>
                <w:lang w:bidi="th-TH"/>
              </w:rPr>
            </w:pPr>
            <w:r w:rsidRPr="00294491">
              <w:rPr>
                <w:b/>
                <w:sz w:val="20"/>
                <w:szCs w:val="20"/>
                <w:lang w:bidi="th-TH"/>
              </w:rPr>
              <w:t>Class</w:t>
            </w:r>
          </w:p>
        </w:tc>
        <w:tc>
          <w:tcPr>
            <w:tcW w:w="1508" w:type="dxa"/>
            <w:shd w:val="clear" w:color="auto" w:fill="auto"/>
          </w:tcPr>
          <w:p w14:paraId="239DCAF9" w14:textId="77777777" w:rsidR="00C41097" w:rsidRPr="00294491" w:rsidRDefault="00C41097" w:rsidP="00792223">
            <w:pPr>
              <w:rPr>
                <w:b/>
                <w:sz w:val="20"/>
                <w:szCs w:val="20"/>
                <w:lang w:bidi="th-TH"/>
              </w:rPr>
            </w:pPr>
            <w:r w:rsidRPr="00294491">
              <w:rPr>
                <w:b/>
                <w:sz w:val="20"/>
                <w:szCs w:val="20"/>
                <w:lang w:bidi="th-TH"/>
              </w:rPr>
              <w:t>Score</w:t>
            </w:r>
          </w:p>
        </w:tc>
        <w:tc>
          <w:tcPr>
            <w:tcW w:w="1508" w:type="dxa"/>
            <w:shd w:val="clear" w:color="auto" w:fill="auto"/>
          </w:tcPr>
          <w:p w14:paraId="77808613" w14:textId="77777777" w:rsidR="00C41097" w:rsidRPr="00294491" w:rsidRDefault="00C41097" w:rsidP="00792223">
            <w:pPr>
              <w:rPr>
                <w:b/>
                <w:sz w:val="20"/>
                <w:szCs w:val="20"/>
                <w:lang w:bidi="th-TH"/>
              </w:rPr>
            </w:pPr>
            <w:proofErr w:type="gramStart"/>
            <w:r w:rsidRPr="00294491">
              <w:rPr>
                <w:b/>
                <w:sz w:val="20"/>
                <w:szCs w:val="20"/>
                <w:lang w:bidi="th-TH"/>
              </w:rPr>
              <w:t>1 year</w:t>
            </w:r>
            <w:proofErr w:type="gramEnd"/>
            <w:r w:rsidRPr="00294491">
              <w:rPr>
                <w:b/>
                <w:sz w:val="20"/>
                <w:szCs w:val="20"/>
                <w:lang w:bidi="th-TH"/>
              </w:rPr>
              <w:t xml:space="preserve"> survival rate</w:t>
            </w:r>
          </w:p>
        </w:tc>
        <w:tc>
          <w:tcPr>
            <w:tcW w:w="1508" w:type="dxa"/>
            <w:shd w:val="clear" w:color="auto" w:fill="auto"/>
          </w:tcPr>
          <w:p w14:paraId="18A47C05" w14:textId="77777777" w:rsidR="00C41097" w:rsidRPr="00294491" w:rsidRDefault="00C41097" w:rsidP="00792223">
            <w:pPr>
              <w:rPr>
                <w:b/>
                <w:sz w:val="20"/>
                <w:szCs w:val="20"/>
                <w:lang w:bidi="th-TH"/>
              </w:rPr>
            </w:pPr>
            <w:proofErr w:type="gramStart"/>
            <w:r w:rsidRPr="00294491">
              <w:rPr>
                <w:b/>
                <w:sz w:val="20"/>
                <w:szCs w:val="20"/>
                <w:lang w:bidi="th-TH"/>
              </w:rPr>
              <w:t>2 year</w:t>
            </w:r>
            <w:proofErr w:type="gramEnd"/>
            <w:r w:rsidRPr="00294491">
              <w:rPr>
                <w:b/>
                <w:sz w:val="20"/>
                <w:szCs w:val="20"/>
                <w:lang w:bidi="th-TH"/>
              </w:rPr>
              <w:t xml:space="preserve"> survival rate</w:t>
            </w:r>
          </w:p>
        </w:tc>
      </w:tr>
      <w:tr w:rsidR="00C41097" w:rsidRPr="00294491" w14:paraId="1DB104B4" w14:textId="77777777" w:rsidTr="00792223">
        <w:tc>
          <w:tcPr>
            <w:tcW w:w="1508" w:type="dxa"/>
            <w:shd w:val="clear" w:color="auto" w:fill="auto"/>
          </w:tcPr>
          <w:p w14:paraId="3A343820" w14:textId="77777777" w:rsidR="00C41097" w:rsidRPr="00294491" w:rsidRDefault="00C41097" w:rsidP="00792223">
            <w:pPr>
              <w:rPr>
                <w:sz w:val="20"/>
                <w:szCs w:val="20"/>
                <w:lang w:bidi="th-TH"/>
              </w:rPr>
            </w:pPr>
            <w:r w:rsidRPr="00294491">
              <w:rPr>
                <w:sz w:val="20"/>
                <w:szCs w:val="20"/>
                <w:lang w:bidi="th-TH"/>
              </w:rPr>
              <w:t>A</w:t>
            </w:r>
          </w:p>
        </w:tc>
        <w:tc>
          <w:tcPr>
            <w:tcW w:w="1508" w:type="dxa"/>
            <w:shd w:val="clear" w:color="auto" w:fill="auto"/>
          </w:tcPr>
          <w:p w14:paraId="005A032A" w14:textId="77777777" w:rsidR="00C41097" w:rsidRPr="00294491" w:rsidRDefault="00C41097" w:rsidP="00792223">
            <w:pPr>
              <w:rPr>
                <w:sz w:val="20"/>
                <w:szCs w:val="20"/>
                <w:lang w:bidi="th-TH"/>
              </w:rPr>
            </w:pPr>
            <w:r w:rsidRPr="00294491">
              <w:rPr>
                <w:sz w:val="20"/>
                <w:szCs w:val="20"/>
                <w:lang w:bidi="th-TH"/>
              </w:rPr>
              <w:t>5-6</w:t>
            </w:r>
          </w:p>
        </w:tc>
        <w:tc>
          <w:tcPr>
            <w:tcW w:w="1508" w:type="dxa"/>
            <w:shd w:val="clear" w:color="auto" w:fill="auto"/>
          </w:tcPr>
          <w:p w14:paraId="18380614" w14:textId="77777777" w:rsidR="00C41097" w:rsidRPr="00294491" w:rsidRDefault="00C41097" w:rsidP="00792223">
            <w:pPr>
              <w:rPr>
                <w:sz w:val="20"/>
                <w:szCs w:val="20"/>
                <w:lang w:bidi="th-TH"/>
              </w:rPr>
            </w:pPr>
            <w:r w:rsidRPr="00294491">
              <w:rPr>
                <w:sz w:val="20"/>
                <w:szCs w:val="20"/>
                <w:lang w:bidi="th-TH"/>
              </w:rPr>
              <w:t>100%</w:t>
            </w:r>
          </w:p>
        </w:tc>
        <w:tc>
          <w:tcPr>
            <w:tcW w:w="1508" w:type="dxa"/>
            <w:shd w:val="clear" w:color="auto" w:fill="auto"/>
          </w:tcPr>
          <w:p w14:paraId="384DDA00" w14:textId="77777777" w:rsidR="00C41097" w:rsidRPr="00294491" w:rsidRDefault="00C41097" w:rsidP="00792223">
            <w:pPr>
              <w:rPr>
                <w:sz w:val="20"/>
                <w:szCs w:val="20"/>
                <w:lang w:bidi="th-TH"/>
              </w:rPr>
            </w:pPr>
            <w:r w:rsidRPr="00294491">
              <w:rPr>
                <w:sz w:val="20"/>
                <w:szCs w:val="20"/>
                <w:lang w:bidi="th-TH"/>
              </w:rPr>
              <w:t>85%</w:t>
            </w:r>
          </w:p>
        </w:tc>
      </w:tr>
      <w:tr w:rsidR="00C41097" w:rsidRPr="00294491" w14:paraId="13B3A00E" w14:textId="77777777" w:rsidTr="00792223">
        <w:tc>
          <w:tcPr>
            <w:tcW w:w="1508" w:type="dxa"/>
            <w:shd w:val="clear" w:color="auto" w:fill="auto"/>
          </w:tcPr>
          <w:p w14:paraId="2B0E3D1E" w14:textId="77777777" w:rsidR="00C41097" w:rsidRPr="00294491" w:rsidRDefault="00C41097" w:rsidP="00792223">
            <w:pPr>
              <w:rPr>
                <w:sz w:val="20"/>
                <w:szCs w:val="20"/>
                <w:lang w:bidi="th-TH"/>
              </w:rPr>
            </w:pPr>
            <w:r w:rsidRPr="00294491">
              <w:rPr>
                <w:sz w:val="20"/>
                <w:szCs w:val="20"/>
                <w:lang w:bidi="th-TH"/>
              </w:rPr>
              <w:t>B</w:t>
            </w:r>
          </w:p>
        </w:tc>
        <w:tc>
          <w:tcPr>
            <w:tcW w:w="1508" w:type="dxa"/>
            <w:shd w:val="clear" w:color="auto" w:fill="auto"/>
          </w:tcPr>
          <w:p w14:paraId="5C4B6590" w14:textId="77777777" w:rsidR="00C41097" w:rsidRPr="00294491" w:rsidRDefault="00C41097" w:rsidP="00792223">
            <w:pPr>
              <w:rPr>
                <w:sz w:val="20"/>
                <w:szCs w:val="20"/>
                <w:lang w:bidi="th-TH"/>
              </w:rPr>
            </w:pPr>
            <w:r w:rsidRPr="00294491">
              <w:rPr>
                <w:sz w:val="20"/>
                <w:szCs w:val="20"/>
                <w:lang w:bidi="th-TH"/>
              </w:rPr>
              <w:t>7-9</w:t>
            </w:r>
          </w:p>
        </w:tc>
        <w:tc>
          <w:tcPr>
            <w:tcW w:w="1508" w:type="dxa"/>
            <w:shd w:val="clear" w:color="auto" w:fill="auto"/>
          </w:tcPr>
          <w:p w14:paraId="538431F5" w14:textId="77777777" w:rsidR="00C41097" w:rsidRPr="00294491" w:rsidRDefault="00C41097" w:rsidP="00792223">
            <w:pPr>
              <w:rPr>
                <w:sz w:val="20"/>
                <w:szCs w:val="20"/>
                <w:lang w:bidi="th-TH"/>
              </w:rPr>
            </w:pPr>
            <w:r w:rsidRPr="00294491">
              <w:rPr>
                <w:sz w:val="20"/>
                <w:szCs w:val="20"/>
                <w:lang w:bidi="th-TH"/>
              </w:rPr>
              <w:t>80%</w:t>
            </w:r>
          </w:p>
        </w:tc>
        <w:tc>
          <w:tcPr>
            <w:tcW w:w="1508" w:type="dxa"/>
            <w:shd w:val="clear" w:color="auto" w:fill="auto"/>
          </w:tcPr>
          <w:p w14:paraId="117D6C62" w14:textId="77777777" w:rsidR="00C41097" w:rsidRPr="00294491" w:rsidRDefault="00C41097" w:rsidP="00792223">
            <w:pPr>
              <w:rPr>
                <w:sz w:val="20"/>
                <w:szCs w:val="20"/>
                <w:lang w:bidi="th-TH"/>
              </w:rPr>
            </w:pPr>
            <w:r w:rsidRPr="00294491">
              <w:rPr>
                <w:sz w:val="20"/>
                <w:szCs w:val="20"/>
                <w:lang w:bidi="th-TH"/>
              </w:rPr>
              <w:t>60%</w:t>
            </w:r>
          </w:p>
        </w:tc>
      </w:tr>
      <w:tr w:rsidR="00C41097" w:rsidRPr="00294491" w14:paraId="40CF2416" w14:textId="77777777" w:rsidTr="00792223">
        <w:tc>
          <w:tcPr>
            <w:tcW w:w="1508" w:type="dxa"/>
            <w:shd w:val="clear" w:color="auto" w:fill="auto"/>
          </w:tcPr>
          <w:p w14:paraId="6D0FF241" w14:textId="77777777" w:rsidR="00C41097" w:rsidRPr="00294491" w:rsidRDefault="00C41097" w:rsidP="00792223">
            <w:pPr>
              <w:rPr>
                <w:sz w:val="20"/>
                <w:szCs w:val="20"/>
                <w:lang w:bidi="th-TH"/>
              </w:rPr>
            </w:pPr>
            <w:r w:rsidRPr="00294491">
              <w:rPr>
                <w:sz w:val="20"/>
                <w:szCs w:val="20"/>
                <w:lang w:bidi="th-TH"/>
              </w:rPr>
              <w:t>C</w:t>
            </w:r>
          </w:p>
        </w:tc>
        <w:tc>
          <w:tcPr>
            <w:tcW w:w="1508" w:type="dxa"/>
            <w:shd w:val="clear" w:color="auto" w:fill="auto"/>
          </w:tcPr>
          <w:p w14:paraId="17CD9829" w14:textId="77777777" w:rsidR="00C41097" w:rsidRPr="00294491" w:rsidRDefault="00C41097" w:rsidP="00792223">
            <w:pPr>
              <w:rPr>
                <w:sz w:val="20"/>
                <w:szCs w:val="20"/>
                <w:lang w:bidi="th-TH"/>
              </w:rPr>
            </w:pPr>
            <w:r w:rsidRPr="00294491">
              <w:rPr>
                <w:sz w:val="20"/>
                <w:szCs w:val="20"/>
                <w:lang w:bidi="th-TH"/>
              </w:rPr>
              <w:t>10-15</w:t>
            </w:r>
          </w:p>
        </w:tc>
        <w:tc>
          <w:tcPr>
            <w:tcW w:w="1508" w:type="dxa"/>
            <w:shd w:val="clear" w:color="auto" w:fill="auto"/>
          </w:tcPr>
          <w:p w14:paraId="455309C7" w14:textId="77777777" w:rsidR="00C41097" w:rsidRPr="00294491" w:rsidRDefault="00C41097" w:rsidP="00792223">
            <w:pPr>
              <w:rPr>
                <w:sz w:val="20"/>
                <w:szCs w:val="20"/>
                <w:lang w:bidi="th-TH"/>
              </w:rPr>
            </w:pPr>
            <w:r w:rsidRPr="00294491">
              <w:rPr>
                <w:sz w:val="20"/>
                <w:szCs w:val="20"/>
                <w:lang w:bidi="th-TH"/>
              </w:rPr>
              <w:t>45%</w:t>
            </w:r>
          </w:p>
        </w:tc>
        <w:tc>
          <w:tcPr>
            <w:tcW w:w="1508" w:type="dxa"/>
            <w:shd w:val="clear" w:color="auto" w:fill="auto"/>
          </w:tcPr>
          <w:p w14:paraId="1DAAE991" w14:textId="77777777" w:rsidR="00C41097" w:rsidRPr="00294491" w:rsidRDefault="00C41097" w:rsidP="00792223">
            <w:pPr>
              <w:rPr>
                <w:sz w:val="20"/>
                <w:szCs w:val="20"/>
                <w:lang w:bidi="th-TH"/>
              </w:rPr>
            </w:pPr>
            <w:r w:rsidRPr="00294491">
              <w:rPr>
                <w:sz w:val="20"/>
                <w:szCs w:val="20"/>
                <w:lang w:bidi="th-TH"/>
              </w:rPr>
              <w:t>35%</w:t>
            </w:r>
          </w:p>
        </w:tc>
      </w:tr>
    </w:tbl>
    <w:p w14:paraId="65A8339C" w14:textId="77777777" w:rsidR="00C41097" w:rsidRDefault="00C41097" w:rsidP="00C41097"/>
    <w:p w14:paraId="00D0DCCA" w14:textId="77777777" w:rsidR="00C41097" w:rsidRDefault="00C41097" w:rsidP="00C41097">
      <w:pPr>
        <w:rPr>
          <w:lang w:bidi="th-TH"/>
        </w:rPr>
      </w:pPr>
      <w:r>
        <w:rPr>
          <w:lang w:bidi="th-TH"/>
        </w:rPr>
        <w:t>In the rare cases where the patient can control a cause of deterioration (especially alcoholic liver disease), if they remove this risk factor (i.e. stop drinking) they can improve their prognosis significantly.</w:t>
      </w:r>
    </w:p>
    <w:p w14:paraId="67B2E12F" w14:textId="77777777" w:rsidR="00C41097" w:rsidRPr="001E282C" w:rsidRDefault="00C41097" w:rsidP="00C41097">
      <w:r>
        <w:rPr>
          <w:lang w:bidi="th-TH"/>
        </w:rPr>
        <w:t>If the INR is greater than 3.5, then vitamin K should be prescribed. In most cases, 10 mg OD orally for 3 days is adequate.</w:t>
      </w:r>
    </w:p>
    <w:p w14:paraId="5475C3EE" w14:textId="77777777" w:rsidR="00C41097" w:rsidRDefault="00C41097" w:rsidP="00C41097">
      <w:pPr>
        <w:pStyle w:val="Heading3"/>
        <w:spacing w:after="120"/>
        <w:rPr>
          <w:lang w:bidi="th-TH"/>
        </w:rPr>
      </w:pPr>
      <w:r>
        <w:rPr>
          <w:lang w:bidi="th-TH"/>
        </w:rPr>
        <w:t xml:space="preserve">Variceal </w:t>
      </w:r>
      <w:proofErr w:type="spellStart"/>
      <w:r>
        <w:rPr>
          <w:lang w:bidi="th-TH"/>
        </w:rPr>
        <w:t>haemorrhage</w:t>
      </w:r>
      <w:proofErr w:type="spellEnd"/>
    </w:p>
    <w:p w14:paraId="44EA706E" w14:textId="77777777" w:rsidR="00C41097" w:rsidRDefault="00C41097" w:rsidP="00C41097">
      <w:pPr>
        <w:rPr>
          <w:lang w:bidi="th-TH"/>
        </w:rPr>
      </w:pPr>
      <w:r>
        <w:rPr>
          <w:lang w:bidi="th-TH"/>
        </w:rPr>
        <w:t xml:space="preserve">This should be suspected whenever there is GI bleeding. It may present with either </w:t>
      </w:r>
      <w:proofErr w:type="spellStart"/>
      <w:r>
        <w:rPr>
          <w:lang w:bidi="th-TH"/>
        </w:rPr>
        <w:t>haematemesis</w:t>
      </w:r>
      <w:proofErr w:type="spellEnd"/>
      <w:r>
        <w:rPr>
          <w:lang w:bidi="th-TH"/>
        </w:rPr>
        <w:t xml:space="preserve"> or melaena.</w:t>
      </w:r>
    </w:p>
    <w:p w14:paraId="70E8062C" w14:textId="77777777" w:rsidR="00C41097" w:rsidRDefault="00C41097" w:rsidP="00C41097">
      <w:pPr>
        <w:rPr>
          <w:lang w:bidi="th-TH"/>
        </w:rPr>
      </w:pPr>
      <w:r>
        <w:rPr>
          <w:lang w:bidi="th-TH"/>
        </w:rPr>
        <w:t xml:space="preserve">Other causes of GI </w:t>
      </w:r>
      <w:proofErr w:type="spellStart"/>
      <w:r>
        <w:rPr>
          <w:lang w:bidi="th-TH"/>
        </w:rPr>
        <w:t>haemorrhage</w:t>
      </w:r>
      <w:proofErr w:type="spellEnd"/>
      <w:r>
        <w:rPr>
          <w:lang w:bidi="th-TH"/>
        </w:rPr>
        <w:t xml:space="preserve"> are </w:t>
      </w:r>
      <w:proofErr w:type="gramStart"/>
      <w:r>
        <w:rPr>
          <w:lang w:bidi="th-TH"/>
        </w:rPr>
        <w:t>possible, but</w:t>
      </w:r>
      <w:proofErr w:type="gramEnd"/>
      <w:r>
        <w:rPr>
          <w:lang w:bidi="th-TH"/>
        </w:rPr>
        <w:t xml:space="preserve"> are less serious. Only 50% of bleeding varices will stop bleeding spontaneously. The outlook is even worse for patients with Child-Pugh Class C disease.</w:t>
      </w:r>
    </w:p>
    <w:p w14:paraId="1041BA80" w14:textId="77777777" w:rsidR="00C41097" w:rsidRDefault="00C41097" w:rsidP="00C41097">
      <w:pPr>
        <w:rPr>
          <w:lang w:bidi="th-TH"/>
        </w:rPr>
      </w:pPr>
      <w:r>
        <w:rPr>
          <w:lang w:bidi="th-TH"/>
        </w:rPr>
        <w:t>Re-bleeding is also very common and is more likely for older patients, those with encephalopathy, ascites, renal failure, alcoholic liver disease or low platelets.</w:t>
      </w:r>
    </w:p>
    <w:p w14:paraId="449C855C" w14:textId="29E731E9" w:rsidR="00C41097" w:rsidRDefault="00C41097" w:rsidP="00C41097">
      <w:r>
        <w:t xml:space="preserve">Management begins with urgent fluid resuscitation including the siting of 2 large bore cannulas, iv </w:t>
      </w:r>
      <w:r w:rsidR="00487B96">
        <w:t>normal</w:t>
      </w:r>
      <w:r>
        <w:t xml:space="preserve"> saline to restore BP and urgent cross-matching of blood. Whole blood should be transfused as soon as possible aiming for an Hb of 9 g/dl.</w:t>
      </w:r>
    </w:p>
    <w:p w14:paraId="092852DC" w14:textId="77777777" w:rsidR="00E75433" w:rsidRDefault="00E75433">
      <w:pPr>
        <w:spacing w:after="0"/>
        <w:outlineLvl w:val="9"/>
      </w:pPr>
      <w:r>
        <w:br w:type="page"/>
      </w:r>
    </w:p>
    <w:p w14:paraId="43B4F17D" w14:textId="4CD7AD83" w:rsidR="00C41097" w:rsidRDefault="00C41097" w:rsidP="00C41097">
      <w:r>
        <w:lastRenderedPageBreak/>
        <w:t xml:space="preserve">Endoscopy should be arranged if available. </w:t>
      </w:r>
    </w:p>
    <w:p w14:paraId="0FA124CD" w14:textId="77777777" w:rsidR="00C41097" w:rsidRDefault="00C41097" w:rsidP="00C41097">
      <w:pPr>
        <w:pStyle w:val="ListParagraph"/>
        <w:numPr>
          <w:ilvl w:val="0"/>
          <w:numId w:val="31"/>
        </w:numPr>
      </w:pPr>
      <w:r>
        <w:t>Unstable patients with severe acute upper GI bleeding should be scoped as soon as possible after resuscitation.</w:t>
      </w:r>
    </w:p>
    <w:p w14:paraId="340D7E87" w14:textId="77777777" w:rsidR="00C41097" w:rsidRDefault="00C41097" w:rsidP="00C41097">
      <w:pPr>
        <w:pStyle w:val="ListParagraph"/>
        <w:numPr>
          <w:ilvl w:val="0"/>
          <w:numId w:val="31"/>
        </w:numPr>
      </w:pPr>
      <w:r>
        <w:t xml:space="preserve">Stable patients with upper GI bleeding should be scoped within the next working day after admission. </w:t>
      </w:r>
    </w:p>
    <w:p w14:paraId="04BBC169" w14:textId="77777777" w:rsidR="00C41097" w:rsidRDefault="00C41097" w:rsidP="00C41097">
      <w:pPr>
        <w:pStyle w:val="ListParagraph"/>
        <w:numPr>
          <w:ilvl w:val="0"/>
          <w:numId w:val="31"/>
        </w:numPr>
      </w:pPr>
      <w:r>
        <w:t xml:space="preserve">Any varices should be banded. If another cause of bleeding is identified, management should be altered to reflect this. </w:t>
      </w:r>
    </w:p>
    <w:p w14:paraId="31F78DBF" w14:textId="77777777" w:rsidR="00C41097" w:rsidRDefault="00C41097" w:rsidP="00C41097">
      <w:pPr>
        <w:rPr>
          <w:lang w:bidi="th-TH"/>
        </w:rPr>
      </w:pPr>
      <w:r>
        <w:rPr>
          <w:lang w:bidi="th-TH"/>
        </w:rPr>
        <w:t xml:space="preserve">None of the vasoactive medications shown to be effective in controlling acute bleeding are available here. </w:t>
      </w:r>
    </w:p>
    <w:p w14:paraId="01059F7F" w14:textId="77777777" w:rsidR="00C41097" w:rsidRDefault="00C41097" w:rsidP="00C41097">
      <w:pPr>
        <w:rPr>
          <w:lang w:bidi="th-TH"/>
        </w:rPr>
      </w:pPr>
      <w:r>
        <w:rPr>
          <w:lang w:bidi="th-TH"/>
        </w:rPr>
        <w:t>Patients are at high risk of concomitant infection and the presence of infection increases the risk of re-bleeding so all patients should be given prophylactic antibiotics – usually ciprofloxacin 500 mg BD for 7 days.</w:t>
      </w:r>
    </w:p>
    <w:p w14:paraId="4FC48D13" w14:textId="77777777" w:rsidR="00C41097" w:rsidRDefault="00C41097" w:rsidP="00C41097">
      <w:pPr>
        <w:rPr>
          <w:lang w:bidi="th-TH"/>
        </w:rPr>
      </w:pPr>
      <w:r>
        <w:rPr>
          <w:lang w:bidi="th-TH"/>
        </w:rPr>
        <w:t>Patients are at high risk of encephalopathy and should be treated with lactulose if they are not passing stool at least twice each day – 20 ml TDS to start.</w:t>
      </w:r>
    </w:p>
    <w:p w14:paraId="4264E5C0" w14:textId="77777777" w:rsidR="00C41097" w:rsidRDefault="00C41097" w:rsidP="00C41097">
      <w:pPr>
        <w:rPr>
          <w:i/>
        </w:rPr>
      </w:pPr>
      <w:r w:rsidRPr="00D154E5">
        <w:rPr>
          <w:i/>
        </w:rPr>
        <w:t xml:space="preserve">Secondary prophylaxis </w:t>
      </w:r>
    </w:p>
    <w:p w14:paraId="33CEBF82" w14:textId="77777777" w:rsidR="00C41097" w:rsidRDefault="00C41097" w:rsidP="00C41097">
      <w:r>
        <w:t>This should be offered to all patients who have had a variceal bleed.</w:t>
      </w:r>
    </w:p>
    <w:p w14:paraId="1D95A004" w14:textId="77777777" w:rsidR="00C41097" w:rsidRDefault="00C41097" w:rsidP="00C41097">
      <w:r>
        <w:t>Both non-</w:t>
      </w:r>
      <w:proofErr w:type="spellStart"/>
      <w:r>
        <w:t>cardioselective</w:t>
      </w:r>
      <w:proofErr w:type="spellEnd"/>
      <w:r>
        <w:t xml:space="preserve"> beta blockers and variceal band ligation should be given. </w:t>
      </w:r>
    </w:p>
    <w:p w14:paraId="10287F5D" w14:textId="77777777" w:rsidR="00C41097" w:rsidRPr="00FB4E35" w:rsidRDefault="00C41097" w:rsidP="00C41097">
      <w:r>
        <w:t>Give propranolol 40 mg BD and titrate up the dose until the HR is 50-55 bpm. The maximum dose is 320 mg per day. This should also be given to patients identified as having varices who have not yet had a bleed (primary prophylaxis).</w:t>
      </w:r>
    </w:p>
    <w:p w14:paraId="7CAAD851" w14:textId="77777777" w:rsidR="00C41097" w:rsidRDefault="00C41097" w:rsidP="00C41097">
      <w:pPr>
        <w:pStyle w:val="Heading3"/>
        <w:spacing w:after="120"/>
        <w:rPr>
          <w:lang w:bidi="th-TH"/>
        </w:rPr>
      </w:pPr>
      <w:r>
        <w:rPr>
          <w:lang w:bidi="th-TH"/>
        </w:rPr>
        <w:t>Spontaneous bacterial peritonitis (SBP)</w:t>
      </w:r>
    </w:p>
    <w:p w14:paraId="41398AD8" w14:textId="77777777" w:rsidR="00C41097" w:rsidRDefault="00C41097" w:rsidP="00C41097">
      <w:pPr>
        <w:rPr>
          <w:lang w:bidi="th-TH"/>
        </w:rPr>
      </w:pPr>
      <w:r>
        <w:rPr>
          <w:lang w:bidi="th-TH"/>
        </w:rPr>
        <w:t>The signs of SBP can be very subtle and therefore it should be considered a possibility in all patients with ascites due to portal hypertension.</w:t>
      </w:r>
    </w:p>
    <w:p w14:paraId="57905E34" w14:textId="77777777" w:rsidR="00C41097" w:rsidRDefault="00C41097" w:rsidP="00C41097">
      <w:pPr>
        <w:rPr>
          <w:lang w:bidi="th-TH"/>
        </w:rPr>
      </w:pPr>
      <w:r>
        <w:rPr>
          <w:lang w:bidi="th-TH"/>
        </w:rPr>
        <w:t xml:space="preserve">Ascitic fluid should be aspirated and sent for immediate fluid albumin and microscopy including cell count. If plenty of fluid is obtained – some can be used to inoculate blood culture bottles. </w:t>
      </w:r>
    </w:p>
    <w:p w14:paraId="587AD3A5" w14:textId="75613FE1" w:rsidR="00C41097" w:rsidRDefault="00C41097" w:rsidP="00C41097">
      <w:pPr>
        <w:rPr>
          <w:lang w:bidi="th-TH"/>
        </w:rPr>
      </w:pPr>
      <w:r>
        <w:rPr>
          <w:lang w:bidi="th-TH"/>
        </w:rPr>
        <w:t xml:space="preserve">SBP </w:t>
      </w:r>
      <w:proofErr w:type="gramStart"/>
      <w:r>
        <w:rPr>
          <w:lang w:bidi="th-TH"/>
        </w:rPr>
        <w:t>is considered to be</w:t>
      </w:r>
      <w:proofErr w:type="gramEnd"/>
      <w:r>
        <w:rPr>
          <w:lang w:bidi="th-TH"/>
        </w:rPr>
        <w:t xml:space="preserve"> present if the granulocyte count is greater than 250 cells/mm3. It should be suspected if there are typical clinical signs such as T</w:t>
      </w:r>
      <w:r w:rsidR="00487B96">
        <w:rPr>
          <w:lang w:bidi="th-TH"/>
        </w:rPr>
        <w:t xml:space="preserve">emp </w:t>
      </w:r>
      <w:r>
        <w:rPr>
          <w:lang w:bidi="th-TH"/>
        </w:rPr>
        <w:t>&gt;</w:t>
      </w:r>
      <w:r w:rsidR="00487B96">
        <w:rPr>
          <w:lang w:bidi="th-TH"/>
        </w:rPr>
        <w:t xml:space="preserve"> </w:t>
      </w:r>
      <w:r>
        <w:rPr>
          <w:lang w:bidi="th-TH"/>
        </w:rPr>
        <w:t>37.8</w:t>
      </w:r>
      <w:r w:rsidR="00487B96">
        <w:rPr>
          <w:lang w:bidi="th-TH"/>
        </w:rPr>
        <w:t>ºC</w:t>
      </w:r>
      <w:r>
        <w:rPr>
          <w:lang w:bidi="th-TH"/>
        </w:rPr>
        <w:t>, abdominal pain or tenderness or change in mental status.</w:t>
      </w:r>
    </w:p>
    <w:p w14:paraId="7B164A36" w14:textId="77777777" w:rsidR="00C41097" w:rsidRDefault="00C41097" w:rsidP="00C41097">
      <w:pPr>
        <w:rPr>
          <w:lang w:bidi="th-TH"/>
        </w:rPr>
      </w:pPr>
      <w:r>
        <w:rPr>
          <w:lang w:bidi="th-TH"/>
        </w:rPr>
        <w:t xml:space="preserve">As soon as the samples are obtained, if there are clinical signs of SBP, then treatment should be started. iv ceftriaxone 1 g OD or oral ciprofloxacin 500 mg BD are both appropriate empirical options. Most patients will recover with a </w:t>
      </w:r>
      <w:proofErr w:type="gramStart"/>
      <w:r>
        <w:rPr>
          <w:lang w:bidi="th-TH"/>
        </w:rPr>
        <w:t>5 day</w:t>
      </w:r>
      <w:proofErr w:type="gramEnd"/>
      <w:r>
        <w:rPr>
          <w:lang w:bidi="th-TH"/>
        </w:rPr>
        <w:t xml:space="preserve"> course of treatment.</w:t>
      </w:r>
    </w:p>
    <w:p w14:paraId="212A01B0" w14:textId="77777777" w:rsidR="00C41097" w:rsidRDefault="00C41097" w:rsidP="00C41097">
      <w:pPr>
        <w:rPr>
          <w:lang w:bidi="th-TH"/>
        </w:rPr>
      </w:pPr>
      <w:r>
        <w:rPr>
          <w:lang w:bidi="th-TH"/>
        </w:rPr>
        <w:t>If the patient is on propranolol, this should be stopped permanently.</w:t>
      </w:r>
    </w:p>
    <w:p w14:paraId="638F9161" w14:textId="77777777" w:rsidR="00C41097" w:rsidRDefault="00C41097" w:rsidP="00C41097">
      <w:pPr>
        <w:outlineLvl w:val="9"/>
        <w:rPr>
          <w:lang w:bidi="th-TH"/>
        </w:rPr>
      </w:pPr>
      <w:r>
        <w:rPr>
          <w:lang w:bidi="th-TH"/>
        </w:rPr>
        <w:t xml:space="preserve">When the patient has recovered, they should be placed on antibiotic prophylaxis. The best choice is </w:t>
      </w:r>
      <w:proofErr w:type="spellStart"/>
      <w:r>
        <w:rPr>
          <w:lang w:bidi="th-TH"/>
        </w:rPr>
        <w:t>Septrin</w:t>
      </w:r>
      <w:proofErr w:type="spellEnd"/>
      <w:r>
        <w:rPr>
          <w:lang w:bidi="th-TH"/>
        </w:rPr>
        <w:t xml:space="preserve"> 960 mg OD. Ciprofloxacin 500 mg OD is an alternative.</w:t>
      </w:r>
    </w:p>
    <w:p w14:paraId="46C576B5" w14:textId="77777777" w:rsidR="00C41097" w:rsidRDefault="00C41097">
      <w:pPr>
        <w:spacing w:after="0"/>
        <w:outlineLvl w:val="9"/>
        <w:rPr>
          <w:rStyle w:val="Heading3Char"/>
          <w:rFonts w:eastAsia="MS Mincho"/>
        </w:rPr>
      </w:pPr>
      <w:r>
        <w:rPr>
          <w:rStyle w:val="Heading3Char"/>
          <w:rFonts w:eastAsia="MS Mincho"/>
        </w:rPr>
        <w:br w:type="page"/>
      </w:r>
    </w:p>
    <w:p w14:paraId="15C92B47" w14:textId="57B7F1D6" w:rsidR="00C41097" w:rsidRPr="007F15D4" w:rsidRDefault="00C41097" w:rsidP="00C41097">
      <w:pPr>
        <w:outlineLvl w:val="9"/>
        <w:rPr>
          <w:rStyle w:val="Heading3Char"/>
          <w:rFonts w:eastAsia="MS Mincho"/>
        </w:rPr>
      </w:pPr>
      <w:r w:rsidRPr="007F15D4">
        <w:rPr>
          <w:rStyle w:val="Heading3Char"/>
          <w:rFonts w:eastAsia="MS Mincho"/>
        </w:rPr>
        <w:lastRenderedPageBreak/>
        <w:t>Hepatic encephalopathy</w:t>
      </w:r>
    </w:p>
    <w:p w14:paraId="618E11FE" w14:textId="77777777" w:rsidR="00C41097" w:rsidRDefault="00C41097" w:rsidP="00C41097">
      <w:pPr>
        <w:rPr>
          <w:lang w:bidi="th-TH"/>
        </w:rPr>
      </w:pPr>
      <w:r>
        <w:rPr>
          <w:lang w:bidi="th-TH"/>
        </w:rPr>
        <w:t>This is a common complication which can be difficult to diagnose in its subtler forms. It is graded according to the following table: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4"/>
        <w:gridCol w:w="4958"/>
      </w:tblGrid>
      <w:tr w:rsidR="00C41097" w:rsidRPr="00214E74" w14:paraId="2183DDF9" w14:textId="77777777" w:rsidTr="00792223">
        <w:tc>
          <w:tcPr>
            <w:tcW w:w="1074" w:type="dxa"/>
            <w:shd w:val="clear" w:color="auto" w:fill="auto"/>
          </w:tcPr>
          <w:p w14:paraId="225516E4" w14:textId="77777777" w:rsidR="00C41097" w:rsidRPr="00214E74" w:rsidRDefault="00C41097" w:rsidP="00792223">
            <w:pPr>
              <w:rPr>
                <w:lang w:bidi="th-TH"/>
              </w:rPr>
            </w:pPr>
            <w:r w:rsidRPr="00214E74">
              <w:rPr>
                <w:lang w:bidi="th-TH"/>
              </w:rPr>
              <w:t>Grade 1</w:t>
            </w:r>
          </w:p>
        </w:tc>
        <w:tc>
          <w:tcPr>
            <w:tcW w:w="4958" w:type="dxa"/>
            <w:shd w:val="clear" w:color="auto" w:fill="auto"/>
          </w:tcPr>
          <w:p w14:paraId="355BE599" w14:textId="77777777" w:rsidR="00C41097" w:rsidRPr="00214E74" w:rsidRDefault="00C41097" w:rsidP="00792223">
            <w:pPr>
              <w:rPr>
                <w:lang w:bidi="th-TH"/>
              </w:rPr>
            </w:pPr>
            <w:r w:rsidRPr="00214E74">
              <w:rPr>
                <w:lang w:bidi="th-TH"/>
              </w:rPr>
              <w:t xml:space="preserve">Changes in </w:t>
            </w:r>
            <w:proofErr w:type="spellStart"/>
            <w:r w:rsidRPr="00214E74">
              <w:rPr>
                <w:lang w:bidi="th-TH"/>
              </w:rPr>
              <w:t>behaviour</w:t>
            </w:r>
            <w:proofErr w:type="spellEnd"/>
            <w:r w:rsidRPr="00214E74">
              <w:rPr>
                <w:lang w:bidi="th-TH"/>
              </w:rPr>
              <w:t>, mild confusion, slurred speech, disordered sleep</w:t>
            </w:r>
          </w:p>
        </w:tc>
      </w:tr>
      <w:tr w:rsidR="00C41097" w:rsidRPr="00214E74" w14:paraId="5C9EDE22" w14:textId="77777777" w:rsidTr="00792223">
        <w:tc>
          <w:tcPr>
            <w:tcW w:w="1074" w:type="dxa"/>
            <w:shd w:val="clear" w:color="auto" w:fill="auto"/>
          </w:tcPr>
          <w:p w14:paraId="5AE7668F" w14:textId="77777777" w:rsidR="00C41097" w:rsidRPr="00214E74" w:rsidRDefault="00C41097" w:rsidP="00792223">
            <w:pPr>
              <w:rPr>
                <w:lang w:bidi="th-TH"/>
              </w:rPr>
            </w:pPr>
            <w:r w:rsidRPr="00214E74">
              <w:rPr>
                <w:lang w:bidi="th-TH"/>
              </w:rPr>
              <w:t>Grade 2</w:t>
            </w:r>
          </w:p>
        </w:tc>
        <w:tc>
          <w:tcPr>
            <w:tcW w:w="4958" w:type="dxa"/>
            <w:shd w:val="clear" w:color="auto" w:fill="auto"/>
          </w:tcPr>
          <w:p w14:paraId="7A565243" w14:textId="77777777" w:rsidR="00C41097" w:rsidRPr="00214E74" w:rsidRDefault="00C41097" w:rsidP="00792223">
            <w:pPr>
              <w:rPr>
                <w:lang w:bidi="th-TH"/>
              </w:rPr>
            </w:pPr>
            <w:r w:rsidRPr="00214E74">
              <w:rPr>
                <w:lang w:bidi="th-TH"/>
              </w:rPr>
              <w:t>Lethargy, moderate confusion</w:t>
            </w:r>
          </w:p>
        </w:tc>
      </w:tr>
      <w:tr w:rsidR="00C41097" w:rsidRPr="00214E74" w14:paraId="02537E2A" w14:textId="77777777" w:rsidTr="00792223">
        <w:tc>
          <w:tcPr>
            <w:tcW w:w="1074" w:type="dxa"/>
            <w:shd w:val="clear" w:color="auto" w:fill="auto"/>
          </w:tcPr>
          <w:p w14:paraId="55BC99B0" w14:textId="77777777" w:rsidR="00C41097" w:rsidRPr="00214E74" w:rsidRDefault="00C41097" w:rsidP="00792223">
            <w:pPr>
              <w:rPr>
                <w:lang w:bidi="th-TH"/>
              </w:rPr>
            </w:pPr>
            <w:r w:rsidRPr="00214E74">
              <w:rPr>
                <w:lang w:bidi="th-TH"/>
              </w:rPr>
              <w:t>Grade 3</w:t>
            </w:r>
          </w:p>
        </w:tc>
        <w:tc>
          <w:tcPr>
            <w:tcW w:w="4958" w:type="dxa"/>
            <w:shd w:val="clear" w:color="auto" w:fill="auto"/>
          </w:tcPr>
          <w:p w14:paraId="3F60DEE3" w14:textId="77777777" w:rsidR="00C41097" w:rsidRPr="00214E74" w:rsidRDefault="00C41097" w:rsidP="00792223">
            <w:pPr>
              <w:rPr>
                <w:lang w:bidi="th-TH"/>
              </w:rPr>
            </w:pPr>
            <w:r w:rsidRPr="00214E74">
              <w:rPr>
                <w:lang w:bidi="th-TH"/>
              </w:rPr>
              <w:t>Marked confusion, incoherent speech, sleeping but rousable</w:t>
            </w:r>
          </w:p>
        </w:tc>
      </w:tr>
      <w:tr w:rsidR="00C41097" w:rsidRPr="00214E74" w14:paraId="47042780" w14:textId="77777777" w:rsidTr="00792223">
        <w:tc>
          <w:tcPr>
            <w:tcW w:w="1074" w:type="dxa"/>
            <w:shd w:val="clear" w:color="auto" w:fill="auto"/>
          </w:tcPr>
          <w:p w14:paraId="581BC09D" w14:textId="77777777" w:rsidR="00C41097" w:rsidRPr="00214E74" w:rsidRDefault="00C41097" w:rsidP="00792223">
            <w:pPr>
              <w:rPr>
                <w:lang w:bidi="th-TH"/>
              </w:rPr>
            </w:pPr>
            <w:r w:rsidRPr="00214E74">
              <w:rPr>
                <w:lang w:bidi="th-TH"/>
              </w:rPr>
              <w:t>Grade 4</w:t>
            </w:r>
          </w:p>
        </w:tc>
        <w:tc>
          <w:tcPr>
            <w:tcW w:w="4958" w:type="dxa"/>
            <w:shd w:val="clear" w:color="auto" w:fill="auto"/>
          </w:tcPr>
          <w:p w14:paraId="3BB91916" w14:textId="77777777" w:rsidR="00C41097" w:rsidRPr="00214E74" w:rsidRDefault="00C41097" w:rsidP="00792223">
            <w:pPr>
              <w:rPr>
                <w:lang w:bidi="th-TH"/>
              </w:rPr>
            </w:pPr>
            <w:r w:rsidRPr="00214E74">
              <w:rPr>
                <w:lang w:bidi="th-TH"/>
              </w:rPr>
              <w:t>Coma</w:t>
            </w:r>
          </w:p>
        </w:tc>
      </w:tr>
    </w:tbl>
    <w:p w14:paraId="056C306C" w14:textId="77777777" w:rsidR="00C41097" w:rsidRDefault="00C41097" w:rsidP="00C41097">
      <w:pPr>
        <w:rPr>
          <w:lang w:bidi="th-TH"/>
        </w:rPr>
      </w:pPr>
    </w:p>
    <w:p w14:paraId="228A4753" w14:textId="77777777" w:rsidR="00C41097" w:rsidRDefault="00C41097" w:rsidP="00C41097">
      <w:pPr>
        <w:rPr>
          <w:lang w:bidi="th-TH"/>
        </w:rPr>
      </w:pPr>
      <w:r>
        <w:rPr>
          <w:lang w:bidi="th-TH"/>
        </w:rPr>
        <w:t>It may be precipitated by GI bleeding, infection (including SBP), low K</w:t>
      </w:r>
      <w:r w:rsidRPr="007F15D4">
        <w:rPr>
          <w:vertAlign w:val="superscript"/>
          <w:lang w:bidi="th-TH"/>
        </w:rPr>
        <w:t>+</w:t>
      </w:r>
      <w:r>
        <w:rPr>
          <w:lang w:bidi="th-TH"/>
        </w:rPr>
        <w:t xml:space="preserve">, renal failure, </w:t>
      </w:r>
      <w:proofErr w:type="spellStart"/>
      <w:r>
        <w:rPr>
          <w:lang w:bidi="th-TH"/>
        </w:rPr>
        <w:t>hypovolaemia</w:t>
      </w:r>
      <w:proofErr w:type="spellEnd"/>
      <w:r>
        <w:rPr>
          <w:lang w:bidi="th-TH"/>
        </w:rPr>
        <w:t xml:space="preserve">, hypoxia, sedatives, </w:t>
      </w:r>
      <w:proofErr w:type="spellStart"/>
      <w:r>
        <w:rPr>
          <w:lang w:bidi="th-TH"/>
        </w:rPr>
        <w:t>hypoglycaemia</w:t>
      </w:r>
      <w:proofErr w:type="spellEnd"/>
      <w:r>
        <w:rPr>
          <w:lang w:bidi="th-TH"/>
        </w:rPr>
        <w:t>, constipation.</w:t>
      </w:r>
    </w:p>
    <w:p w14:paraId="2DDEF573" w14:textId="77777777" w:rsidR="00C41097" w:rsidRDefault="00C41097" w:rsidP="00C41097">
      <w:pPr>
        <w:rPr>
          <w:lang w:bidi="th-TH"/>
        </w:rPr>
      </w:pPr>
      <w:r>
        <w:rPr>
          <w:lang w:bidi="th-TH"/>
        </w:rPr>
        <w:t>Patients should be treated with lactulose, beginning with a dose of 20 ml TDS. The dose should be increased until they pass stools at least twice each day.</w:t>
      </w:r>
    </w:p>
    <w:p w14:paraId="5D7AFC64" w14:textId="77777777" w:rsidR="00C41097" w:rsidRDefault="00C41097" w:rsidP="00C41097">
      <w:pPr>
        <w:rPr>
          <w:lang w:bidi="th-TH"/>
        </w:rPr>
      </w:pPr>
      <w:r>
        <w:rPr>
          <w:lang w:bidi="th-TH"/>
        </w:rPr>
        <w:t>Any potential triggers of encephalopathy should be corrected.</w:t>
      </w:r>
    </w:p>
    <w:p w14:paraId="52316A55" w14:textId="77777777" w:rsidR="00C41097" w:rsidRDefault="00C41097" w:rsidP="00C41097">
      <w:pPr>
        <w:pStyle w:val="Heading3"/>
        <w:rPr>
          <w:lang w:bidi="th-TH"/>
        </w:rPr>
      </w:pPr>
      <w:r>
        <w:rPr>
          <w:lang w:bidi="th-TH"/>
        </w:rPr>
        <w:t>Hepatorenal syndrome</w:t>
      </w:r>
    </w:p>
    <w:p w14:paraId="4CC92F32" w14:textId="77777777" w:rsidR="00C41097" w:rsidRDefault="00C41097" w:rsidP="00C41097">
      <w:pPr>
        <w:rPr>
          <w:lang w:bidi="th-TH"/>
        </w:rPr>
      </w:pPr>
      <w:r>
        <w:rPr>
          <w:lang w:bidi="th-TH"/>
        </w:rPr>
        <w:t>This is the cause of about 15% of cases of renal failure in chronic liver disease. It refers to renal failure arising from falling renal perfusion as a direct effect of liver dysfunction. It has a very poor prognosis and there is no treatment available for it in this setting. Other causes of renal failure must therefore be excluded or treated before this diagnosis is made.</w:t>
      </w:r>
    </w:p>
    <w:p w14:paraId="5D2475B7" w14:textId="77777777" w:rsidR="00C41097" w:rsidRDefault="00C41097" w:rsidP="00C41097">
      <w:pPr>
        <w:rPr>
          <w:lang w:bidi="th-TH"/>
        </w:rPr>
      </w:pPr>
      <w:r>
        <w:rPr>
          <w:lang w:bidi="th-TH"/>
        </w:rPr>
        <w:t xml:space="preserve">Consider alternative diagnoses of renal failure such as </w:t>
      </w:r>
      <w:proofErr w:type="spellStart"/>
      <w:r>
        <w:rPr>
          <w:lang w:bidi="th-TH"/>
        </w:rPr>
        <w:t>hypovolaemia</w:t>
      </w:r>
      <w:proofErr w:type="spellEnd"/>
      <w:r>
        <w:rPr>
          <w:lang w:bidi="th-TH"/>
        </w:rPr>
        <w:t>, sepsis, glomerulonephritis, or obstruction.</w:t>
      </w:r>
    </w:p>
    <w:p w14:paraId="5AC4E48A" w14:textId="77777777" w:rsidR="00C41097" w:rsidRDefault="00C41097" w:rsidP="00C41097">
      <w:pPr>
        <w:pStyle w:val="ListParagraph"/>
        <w:numPr>
          <w:ilvl w:val="0"/>
          <w:numId w:val="32"/>
        </w:numPr>
        <w:rPr>
          <w:lang w:bidi="th-TH"/>
        </w:rPr>
      </w:pPr>
      <w:r>
        <w:rPr>
          <w:lang w:bidi="th-TH"/>
        </w:rPr>
        <w:t>Dip the urine – if there are white cells or red cells, consider glomerulonephritis or a urinary infection with septic shock.</w:t>
      </w:r>
    </w:p>
    <w:p w14:paraId="4E807406" w14:textId="77777777" w:rsidR="00C41097" w:rsidRDefault="00C41097" w:rsidP="00C41097">
      <w:pPr>
        <w:pStyle w:val="ListParagraph"/>
        <w:numPr>
          <w:ilvl w:val="0"/>
          <w:numId w:val="32"/>
        </w:numPr>
        <w:rPr>
          <w:lang w:bidi="th-TH"/>
        </w:rPr>
      </w:pPr>
      <w:r>
        <w:rPr>
          <w:lang w:bidi="th-TH"/>
        </w:rPr>
        <w:t>Stop any diuretics.</w:t>
      </w:r>
    </w:p>
    <w:p w14:paraId="30EFE79E" w14:textId="3B1B20FA" w:rsidR="00C41097" w:rsidRDefault="00C41097" w:rsidP="00C41097">
      <w:pPr>
        <w:pStyle w:val="ListParagraph"/>
        <w:numPr>
          <w:ilvl w:val="0"/>
          <w:numId w:val="32"/>
        </w:numPr>
        <w:rPr>
          <w:lang w:bidi="th-TH"/>
        </w:rPr>
      </w:pPr>
      <w:r>
        <w:rPr>
          <w:lang w:bidi="th-TH"/>
        </w:rPr>
        <w:t xml:space="preserve">Give 1 </w:t>
      </w:r>
      <w:proofErr w:type="spellStart"/>
      <w:r>
        <w:rPr>
          <w:lang w:bidi="th-TH"/>
        </w:rPr>
        <w:t>litre</w:t>
      </w:r>
      <w:proofErr w:type="spellEnd"/>
      <w:r>
        <w:rPr>
          <w:lang w:bidi="th-TH"/>
        </w:rPr>
        <w:t xml:space="preserve"> of </w:t>
      </w:r>
      <w:r w:rsidR="004D69E9">
        <w:rPr>
          <w:lang w:bidi="th-TH"/>
        </w:rPr>
        <w:t>normal s</w:t>
      </w:r>
      <w:r>
        <w:rPr>
          <w:lang w:bidi="th-TH"/>
        </w:rPr>
        <w:t xml:space="preserve">aline over 1-2 hours and monitor urinary output and observations. If the renal failure is caused by </w:t>
      </w:r>
      <w:proofErr w:type="spellStart"/>
      <w:r>
        <w:rPr>
          <w:lang w:bidi="th-TH"/>
        </w:rPr>
        <w:t>hypovolaemia</w:t>
      </w:r>
      <w:proofErr w:type="spellEnd"/>
      <w:r>
        <w:rPr>
          <w:lang w:bidi="th-TH"/>
        </w:rPr>
        <w:t>, you should see an increase in urine output and improving observations.</w:t>
      </w:r>
    </w:p>
    <w:p w14:paraId="7E955F47" w14:textId="77777777" w:rsidR="00C41097" w:rsidRDefault="00C41097" w:rsidP="00C41097">
      <w:pPr>
        <w:pStyle w:val="ListParagraph"/>
        <w:numPr>
          <w:ilvl w:val="0"/>
          <w:numId w:val="32"/>
        </w:numPr>
        <w:rPr>
          <w:lang w:bidi="th-TH"/>
        </w:rPr>
      </w:pPr>
      <w:r>
        <w:rPr>
          <w:lang w:bidi="th-TH"/>
        </w:rPr>
        <w:t>Treat any infection.</w:t>
      </w:r>
    </w:p>
    <w:p w14:paraId="4375208D" w14:textId="77777777" w:rsidR="00C41097" w:rsidRDefault="00C41097" w:rsidP="00C41097">
      <w:pPr>
        <w:pStyle w:val="ListParagraph"/>
        <w:numPr>
          <w:ilvl w:val="0"/>
          <w:numId w:val="32"/>
        </w:numPr>
        <w:rPr>
          <w:lang w:bidi="th-TH"/>
        </w:rPr>
      </w:pPr>
      <w:r>
        <w:rPr>
          <w:lang w:bidi="th-TH"/>
        </w:rPr>
        <w:t>Arrange for a renal and bladder ultrasound to exclude obstruction.</w:t>
      </w:r>
    </w:p>
    <w:p w14:paraId="7F6EA181" w14:textId="77777777" w:rsidR="00C41097" w:rsidRPr="00EA6882" w:rsidRDefault="00C41097" w:rsidP="00C41097">
      <w:pPr>
        <w:rPr>
          <w:lang w:bidi="th-TH"/>
        </w:rPr>
      </w:pPr>
      <w:r>
        <w:rPr>
          <w:lang w:bidi="th-TH"/>
        </w:rPr>
        <w:t>Any patient who has no other diagnosis identified and who has not had an improvement in their renal function with these interventions may have hepatorenal syndrome. The diagnosis can be confirmed if the creatinine rises by 25 or more within 48 hours or if there is a 50% rise from baseline within 7 days. The treatment is supportive. A small number will recover if they can be supported until their liver function improves.</w:t>
      </w:r>
    </w:p>
    <w:p w14:paraId="5236BB5D" w14:textId="77777777" w:rsidR="00C41097" w:rsidRDefault="00C41097" w:rsidP="00C41097">
      <w:pPr>
        <w:pStyle w:val="Heading3"/>
        <w:spacing w:after="120"/>
        <w:rPr>
          <w:lang w:bidi="th-TH"/>
        </w:rPr>
      </w:pPr>
      <w:r>
        <w:rPr>
          <w:lang w:bidi="th-TH"/>
        </w:rPr>
        <w:t>Hepatopulmonary syndrome</w:t>
      </w:r>
    </w:p>
    <w:p w14:paraId="18BEAF09" w14:textId="77777777" w:rsidR="00C41097" w:rsidRDefault="00C41097" w:rsidP="00C41097">
      <w:pPr>
        <w:rPr>
          <w:lang w:bidi="th-TH"/>
        </w:rPr>
      </w:pPr>
      <w:r>
        <w:rPr>
          <w:lang w:bidi="th-TH"/>
        </w:rPr>
        <w:t xml:space="preserve">Diagnosed when a patient with CLD becomes hypoxic and is found to have a hyperdynamic circulation. They may become hypoxic only on sitting upright. </w:t>
      </w:r>
    </w:p>
    <w:p w14:paraId="664DB459" w14:textId="77777777" w:rsidR="00C41097" w:rsidRDefault="00C41097" w:rsidP="00C41097">
      <w:pPr>
        <w:rPr>
          <w:b/>
        </w:rPr>
      </w:pPr>
      <w:r>
        <w:rPr>
          <w:lang w:bidi="th-TH"/>
        </w:rPr>
        <w:t>Treat with oxygen and exclude other causes of hypoxia. There is no specific treatment and the prognosis is very poor.</w:t>
      </w:r>
    </w:p>
    <w:p w14:paraId="4E0CB07E" w14:textId="77777777" w:rsidR="00C41097" w:rsidRDefault="00C41097" w:rsidP="00C41097">
      <w:pPr>
        <w:pStyle w:val="Heading3"/>
        <w:spacing w:after="120"/>
        <w:rPr>
          <w:lang w:bidi="th-TH"/>
        </w:rPr>
      </w:pPr>
      <w:r w:rsidRPr="008B3690">
        <w:rPr>
          <w:lang w:bidi="th-TH"/>
        </w:rPr>
        <w:lastRenderedPageBreak/>
        <w:t>Ascites</w:t>
      </w:r>
    </w:p>
    <w:p w14:paraId="57DBBCC5" w14:textId="77777777" w:rsidR="00C41097" w:rsidRDefault="00C41097" w:rsidP="00C41097">
      <w:pPr>
        <w:rPr>
          <w:lang w:bidi="th-TH"/>
        </w:rPr>
      </w:pPr>
      <w:r>
        <w:rPr>
          <w:lang w:bidi="th-TH"/>
        </w:rPr>
        <w:t xml:space="preserve">Ascites is a very common complication of chronic liver disease. It is usually diagnosed clinically and confirmed by abdominal ultrasound. </w:t>
      </w:r>
    </w:p>
    <w:p w14:paraId="23E5BA18" w14:textId="77777777" w:rsidR="00C41097" w:rsidRDefault="00C41097" w:rsidP="00C41097">
      <w:pPr>
        <w:rPr>
          <w:lang w:bidi="th-TH"/>
        </w:rPr>
      </w:pPr>
      <w:r>
        <w:rPr>
          <w:lang w:bidi="th-TH"/>
        </w:rPr>
        <w:t>All CLD patients presenting with ascites should have an immediate ascitic tap with samples sent for albumin, cell count and culture.</w:t>
      </w:r>
    </w:p>
    <w:p w14:paraId="3F20ED1B" w14:textId="77777777" w:rsidR="00C41097" w:rsidRDefault="00C41097" w:rsidP="00C41097">
      <w:pPr>
        <w:rPr>
          <w:lang w:bidi="th-TH"/>
        </w:rPr>
      </w:pPr>
      <w:r>
        <w:rPr>
          <w:lang w:bidi="th-TH"/>
        </w:rPr>
        <w:t>Calculate the serum ascites albumin gradient (SAAG):</w:t>
      </w:r>
    </w:p>
    <w:p w14:paraId="6D34FC19" w14:textId="77777777" w:rsidR="00C41097" w:rsidRDefault="00C41097" w:rsidP="00C41097">
      <w:pPr>
        <w:ind w:firstLine="720"/>
        <w:rPr>
          <w:lang w:bidi="th-TH"/>
        </w:rPr>
      </w:pPr>
      <w:r>
        <w:rPr>
          <w:lang w:bidi="th-TH"/>
        </w:rPr>
        <w:t>SAAG = serum albumin – ascites albumin</w:t>
      </w:r>
    </w:p>
    <w:p w14:paraId="24B83C60" w14:textId="77777777" w:rsidR="00C41097" w:rsidRDefault="00C41097" w:rsidP="00C41097">
      <w:pPr>
        <w:rPr>
          <w:lang w:bidi="th-TH"/>
        </w:rPr>
      </w:pPr>
      <w:r>
        <w:rPr>
          <w:lang w:bidi="th-TH"/>
        </w:rPr>
        <w:t xml:space="preserve">If SAAG is greater than 11, the ascites is caused by portal hypertension – usually because of liver </w:t>
      </w:r>
      <w:proofErr w:type="gramStart"/>
      <w:r>
        <w:rPr>
          <w:lang w:bidi="th-TH"/>
        </w:rPr>
        <w:t>disease, but</w:t>
      </w:r>
      <w:proofErr w:type="gramEnd"/>
      <w:r>
        <w:rPr>
          <w:lang w:bidi="th-TH"/>
        </w:rPr>
        <w:t xml:space="preserve"> could be due to heart failure or Budd-Chiari syndrome. If SAAG is less than 11, an alternative diagnosis must be sought.</w:t>
      </w:r>
    </w:p>
    <w:p w14:paraId="4AF0FAED" w14:textId="77777777" w:rsidR="00C41097" w:rsidRDefault="00C41097" w:rsidP="00C41097">
      <w:pPr>
        <w:rPr>
          <w:lang w:bidi="th-TH"/>
        </w:rPr>
      </w:pPr>
      <w:r>
        <w:rPr>
          <w:lang w:bidi="th-TH"/>
        </w:rPr>
        <w:t>If the cell count shows &gt; 250 granulocytes/mm</w:t>
      </w:r>
      <w:r w:rsidRPr="004D69E9">
        <w:rPr>
          <w:vertAlign w:val="superscript"/>
          <w:lang w:bidi="th-TH"/>
        </w:rPr>
        <w:t>3</w:t>
      </w:r>
      <w:r>
        <w:rPr>
          <w:lang w:bidi="th-TH"/>
        </w:rPr>
        <w:t>, then the patient has SBP and should be treated accordingly.</w:t>
      </w:r>
    </w:p>
    <w:p w14:paraId="19D73DF3" w14:textId="77777777" w:rsidR="00C41097" w:rsidRDefault="00C41097" w:rsidP="00C41097">
      <w:pPr>
        <w:rPr>
          <w:lang w:bidi="th-TH"/>
        </w:rPr>
      </w:pPr>
      <w:r>
        <w:rPr>
          <w:lang w:bidi="th-TH"/>
        </w:rPr>
        <w:t xml:space="preserve">Ascites that is due to portal hypertension in the context of CLD should be treated with salt restriction and diuretics. Start with 40 mg furosemide OD and 100 mg spironolactone OD. If there is no response after 3-5 days, the doses can be increased in the same ratio up to a maximum of 160 mg furosemide and 400 mg spironolactone. A patient with ascites and </w:t>
      </w:r>
      <w:proofErr w:type="spellStart"/>
      <w:r>
        <w:rPr>
          <w:lang w:bidi="th-TH"/>
        </w:rPr>
        <w:t>oedema</w:t>
      </w:r>
      <w:proofErr w:type="spellEnd"/>
      <w:r>
        <w:rPr>
          <w:lang w:bidi="th-TH"/>
        </w:rPr>
        <w:t xml:space="preserve"> may lose up to 2 kg/day whilst a patient with only ascites typically loses no more than 0.75 kg/day.</w:t>
      </w:r>
    </w:p>
    <w:p w14:paraId="717063AC" w14:textId="77777777" w:rsidR="00C41097" w:rsidRDefault="00C41097" w:rsidP="00C41097">
      <w:pPr>
        <w:rPr>
          <w:lang w:bidi="th-TH"/>
        </w:rPr>
      </w:pPr>
      <w:r>
        <w:rPr>
          <w:lang w:bidi="th-TH"/>
        </w:rPr>
        <w:t xml:space="preserve">If the ascites is tense or the ascites needs to be removed more quickly, large volume paracentesis can be undertaken. Up to 5 </w:t>
      </w:r>
      <w:proofErr w:type="spellStart"/>
      <w:r>
        <w:rPr>
          <w:lang w:bidi="th-TH"/>
        </w:rPr>
        <w:t>litres</w:t>
      </w:r>
      <w:proofErr w:type="spellEnd"/>
      <w:r>
        <w:rPr>
          <w:lang w:bidi="th-TH"/>
        </w:rPr>
        <w:t xml:space="preserve"> can be removed each day without replacement with albumin or other fluids.</w:t>
      </w:r>
    </w:p>
    <w:p w14:paraId="7FACB9DD" w14:textId="77777777" w:rsidR="00C41097" w:rsidRPr="007F15D4" w:rsidRDefault="00C41097" w:rsidP="00C41097">
      <w:pPr>
        <w:rPr>
          <w:b/>
          <w:i/>
        </w:rPr>
      </w:pPr>
      <w:r w:rsidRPr="007F15D4">
        <w:rPr>
          <w:b/>
          <w:i/>
          <w:lang w:bidi="th-TH"/>
        </w:rPr>
        <w:t>Patients who develop ascites should not continue treatment with propranolol or an ACE inhibitor.</w:t>
      </w:r>
    </w:p>
    <w:p w14:paraId="20634135" w14:textId="77777777" w:rsidR="00C41097" w:rsidRDefault="00C41097" w:rsidP="00C41097">
      <w:pPr>
        <w:pStyle w:val="Heading3"/>
        <w:spacing w:after="120"/>
        <w:rPr>
          <w:lang w:bidi="th-TH"/>
        </w:rPr>
      </w:pPr>
      <w:r w:rsidRPr="008B3690">
        <w:rPr>
          <w:lang w:bidi="th-TH"/>
        </w:rPr>
        <w:t>Hepatocellular carcinoma</w:t>
      </w:r>
    </w:p>
    <w:p w14:paraId="1AC953B7" w14:textId="77777777" w:rsidR="00C41097" w:rsidRDefault="00C41097" w:rsidP="00C41097">
      <w:pPr>
        <w:rPr>
          <w:lang w:bidi="th-TH"/>
        </w:rPr>
      </w:pPr>
      <w:r>
        <w:rPr>
          <w:lang w:bidi="th-TH"/>
        </w:rPr>
        <w:t xml:space="preserve">In our setting, many patients do not present with CLD until they already have a large hepatocellular carcinoma. There is little that can be done to treat them apart from symptom control. </w:t>
      </w:r>
    </w:p>
    <w:p w14:paraId="389D5591" w14:textId="77777777" w:rsidR="00C41097" w:rsidRDefault="00C41097" w:rsidP="00C41097">
      <w:pPr>
        <w:rPr>
          <w:lang w:bidi="th-TH"/>
        </w:rPr>
      </w:pPr>
      <w:r>
        <w:rPr>
          <w:lang w:bidi="th-TH"/>
        </w:rPr>
        <w:t xml:space="preserve">Patients with CLD who present with a sudden deterioration in liver function may have developed </w:t>
      </w:r>
      <w:proofErr w:type="gramStart"/>
      <w:r>
        <w:rPr>
          <w:lang w:bidi="th-TH"/>
        </w:rPr>
        <w:t>a</w:t>
      </w:r>
      <w:proofErr w:type="gramEnd"/>
      <w:r>
        <w:rPr>
          <w:lang w:bidi="th-TH"/>
        </w:rPr>
        <w:t xml:space="preserve"> HCC and should be sent for ultrasound. If a new HCC is present, they should be referred to the liver clinic for assessment once they have recovered from their acute decompensation.</w:t>
      </w:r>
    </w:p>
    <w:p w14:paraId="06E87D76" w14:textId="77777777" w:rsidR="00C41097" w:rsidRPr="00FB4E35" w:rsidRDefault="00C41097" w:rsidP="00C41097">
      <w:pPr>
        <w:rPr>
          <w:b/>
        </w:rPr>
      </w:pPr>
      <w:r>
        <w:rPr>
          <w:lang w:bidi="th-TH"/>
        </w:rPr>
        <w:t xml:space="preserve">Patients should be treated with analgesia according to the WHO analgesic ladder if they are in pain. Paracetamol is safe in this setting. NSAIDs should be used with </w:t>
      </w:r>
      <w:proofErr w:type="gramStart"/>
      <w:r>
        <w:rPr>
          <w:lang w:bidi="th-TH"/>
        </w:rPr>
        <w:t>caution, but</w:t>
      </w:r>
      <w:proofErr w:type="gramEnd"/>
      <w:r>
        <w:rPr>
          <w:lang w:bidi="th-TH"/>
        </w:rPr>
        <w:t xml:space="preserve"> are the most effective option for pain due to stretching of the liver capsule. Codeine and morphine may trigger hepatic </w:t>
      </w:r>
      <w:proofErr w:type="gramStart"/>
      <w:r>
        <w:rPr>
          <w:lang w:bidi="th-TH"/>
        </w:rPr>
        <w:t>encephalopathy, but</w:t>
      </w:r>
      <w:proofErr w:type="gramEnd"/>
      <w:r>
        <w:rPr>
          <w:lang w:bidi="th-TH"/>
        </w:rPr>
        <w:t xml:space="preserve"> should be used if the patient’s pain is severe and unresponsive to other options.</w:t>
      </w:r>
    </w:p>
    <w:p w14:paraId="4C30E398" w14:textId="77777777" w:rsidR="00C41097" w:rsidRDefault="00C41097">
      <w:pPr>
        <w:spacing w:after="0"/>
        <w:outlineLvl w:val="9"/>
        <w:rPr>
          <w:b/>
          <w:sz w:val="24"/>
          <w:szCs w:val="22"/>
        </w:rPr>
      </w:pPr>
      <w:r>
        <w:rPr>
          <w:szCs w:val="22"/>
        </w:rPr>
        <w:br w:type="page"/>
      </w:r>
    </w:p>
    <w:p w14:paraId="2021CCEB" w14:textId="2067E109" w:rsidR="00C41097" w:rsidRPr="00DC590C" w:rsidRDefault="00C41097" w:rsidP="00C41097">
      <w:pPr>
        <w:pStyle w:val="Heading2"/>
        <w:rPr>
          <w:rFonts w:cs="Arial"/>
          <w:szCs w:val="22"/>
        </w:rPr>
      </w:pPr>
      <w:r w:rsidRPr="00DC590C">
        <w:rPr>
          <w:rFonts w:cs="Arial"/>
          <w:szCs w:val="22"/>
        </w:rPr>
        <w:lastRenderedPageBreak/>
        <w:t>Key Issues for Nursing care</w:t>
      </w:r>
    </w:p>
    <w:p w14:paraId="4BBF1DED" w14:textId="77777777" w:rsidR="00C41097" w:rsidRPr="00C20C25" w:rsidRDefault="00C41097" w:rsidP="00C41097">
      <w:pPr>
        <w:pStyle w:val="ListParagraph"/>
        <w:numPr>
          <w:ilvl w:val="0"/>
          <w:numId w:val="33"/>
        </w:numPr>
      </w:pPr>
      <w:r w:rsidRPr="00C20C25">
        <w:t>Refer all patients with suspected liver disease or complications to a doctor.</w:t>
      </w:r>
    </w:p>
    <w:p w14:paraId="7DEBDCAB" w14:textId="77777777" w:rsidR="00C41097" w:rsidRDefault="00C41097" w:rsidP="00C41097">
      <w:pPr>
        <w:pStyle w:val="ListParagraph"/>
        <w:numPr>
          <w:ilvl w:val="0"/>
          <w:numId w:val="33"/>
        </w:numPr>
        <w:rPr>
          <w:b/>
        </w:rPr>
      </w:pPr>
      <w:r>
        <w:t>Assess need for pain control.</w:t>
      </w:r>
    </w:p>
    <w:p w14:paraId="5C7D8893" w14:textId="77777777" w:rsidR="00C41097" w:rsidRDefault="00C41097" w:rsidP="00C41097">
      <w:pPr>
        <w:pStyle w:val="ListParagraph"/>
        <w:numPr>
          <w:ilvl w:val="0"/>
          <w:numId w:val="33"/>
        </w:numPr>
      </w:pPr>
      <w:r>
        <w:t>Check on frequency of bowel movements and if less than or greater than two stools / day advise doctor to adjust lactulose dose accordingly.</w:t>
      </w:r>
    </w:p>
    <w:p w14:paraId="56ED645D" w14:textId="77777777" w:rsidR="00C41097" w:rsidRDefault="00C41097" w:rsidP="00C41097">
      <w:pPr>
        <w:pStyle w:val="ListParagraph"/>
        <w:numPr>
          <w:ilvl w:val="0"/>
          <w:numId w:val="33"/>
        </w:numPr>
      </w:pPr>
      <w:r>
        <w:t>Ask patient if they have melaena stools.</w:t>
      </w:r>
    </w:p>
    <w:p w14:paraId="6C303260" w14:textId="77777777" w:rsidR="00C41097" w:rsidRDefault="00C41097" w:rsidP="00C41097">
      <w:pPr>
        <w:pStyle w:val="ListParagraph"/>
        <w:numPr>
          <w:ilvl w:val="0"/>
          <w:numId w:val="33"/>
        </w:numPr>
      </w:pPr>
      <w:r>
        <w:t xml:space="preserve">Document presence of confusion and or changes in </w:t>
      </w:r>
      <w:proofErr w:type="spellStart"/>
      <w:r>
        <w:t>behaviour</w:t>
      </w:r>
      <w:proofErr w:type="spellEnd"/>
      <w:r>
        <w:t xml:space="preserve"> which may be signs of evolving hepatic encephalopathy.</w:t>
      </w:r>
    </w:p>
    <w:p w14:paraId="100990FA" w14:textId="77777777" w:rsidR="00C41097" w:rsidRDefault="00C41097" w:rsidP="00C41097">
      <w:pPr>
        <w:pStyle w:val="ListParagraph"/>
        <w:numPr>
          <w:ilvl w:val="0"/>
          <w:numId w:val="33"/>
        </w:numPr>
      </w:pPr>
      <w:r>
        <w:t>Order a low salt diet in patients with ascites.</w:t>
      </w:r>
    </w:p>
    <w:p w14:paraId="5A0B8349" w14:textId="77777777" w:rsidR="00C41097" w:rsidRDefault="00C41097" w:rsidP="00C41097">
      <w:pPr>
        <w:pStyle w:val="ListParagraph"/>
        <w:numPr>
          <w:ilvl w:val="0"/>
          <w:numId w:val="33"/>
        </w:numPr>
      </w:pPr>
      <w:r>
        <w:t xml:space="preserve">Ensure adequate nutrition (with </w:t>
      </w:r>
      <w:proofErr w:type="spellStart"/>
      <w:r>
        <w:t>epap</w:t>
      </w:r>
      <w:proofErr w:type="spellEnd"/>
      <w:r>
        <w:t xml:space="preserve"> supplements if necessary) for all patients with liver disease. </w:t>
      </w:r>
    </w:p>
    <w:p w14:paraId="06B877C4" w14:textId="77777777" w:rsidR="00C41097" w:rsidRPr="00DC590C" w:rsidRDefault="00C41097" w:rsidP="00C41097">
      <w:pPr>
        <w:pStyle w:val="Heading2"/>
        <w:rPr>
          <w:rFonts w:cs="Arial"/>
          <w:szCs w:val="22"/>
        </w:rPr>
      </w:pPr>
      <w:r w:rsidRPr="00DC590C">
        <w:rPr>
          <w:rFonts w:cs="Arial"/>
          <w:szCs w:val="22"/>
        </w:rPr>
        <w:t>References</w:t>
      </w:r>
    </w:p>
    <w:p w14:paraId="6DD7516C" w14:textId="77777777" w:rsidR="00C41097" w:rsidRPr="00FB4E35" w:rsidRDefault="00C41097" w:rsidP="00C41097">
      <w:pPr>
        <w:rPr>
          <w:sz w:val="20"/>
          <w:szCs w:val="20"/>
        </w:rPr>
      </w:pPr>
      <w:r w:rsidRPr="00FB4E35">
        <w:rPr>
          <w:sz w:val="20"/>
          <w:szCs w:val="20"/>
        </w:rPr>
        <w:t>Goldberg and Chopra 2017. Cirrhosis in adults: Overview of complications, general management, and prognosis. UpToDate Mar 2017.</w:t>
      </w:r>
    </w:p>
    <w:p w14:paraId="785B976A" w14:textId="77777777" w:rsidR="00C41097" w:rsidRPr="00FB4E35" w:rsidRDefault="00C41097" w:rsidP="00C41097">
      <w:pPr>
        <w:rPr>
          <w:sz w:val="20"/>
          <w:szCs w:val="20"/>
        </w:rPr>
      </w:pPr>
      <w:proofErr w:type="spellStart"/>
      <w:r w:rsidRPr="00FB4E35">
        <w:rPr>
          <w:sz w:val="20"/>
          <w:szCs w:val="20"/>
        </w:rPr>
        <w:t>Sanyal</w:t>
      </w:r>
      <w:proofErr w:type="spellEnd"/>
      <w:r w:rsidRPr="00FB4E35">
        <w:rPr>
          <w:sz w:val="20"/>
          <w:szCs w:val="20"/>
        </w:rPr>
        <w:t xml:space="preserve"> 2017. General principles of the management of variceal </w:t>
      </w:r>
      <w:proofErr w:type="spellStart"/>
      <w:r w:rsidRPr="00FB4E35">
        <w:rPr>
          <w:sz w:val="20"/>
          <w:szCs w:val="20"/>
        </w:rPr>
        <w:t>haemorrhage</w:t>
      </w:r>
      <w:proofErr w:type="spellEnd"/>
      <w:r w:rsidRPr="00FB4E35">
        <w:rPr>
          <w:sz w:val="20"/>
          <w:szCs w:val="20"/>
        </w:rPr>
        <w:t>. UpToDate Feb 2017</w:t>
      </w:r>
    </w:p>
    <w:p w14:paraId="6CCCAF06" w14:textId="77777777" w:rsidR="00C41097" w:rsidRPr="00FB4E35" w:rsidRDefault="00C41097" w:rsidP="00C41097">
      <w:pPr>
        <w:rPr>
          <w:sz w:val="20"/>
          <w:szCs w:val="20"/>
        </w:rPr>
      </w:pPr>
      <w:r w:rsidRPr="00FB4E35">
        <w:rPr>
          <w:sz w:val="20"/>
          <w:szCs w:val="20"/>
        </w:rPr>
        <w:t>Runyon 2015. Spontaneous bacterial peritonitis in adults: Diagnosis. UpToDate Aug 2015.</w:t>
      </w:r>
    </w:p>
    <w:p w14:paraId="03635A37" w14:textId="77777777" w:rsidR="00C41097" w:rsidRPr="00FB4E35" w:rsidRDefault="00C41097" w:rsidP="00C41097">
      <w:pPr>
        <w:rPr>
          <w:sz w:val="20"/>
          <w:szCs w:val="20"/>
        </w:rPr>
      </w:pPr>
      <w:r w:rsidRPr="00FB4E35">
        <w:rPr>
          <w:sz w:val="20"/>
          <w:szCs w:val="20"/>
        </w:rPr>
        <w:t>Runyon 2016. Spontaneous bacterial peritonitis in adults: Treatment and prophylaxis. UpToDate Jan 2016.</w:t>
      </w:r>
    </w:p>
    <w:p w14:paraId="1588AC27" w14:textId="77777777" w:rsidR="00C41097" w:rsidRPr="00FB4E35" w:rsidRDefault="00C41097" w:rsidP="00C41097">
      <w:pPr>
        <w:rPr>
          <w:sz w:val="20"/>
          <w:szCs w:val="20"/>
        </w:rPr>
      </w:pPr>
      <w:proofErr w:type="spellStart"/>
      <w:r w:rsidRPr="00FB4E35">
        <w:rPr>
          <w:sz w:val="20"/>
          <w:szCs w:val="20"/>
        </w:rPr>
        <w:t>Ferenci</w:t>
      </w:r>
      <w:proofErr w:type="spellEnd"/>
      <w:r w:rsidRPr="00FB4E35">
        <w:rPr>
          <w:sz w:val="20"/>
          <w:szCs w:val="20"/>
        </w:rPr>
        <w:t xml:space="preserve"> 2015. Hepatic encephalopathy in adults: Clinical manifestations and diagnosis. Sept 2015.</w:t>
      </w:r>
    </w:p>
    <w:p w14:paraId="3741022D" w14:textId="77777777" w:rsidR="00C41097" w:rsidRPr="00FB4E35" w:rsidRDefault="00C41097" w:rsidP="00C41097">
      <w:pPr>
        <w:rPr>
          <w:sz w:val="20"/>
          <w:szCs w:val="20"/>
        </w:rPr>
      </w:pPr>
      <w:proofErr w:type="spellStart"/>
      <w:r w:rsidRPr="00FB4E35">
        <w:rPr>
          <w:sz w:val="20"/>
          <w:szCs w:val="20"/>
        </w:rPr>
        <w:t>Fenerci</w:t>
      </w:r>
      <w:proofErr w:type="spellEnd"/>
      <w:r w:rsidRPr="00FB4E35">
        <w:rPr>
          <w:sz w:val="20"/>
          <w:szCs w:val="20"/>
        </w:rPr>
        <w:t xml:space="preserve"> 2017. Hepatic encephalopathy in adults: Treatment. Aug 2017.</w:t>
      </w:r>
    </w:p>
    <w:p w14:paraId="53FD400E" w14:textId="77777777" w:rsidR="00C41097" w:rsidRPr="00FB4E35" w:rsidRDefault="00C41097" w:rsidP="00C41097">
      <w:pPr>
        <w:rPr>
          <w:sz w:val="20"/>
          <w:szCs w:val="20"/>
        </w:rPr>
      </w:pPr>
      <w:r w:rsidRPr="00FB4E35">
        <w:rPr>
          <w:sz w:val="20"/>
          <w:szCs w:val="20"/>
        </w:rPr>
        <w:t>Runyon 2016. Hepatorenal syndrome. UpToDate June 2016.</w:t>
      </w:r>
    </w:p>
    <w:p w14:paraId="358F2C68" w14:textId="77777777" w:rsidR="00C41097" w:rsidRPr="00FB4E35" w:rsidRDefault="00C41097" w:rsidP="00C41097">
      <w:pPr>
        <w:rPr>
          <w:sz w:val="20"/>
          <w:szCs w:val="20"/>
        </w:rPr>
      </w:pPr>
      <w:r w:rsidRPr="00FB4E35">
        <w:rPr>
          <w:sz w:val="20"/>
          <w:szCs w:val="20"/>
        </w:rPr>
        <w:t>Goldberg and Chopra 2016. Hepatopulmonary syndrome in adults: Prevalence, causes, clinical manifestations, and diagnosis. Dec 2016.</w:t>
      </w:r>
    </w:p>
    <w:p w14:paraId="50A76B05" w14:textId="77777777" w:rsidR="00C41097" w:rsidRPr="00FB4E35" w:rsidRDefault="00C41097" w:rsidP="00C41097">
      <w:pPr>
        <w:rPr>
          <w:sz w:val="20"/>
          <w:szCs w:val="20"/>
        </w:rPr>
      </w:pPr>
      <w:r w:rsidRPr="00FB4E35">
        <w:rPr>
          <w:sz w:val="20"/>
          <w:szCs w:val="20"/>
        </w:rPr>
        <w:t>Such and Runyon 2017. Ascites in adults with cirrhosis: Initial therapy. June 2017.</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9"/>
        <w:gridCol w:w="3622"/>
        <w:gridCol w:w="2869"/>
      </w:tblGrid>
      <w:tr w:rsidR="00C41097" w:rsidRPr="00515546" w14:paraId="4BA9698E" w14:textId="77777777" w:rsidTr="00792223">
        <w:trPr>
          <w:trHeight w:val="20"/>
        </w:trPr>
        <w:tc>
          <w:tcPr>
            <w:tcW w:w="2139" w:type="dxa"/>
            <w:shd w:val="clear" w:color="auto" w:fill="auto"/>
            <w:vAlign w:val="bottom"/>
          </w:tcPr>
          <w:p w14:paraId="41C18578" w14:textId="77777777" w:rsidR="00C41097" w:rsidRPr="00515546" w:rsidRDefault="00C41097" w:rsidP="00792223">
            <w:pPr>
              <w:spacing w:after="0"/>
              <w:rPr>
                <w:b/>
                <w:szCs w:val="22"/>
              </w:rPr>
            </w:pPr>
            <w:r w:rsidRPr="00515546">
              <w:rPr>
                <w:b/>
                <w:szCs w:val="22"/>
              </w:rPr>
              <w:t>Written by:</w:t>
            </w:r>
          </w:p>
        </w:tc>
        <w:tc>
          <w:tcPr>
            <w:tcW w:w="3622" w:type="dxa"/>
            <w:shd w:val="clear" w:color="auto" w:fill="auto"/>
            <w:vAlign w:val="bottom"/>
          </w:tcPr>
          <w:p w14:paraId="382A2097" w14:textId="77777777" w:rsidR="00C41097" w:rsidRPr="00515546" w:rsidRDefault="00C41097" w:rsidP="00792223">
            <w:pPr>
              <w:spacing w:after="0"/>
              <w:rPr>
                <w:szCs w:val="22"/>
              </w:rPr>
            </w:pPr>
            <w:r w:rsidRPr="00515546">
              <w:rPr>
                <w:szCs w:val="22"/>
              </w:rPr>
              <w:t xml:space="preserve">Name: </w:t>
            </w:r>
            <w:r>
              <w:rPr>
                <w:szCs w:val="22"/>
              </w:rPr>
              <w:t>Amie Secka</w:t>
            </w:r>
          </w:p>
        </w:tc>
        <w:tc>
          <w:tcPr>
            <w:tcW w:w="2869" w:type="dxa"/>
            <w:shd w:val="clear" w:color="auto" w:fill="auto"/>
            <w:vAlign w:val="bottom"/>
          </w:tcPr>
          <w:p w14:paraId="43310C15" w14:textId="4D7927D3" w:rsidR="00C41097" w:rsidRPr="00515546" w:rsidRDefault="00C41097" w:rsidP="00792223">
            <w:pPr>
              <w:spacing w:after="0"/>
              <w:rPr>
                <w:szCs w:val="22"/>
              </w:rPr>
            </w:pPr>
            <w:r w:rsidRPr="00515546">
              <w:rPr>
                <w:szCs w:val="22"/>
              </w:rPr>
              <w:t xml:space="preserve">Date: </w:t>
            </w:r>
            <w:r>
              <w:rPr>
                <w:szCs w:val="22"/>
              </w:rPr>
              <w:t>6 June 2018</w:t>
            </w:r>
          </w:p>
        </w:tc>
      </w:tr>
      <w:tr w:rsidR="00C41097" w:rsidRPr="00515546" w14:paraId="52836D09" w14:textId="77777777" w:rsidTr="00792223">
        <w:trPr>
          <w:trHeight w:val="20"/>
        </w:trPr>
        <w:tc>
          <w:tcPr>
            <w:tcW w:w="2139" w:type="dxa"/>
            <w:shd w:val="clear" w:color="auto" w:fill="auto"/>
            <w:vAlign w:val="bottom"/>
          </w:tcPr>
          <w:p w14:paraId="3D4343F4" w14:textId="77777777" w:rsidR="00C41097" w:rsidRPr="00515546" w:rsidRDefault="00C41097" w:rsidP="00792223">
            <w:pPr>
              <w:spacing w:after="0"/>
              <w:rPr>
                <w:b/>
                <w:szCs w:val="22"/>
              </w:rPr>
            </w:pPr>
            <w:r w:rsidRPr="00515546">
              <w:rPr>
                <w:b/>
                <w:szCs w:val="22"/>
              </w:rPr>
              <w:t>Reviewed by:</w:t>
            </w:r>
          </w:p>
        </w:tc>
        <w:tc>
          <w:tcPr>
            <w:tcW w:w="3622" w:type="dxa"/>
            <w:shd w:val="clear" w:color="auto" w:fill="auto"/>
            <w:vAlign w:val="bottom"/>
          </w:tcPr>
          <w:p w14:paraId="5892B989" w14:textId="77777777" w:rsidR="00C41097" w:rsidRPr="00515546" w:rsidRDefault="00C41097" w:rsidP="00792223">
            <w:pPr>
              <w:spacing w:after="0"/>
              <w:rPr>
                <w:szCs w:val="22"/>
              </w:rPr>
            </w:pPr>
            <w:r w:rsidRPr="00515546">
              <w:rPr>
                <w:szCs w:val="22"/>
              </w:rPr>
              <w:t xml:space="preserve">Name: </w:t>
            </w:r>
            <w:r>
              <w:rPr>
                <w:szCs w:val="22"/>
              </w:rPr>
              <w:t>Karen Forrest</w:t>
            </w:r>
          </w:p>
        </w:tc>
        <w:tc>
          <w:tcPr>
            <w:tcW w:w="2869" w:type="dxa"/>
            <w:shd w:val="clear" w:color="auto" w:fill="auto"/>
            <w:vAlign w:val="bottom"/>
          </w:tcPr>
          <w:p w14:paraId="0FE4AB11" w14:textId="019FAE33" w:rsidR="00C41097" w:rsidRPr="00515546" w:rsidRDefault="00C41097" w:rsidP="00792223">
            <w:pPr>
              <w:spacing w:after="0"/>
              <w:rPr>
                <w:szCs w:val="22"/>
              </w:rPr>
            </w:pPr>
            <w:r w:rsidRPr="00515546">
              <w:rPr>
                <w:szCs w:val="22"/>
              </w:rPr>
              <w:t xml:space="preserve">Date: </w:t>
            </w:r>
            <w:r>
              <w:rPr>
                <w:szCs w:val="22"/>
              </w:rPr>
              <w:t>14 June 2018</w:t>
            </w:r>
          </w:p>
        </w:tc>
      </w:tr>
      <w:tr w:rsidR="00C41097" w:rsidRPr="00515546" w14:paraId="21AB4CE3" w14:textId="77777777" w:rsidTr="00792223">
        <w:trPr>
          <w:trHeight w:val="20"/>
        </w:trPr>
        <w:tc>
          <w:tcPr>
            <w:tcW w:w="2139" w:type="dxa"/>
            <w:shd w:val="clear" w:color="auto" w:fill="auto"/>
            <w:vAlign w:val="bottom"/>
          </w:tcPr>
          <w:p w14:paraId="16FAE583" w14:textId="77777777" w:rsidR="00C41097" w:rsidRPr="00515546" w:rsidRDefault="00C41097" w:rsidP="00792223">
            <w:pPr>
              <w:spacing w:after="0"/>
              <w:rPr>
                <w:szCs w:val="22"/>
              </w:rPr>
            </w:pPr>
            <w:r w:rsidRPr="00515546">
              <w:rPr>
                <w:b/>
                <w:szCs w:val="22"/>
              </w:rPr>
              <w:t>Version:</w:t>
            </w:r>
          </w:p>
        </w:tc>
        <w:tc>
          <w:tcPr>
            <w:tcW w:w="3622" w:type="dxa"/>
            <w:shd w:val="clear" w:color="auto" w:fill="auto"/>
            <w:vAlign w:val="bottom"/>
          </w:tcPr>
          <w:p w14:paraId="32439401" w14:textId="77777777" w:rsidR="00C41097" w:rsidRPr="00515546" w:rsidRDefault="00C41097" w:rsidP="00792223">
            <w:pPr>
              <w:spacing w:after="0"/>
              <w:rPr>
                <w:szCs w:val="22"/>
              </w:rPr>
            </w:pPr>
            <w:r w:rsidRPr="00515546">
              <w:rPr>
                <w:b/>
                <w:szCs w:val="22"/>
              </w:rPr>
              <w:t>Change history:</w:t>
            </w:r>
          </w:p>
        </w:tc>
        <w:tc>
          <w:tcPr>
            <w:tcW w:w="2869" w:type="dxa"/>
            <w:shd w:val="clear" w:color="auto" w:fill="auto"/>
            <w:vAlign w:val="bottom"/>
          </w:tcPr>
          <w:p w14:paraId="6591B3CB" w14:textId="77777777" w:rsidR="00C41097" w:rsidRPr="00515546" w:rsidRDefault="00C41097" w:rsidP="00792223">
            <w:pPr>
              <w:spacing w:after="0"/>
              <w:rPr>
                <w:b/>
                <w:szCs w:val="22"/>
              </w:rPr>
            </w:pPr>
            <w:r w:rsidRPr="00515546">
              <w:rPr>
                <w:b/>
                <w:szCs w:val="22"/>
              </w:rPr>
              <w:t>Review due date:</w:t>
            </w:r>
          </w:p>
        </w:tc>
      </w:tr>
      <w:tr w:rsidR="00C41097" w:rsidRPr="00515546" w14:paraId="11418CA3" w14:textId="77777777" w:rsidTr="00792223">
        <w:trPr>
          <w:trHeight w:val="20"/>
        </w:trPr>
        <w:tc>
          <w:tcPr>
            <w:tcW w:w="2139" w:type="dxa"/>
            <w:shd w:val="clear" w:color="auto" w:fill="auto"/>
            <w:vAlign w:val="bottom"/>
          </w:tcPr>
          <w:p w14:paraId="43B167A6" w14:textId="77777777" w:rsidR="00C41097" w:rsidRPr="00515546" w:rsidRDefault="00C41097" w:rsidP="00792223">
            <w:pPr>
              <w:spacing w:after="0"/>
              <w:rPr>
                <w:szCs w:val="22"/>
              </w:rPr>
            </w:pPr>
            <w:r w:rsidRPr="00515546">
              <w:rPr>
                <w:szCs w:val="22"/>
              </w:rPr>
              <w:t>1.0</w:t>
            </w:r>
          </w:p>
        </w:tc>
        <w:tc>
          <w:tcPr>
            <w:tcW w:w="3622" w:type="dxa"/>
            <w:shd w:val="clear" w:color="auto" w:fill="auto"/>
            <w:vAlign w:val="bottom"/>
          </w:tcPr>
          <w:p w14:paraId="07E21437" w14:textId="77777777" w:rsidR="00C41097" w:rsidRPr="00515546" w:rsidRDefault="00C41097" w:rsidP="00792223">
            <w:pPr>
              <w:spacing w:after="0"/>
              <w:rPr>
                <w:szCs w:val="22"/>
              </w:rPr>
            </w:pPr>
            <w:r w:rsidRPr="00515546">
              <w:rPr>
                <w:szCs w:val="22"/>
              </w:rPr>
              <w:t>New document</w:t>
            </w:r>
          </w:p>
        </w:tc>
        <w:tc>
          <w:tcPr>
            <w:tcW w:w="2869" w:type="dxa"/>
            <w:shd w:val="clear" w:color="auto" w:fill="auto"/>
            <w:vAlign w:val="bottom"/>
          </w:tcPr>
          <w:p w14:paraId="072E2B58" w14:textId="77777777" w:rsidR="00C41097" w:rsidRPr="00515546" w:rsidRDefault="00C41097" w:rsidP="00792223">
            <w:pPr>
              <w:spacing w:after="0"/>
              <w:rPr>
                <w:szCs w:val="22"/>
              </w:rPr>
            </w:pPr>
          </w:p>
        </w:tc>
      </w:tr>
      <w:tr w:rsidR="00C41097" w:rsidRPr="00515546" w14:paraId="4EFE15F3" w14:textId="77777777" w:rsidTr="00792223">
        <w:trPr>
          <w:trHeight w:val="20"/>
        </w:trPr>
        <w:tc>
          <w:tcPr>
            <w:tcW w:w="2139" w:type="dxa"/>
            <w:shd w:val="clear" w:color="auto" w:fill="auto"/>
            <w:vAlign w:val="bottom"/>
          </w:tcPr>
          <w:p w14:paraId="1ABD0F80" w14:textId="77777777" w:rsidR="00C41097" w:rsidRPr="00515546" w:rsidRDefault="00C41097" w:rsidP="00792223">
            <w:pPr>
              <w:spacing w:after="0"/>
              <w:rPr>
                <w:szCs w:val="22"/>
              </w:rPr>
            </w:pPr>
            <w:r>
              <w:rPr>
                <w:szCs w:val="22"/>
              </w:rPr>
              <w:t>2.0</w:t>
            </w:r>
          </w:p>
        </w:tc>
        <w:tc>
          <w:tcPr>
            <w:tcW w:w="3622" w:type="dxa"/>
            <w:shd w:val="clear" w:color="auto" w:fill="auto"/>
            <w:vAlign w:val="bottom"/>
          </w:tcPr>
          <w:p w14:paraId="62086383" w14:textId="77777777" w:rsidR="00C41097" w:rsidRPr="00515546" w:rsidRDefault="00C41097" w:rsidP="00792223">
            <w:pPr>
              <w:spacing w:after="0"/>
              <w:rPr>
                <w:szCs w:val="22"/>
              </w:rPr>
            </w:pPr>
            <w:r>
              <w:rPr>
                <w:szCs w:val="22"/>
              </w:rPr>
              <w:t>Adapted from previous guideline on CLD and format updated.</w:t>
            </w:r>
          </w:p>
        </w:tc>
        <w:tc>
          <w:tcPr>
            <w:tcW w:w="2869" w:type="dxa"/>
            <w:shd w:val="clear" w:color="auto" w:fill="auto"/>
            <w:vAlign w:val="bottom"/>
          </w:tcPr>
          <w:p w14:paraId="76DE7366" w14:textId="340D4C68" w:rsidR="00C41097" w:rsidRPr="00515546" w:rsidRDefault="00C41097" w:rsidP="00792223">
            <w:pPr>
              <w:spacing w:after="0"/>
              <w:rPr>
                <w:szCs w:val="22"/>
              </w:rPr>
            </w:pPr>
            <w:r>
              <w:rPr>
                <w:szCs w:val="22"/>
              </w:rPr>
              <w:t xml:space="preserve">31 </w:t>
            </w:r>
            <w:r w:rsidR="007233DC">
              <w:rPr>
                <w:szCs w:val="22"/>
              </w:rPr>
              <w:t>July</w:t>
            </w:r>
            <w:r>
              <w:rPr>
                <w:szCs w:val="22"/>
              </w:rPr>
              <w:t xml:space="preserve"> 2020</w:t>
            </w:r>
          </w:p>
        </w:tc>
      </w:tr>
      <w:tr w:rsidR="00811EB7" w:rsidRPr="00515546" w14:paraId="464F648C" w14:textId="77777777" w:rsidTr="00792223">
        <w:trPr>
          <w:trHeight w:val="20"/>
        </w:trPr>
        <w:tc>
          <w:tcPr>
            <w:tcW w:w="2139" w:type="dxa"/>
            <w:shd w:val="clear" w:color="auto" w:fill="auto"/>
            <w:vAlign w:val="bottom"/>
          </w:tcPr>
          <w:p w14:paraId="13CBC245" w14:textId="56F88919" w:rsidR="00811EB7" w:rsidRDefault="00811EB7" w:rsidP="00792223">
            <w:pPr>
              <w:spacing w:after="0"/>
              <w:rPr>
                <w:szCs w:val="22"/>
              </w:rPr>
            </w:pPr>
            <w:r>
              <w:rPr>
                <w:szCs w:val="22"/>
              </w:rPr>
              <w:t>2.1</w:t>
            </w:r>
          </w:p>
        </w:tc>
        <w:tc>
          <w:tcPr>
            <w:tcW w:w="3622" w:type="dxa"/>
            <w:shd w:val="clear" w:color="auto" w:fill="auto"/>
            <w:vAlign w:val="bottom"/>
          </w:tcPr>
          <w:p w14:paraId="0AE88D16" w14:textId="0D8EE975" w:rsidR="00811EB7" w:rsidRDefault="00811EB7" w:rsidP="00792223">
            <w:pPr>
              <w:spacing w:after="0"/>
              <w:rPr>
                <w:szCs w:val="22"/>
              </w:rPr>
            </w:pPr>
            <w:r>
              <w:rPr>
                <w:szCs w:val="22"/>
              </w:rPr>
              <w:t>Executive summary added</w:t>
            </w:r>
          </w:p>
        </w:tc>
        <w:tc>
          <w:tcPr>
            <w:tcW w:w="2869" w:type="dxa"/>
            <w:shd w:val="clear" w:color="auto" w:fill="auto"/>
            <w:vAlign w:val="bottom"/>
          </w:tcPr>
          <w:p w14:paraId="16794B6D" w14:textId="717FDF77" w:rsidR="00811EB7" w:rsidRDefault="00811EB7" w:rsidP="00792223">
            <w:pPr>
              <w:spacing w:after="0"/>
              <w:rPr>
                <w:szCs w:val="22"/>
              </w:rPr>
            </w:pPr>
            <w:r>
              <w:rPr>
                <w:szCs w:val="22"/>
              </w:rPr>
              <w:t>31 July 2020</w:t>
            </w:r>
          </w:p>
        </w:tc>
      </w:tr>
      <w:tr w:rsidR="00C41097" w:rsidRPr="00515546" w14:paraId="2A9662D4" w14:textId="77777777" w:rsidTr="00792223">
        <w:trPr>
          <w:trHeight w:val="20"/>
        </w:trPr>
        <w:tc>
          <w:tcPr>
            <w:tcW w:w="2139" w:type="dxa"/>
            <w:shd w:val="clear" w:color="auto" w:fill="auto"/>
            <w:vAlign w:val="bottom"/>
          </w:tcPr>
          <w:p w14:paraId="049CFBE6" w14:textId="77777777" w:rsidR="00C41097" w:rsidRPr="00515546" w:rsidRDefault="00C41097" w:rsidP="00792223">
            <w:pPr>
              <w:spacing w:after="0"/>
              <w:rPr>
                <w:szCs w:val="22"/>
              </w:rPr>
            </w:pPr>
            <w:r w:rsidRPr="00515546">
              <w:rPr>
                <w:szCs w:val="22"/>
              </w:rPr>
              <w:t>Review Comments (</w:t>
            </w:r>
            <w:r w:rsidRPr="00515546">
              <w:rPr>
                <w:i/>
                <w:szCs w:val="22"/>
              </w:rPr>
              <w:t>if applicable)</w:t>
            </w:r>
          </w:p>
        </w:tc>
        <w:tc>
          <w:tcPr>
            <w:tcW w:w="3622" w:type="dxa"/>
            <w:shd w:val="clear" w:color="auto" w:fill="auto"/>
            <w:vAlign w:val="bottom"/>
          </w:tcPr>
          <w:p w14:paraId="15785A42" w14:textId="77777777" w:rsidR="00C41097" w:rsidRPr="00515546" w:rsidRDefault="00C41097" w:rsidP="00792223">
            <w:pPr>
              <w:spacing w:after="0"/>
              <w:rPr>
                <w:szCs w:val="22"/>
              </w:rPr>
            </w:pPr>
          </w:p>
        </w:tc>
        <w:tc>
          <w:tcPr>
            <w:tcW w:w="2869" w:type="dxa"/>
            <w:shd w:val="clear" w:color="auto" w:fill="auto"/>
            <w:vAlign w:val="bottom"/>
          </w:tcPr>
          <w:p w14:paraId="452B5631" w14:textId="77777777" w:rsidR="00C41097" w:rsidRPr="00515546" w:rsidRDefault="00C41097" w:rsidP="00792223">
            <w:pPr>
              <w:spacing w:after="0"/>
              <w:rPr>
                <w:b/>
                <w:szCs w:val="22"/>
              </w:rPr>
            </w:pPr>
          </w:p>
        </w:tc>
      </w:tr>
    </w:tbl>
    <w:p w14:paraId="665A2E5D" w14:textId="77777777" w:rsidR="00C41097" w:rsidRPr="00CC3CF5" w:rsidRDefault="00C41097" w:rsidP="00C41097">
      <w:pPr>
        <w:rPr>
          <w:szCs w:val="22"/>
        </w:rPr>
      </w:pPr>
    </w:p>
    <w:p w14:paraId="098147B4" w14:textId="77777777" w:rsidR="00975A60" w:rsidRPr="00C41097" w:rsidRDefault="00975A60" w:rsidP="00C41097"/>
    <w:sectPr w:rsidR="00975A60" w:rsidRPr="00C41097" w:rsidSect="00D13825">
      <w:headerReference w:type="default" r:id="rId7"/>
      <w:footerReference w:type="even" r:id="rId8"/>
      <w:footerReference w:type="default" r:id="rId9"/>
      <w:headerReference w:type="first" r:id="rId10"/>
      <w:footerReference w:type="first" r:id="rId11"/>
      <w:pgSz w:w="12240" w:h="15840"/>
      <w:pgMar w:top="1440" w:right="1800" w:bottom="1440" w:left="1800" w:header="720" w:footer="720" w:gutter="0"/>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ACDDAA" w14:textId="77777777" w:rsidR="00C41097" w:rsidRDefault="00C41097" w:rsidP="00975A60">
      <w:pPr>
        <w:spacing w:after="0"/>
      </w:pPr>
      <w:r>
        <w:separator/>
      </w:r>
    </w:p>
  </w:endnote>
  <w:endnote w:type="continuationSeparator" w:id="0">
    <w:p w14:paraId="5E77FD6A" w14:textId="77777777" w:rsidR="00C41097" w:rsidRDefault="00C41097" w:rsidP="00975A6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Grande">
    <w:altName w:val="Arial"/>
    <w:charset w:val="00"/>
    <w:family w:val="swiss"/>
    <w:pitch w:val="variable"/>
    <w:sig w:usb0="E1000AEF" w:usb1="5000A1FF" w:usb2="00000000" w:usb3="00000000" w:csb0="000001BF" w:csb1="00000000"/>
  </w:font>
  <w:font w:name="Angsana New">
    <w:panose1 w:val="02020603050405020304"/>
    <w:charset w:val="DE"/>
    <w:family w:val="roman"/>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536517" w14:textId="77777777" w:rsidR="005D1877" w:rsidRDefault="005D1877" w:rsidP="00975A6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959FA20" w14:textId="77777777" w:rsidR="005D1877" w:rsidRDefault="005D18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714D9D" w14:textId="77777777" w:rsidR="005D1877" w:rsidRPr="003A02A5" w:rsidRDefault="005D1877" w:rsidP="00975A60">
    <w:pPr>
      <w:pStyle w:val="Footer"/>
      <w:jc w:val="center"/>
    </w:pPr>
    <w:r w:rsidRPr="003A02A5">
      <w:rPr>
        <w:rStyle w:val="PageNumber"/>
      </w:rPr>
      <w:t xml:space="preserve">Page </w:t>
    </w:r>
    <w:r w:rsidRPr="003A02A5">
      <w:rPr>
        <w:rStyle w:val="PageNumber"/>
      </w:rPr>
      <w:fldChar w:fldCharType="begin"/>
    </w:r>
    <w:r w:rsidRPr="003A02A5">
      <w:rPr>
        <w:rStyle w:val="PageNumber"/>
      </w:rPr>
      <w:instrText xml:space="preserve"> PAGE </w:instrText>
    </w:r>
    <w:r w:rsidRPr="003A02A5">
      <w:rPr>
        <w:rStyle w:val="PageNumber"/>
      </w:rPr>
      <w:fldChar w:fldCharType="separate"/>
    </w:r>
    <w:r w:rsidR="00C67021">
      <w:rPr>
        <w:rStyle w:val="PageNumber"/>
        <w:noProof/>
      </w:rPr>
      <w:t>1</w:t>
    </w:r>
    <w:r w:rsidRPr="003A02A5">
      <w:rPr>
        <w:rStyle w:val="PageNumber"/>
      </w:rPr>
      <w:fldChar w:fldCharType="end"/>
    </w:r>
    <w:r w:rsidRPr="003A02A5">
      <w:rPr>
        <w:rStyle w:val="PageNumber"/>
      </w:rPr>
      <w:t xml:space="preserve"> of </w:t>
    </w:r>
    <w:r w:rsidRPr="003A02A5">
      <w:rPr>
        <w:rStyle w:val="PageNumber"/>
      </w:rPr>
      <w:fldChar w:fldCharType="begin"/>
    </w:r>
    <w:r w:rsidRPr="003A02A5">
      <w:rPr>
        <w:rStyle w:val="PageNumber"/>
      </w:rPr>
      <w:instrText xml:space="preserve"> NUMPAGES </w:instrText>
    </w:r>
    <w:r w:rsidRPr="003A02A5">
      <w:rPr>
        <w:rStyle w:val="PageNumber"/>
      </w:rPr>
      <w:fldChar w:fldCharType="separate"/>
    </w:r>
    <w:r w:rsidR="00C67021">
      <w:rPr>
        <w:rStyle w:val="PageNumber"/>
        <w:noProof/>
      </w:rPr>
      <w:t>1</w:t>
    </w:r>
    <w:r w:rsidRPr="003A02A5">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33AA21" w14:textId="77777777" w:rsidR="00D13825" w:rsidRDefault="00D13825" w:rsidP="00D13825">
    <w:pPr>
      <w:pStyle w:val="Footer"/>
      <w:jc w:val="center"/>
    </w:pPr>
    <w:r w:rsidRPr="003A02A5">
      <w:rPr>
        <w:rStyle w:val="PageNumber"/>
      </w:rPr>
      <w:t xml:space="preserve">Page </w:t>
    </w:r>
    <w:r w:rsidRPr="003A02A5">
      <w:rPr>
        <w:rStyle w:val="PageNumber"/>
      </w:rPr>
      <w:fldChar w:fldCharType="begin"/>
    </w:r>
    <w:r w:rsidRPr="003A02A5">
      <w:rPr>
        <w:rStyle w:val="PageNumber"/>
      </w:rPr>
      <w:instrText xml:space="preserve"> PAGE </w:instrText>
    </w:r>
    <w:r w:rsidRPr="003A02A5">
      <w:rPr>
        <w:rStyle w:val="PageNumber"/>
      </w:rPr>
      <w:fldChar w:fldCharType="separate"/>
    </w:r>
    <w:r>
      <w:rPr>
        <w:rStyle w:val="PageNumber"/>
      </w:rPr>
      <w:t>2</w:t>
    </w:r>
    <w:r w:rsidRPr="003A02A5">
      <w:rPr>
        <w:rStyle w:val="PageNumber"/>
      </w:rPr>
      <w:fldChar w:fldCharType="end"/>
    </w:r>
    <w:r w:rsidRPr="003A02A5">
      <w:rPr>
        <w:rStyle w:val="PageNumber"/>
      </w:rPr>
      <w:t xml:space="preserve"> of </w:t>
    </w:r>
    <w:r w:rsidRPr="003A02A5">
      <w:rPr>
        <w:rStyle w:val="PageNumber"/>
      </w:rPr>
      <w:fldChar w:fldCharType="begin"/>
    </w:r>
    <w:r w:rsidRPr="003A02A5">
      <w:rPr>
        <w:rStyle w:val="PageNumber"/>
      </w:rPr>
      <w:instrText xml:space="preserve"> NUMPAGES </w:instrText>
    </w:r>
    <w:r w:rsidRPr="003A02A5">
      <w:rPr>
        <w:rStyle w:val="PageNumber"/>
      </w:rPr>
      <w:fldChar w:fldCharType="separate"/>
    </w:r>
    <w:r>
      <w:rPr>
        <w:rStyle w:val="PageNumber"/>
      </w:rPr>
      <w:t>2</w:t>
    </w:r>
    <w:r w:rsidRPr="003A02A5">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A86895" w14:textId="77777777" w:rsidR="00C41097" w:rsidRDefault="00C41097" w:rsidP="00975A60">
      <w:pPr>
        <w:spacing w:after="0"/>
      </w:pPr>
      <w:r>
        <w:separator/>
      </w:r>
    </w:p>
  </w:footnote>
  <w:footnote w:type="continuationSeparator" w:id="0">
    <w:p w14:paraId="161F2E7C" w14:textId="77777777" w:rsidR="00C41097" w:rsidRDefault="00C41097" w:rsidP="00975A6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38410E" w14:textId="77777777" w:rsidR="00C41097" w:rsidRPr="00C41097" w:rsidRDefault="00C41097" w:rsidP="00C41097">
    <w:pPr>
      <w:pStyle w:val="Header"/>
      <w:rPr>
        <w:i/>
      </w:rPr>
    </w:pPr>
    <w:r w:rsidRPr="00F87812">
      <w:t xml:space="preserve">Identification </w:t>
    </w:r>
    <w:r w:rsidRPr="00C41097">
      <w:rPr>
        <w:i/>
      </w:rPr>
      <w:t>code</w:t>
    </w:r>
    <w:r w:rsidRPr="00F87812">
      <w:t>: MeG-CLS-</w:t>
    </w:r>
    <w:r>
      <w:t>031</w:t>
    </w:r>
    <w:r w:rsidRPr="00C41097">
      <w:rPr>
        <w:i/>
      </w:rPr>
      <w:tab/>
    </w:r>
  </w:p>
  <w:p w14:paraId="5D248F66" w14:textId="50CDAB3E" w:rsidR="00C41097" w:rsidRPr="00C41097" w:rsidRDefault="00C41097" w:rsidP="00C41097">
    <w:pPr>
      <w:pStyle w:val="Header"/>
    </w:pPr>
    <w:r w:rsidRPr="00C41097">
      <w:t>Version: 2.</w:t>
    </w:r>
    <w:r w:rsidR="00811EB7">
      <w:t>1</w:t>
    </w:r>
    <w:r w:rsidRPr="00C41097">
      <w:t xml:space="preserve"> – 31 </w:t>
    </w:r>
    <w:r w:rsidR="007233DC">
      <w:t>July</w:t>
    </w:r>
    <w:r w:rsidRPr="00C41097">
      <w:t xml:space="preserve"> 2018</w:t>
    </w:r>
  </w:p>
  <w:p w14:paraId="7807F3B6" w14:textId="0DB141DC" w:rsidR="005D1877" w:rsidRPr="00C41097" w:rsidRDefault="005D1877" w:rsidP="00C4109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28A476" w14:textId="77777777" w:rsidR="00D13825" w:rsidRDefault="00D13825" w:rsidP="00D13825">
    <w:pPr>
      <w:pStyle w:val="Header"/>
      <w:ind w:firstLine="2880"/>
      <w:rPr>
        <w:rFonts w:cs="Arial"/>
        <w:b/>
      </w:rPr>
    </w:pPr>
    <w:r>
      <w:rPr>
        <w:rFonts w:cs="Arial"/>
        <w:b/>
        <w:noProof/>
      </w:rPr>
      <w:drawing>
        <wp:anchor distT="0" distB="0" distL="114300" distR="114300" simplePos="0" relativeHeight="251660288" behindDoc="1" locked="0" layoutInCell="1" allowOverlap="1" wp14:anchorId="6AFF5F8E" wp14:editId="6201B834">
          <wp:simplePos x="0" y="0"/>
          <wp:positionH relativeFrom="margin">
            <wp:posOffset>-247650</wp:posOffset>
          </wp:positionH>
          <wp:positionV relativeFrom="paragraph">
            <wp:posOffset>-295275</wp:posOffset>
          </wp:positionV>
          <wp:extent cx="2253812" cy="8953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RC Logo 2018.jpg"/>
                  <pic:cNvPicPr/>
                </pic:nvPicPr>
                <pic:blipFill>
                  <a:blip r:embed="rId1">
                    <a:extLst>
                      <a:ext uri="{28A0092B-C50C-407E-A947-70E740481C1C}">
                        <a14:useLocalDpi xmlns:a14="http://schemas.microsoft.com/office/drawing/2010/main" val="0"/>
                      </a:ext>
                    </a:extLst>
                  </a:blip>
                  <a:stretch>
                    <a:fillRect/>
                  </a:stretch>
                </pic:blipFill>
                <pic:spPr>
                  <a:xfrm>
                    <a:off x="0" y="0"/>
                    <a:ext cx="2253812" cy="895350"/>
                  </a:xfrm>
                  <a:prstGeom prst="rect">
                    <a:avLst/>
                  </a:prstGeom>
                </pic:spPr>
              </pic:pic>
            </a:graphicData>
          </a:graphic>
          <wp14:sizeRelH relativeFrom="page">
            <wp14:pctWidth>0</wp14:pctWidth>
          </wp14:sizeRelH>
          <wp14:sizeRelV relativeFrom="page">
            <wp14:pctHeight>0</wp14:pctHeight>
          </wp14:sizeRelV>
        </wp:anchor>
      </w:drawing>
    </w:r>
  </w:p>
  <w:p w14:paraId="6D3A3D13" w14:textId="77777777" w:rsidR="00D13825" w:rsidRDefault="00D13825" w:rsidP="00D13825">
    <w:pPr>
      <w:pStyle w:val="Header"/>
      <w:ind w:firstLine="2880"/>
      <w:rPr>
        <w:rFonts w:cs="Arial"/>
        <w:b/>
      </w:rPr>
    </w:pPr>
    <w:r w:rsidRPr="003C0800">
      <w:rPr>
        <w:rFonts w:cs="Arial"/>
        <w:b/>
      </w:rPr>
      <w:t>MRC</w:t>
    </w:r>
    <w:r>
      <w:rPr>
        <w:rFonts w:cs="Arial"/>
        <w:b/>
      </w:rPr>
      <w:t>G@LSHTM</w:t>
    </w:r>
    <w:r w:rsidRPr="003C0800">
      <w:rPr>
        <w:rFonts w:cs="Arial"/>
        <w:b/>
      </w:rPr>
      <w:t xml:space="preserve"> Clinical Guideline</w:t>
    </w:r>
  </w:p>
  <w:p w14:paraId="6E45E5A1" w14:textId="77777777" w:rsidR="00D13825" w:rsidRPr="003C0800" w:rsidRDefault="00D13825" w:rsidP="00D13825">
    <w:pPr>
      <w:pStyle w:val="Header"/>
      <w:ind w:firstLine="2880"/>
      <w:rPr>
        <w:rFonts w:cs="Arial"/>
        <w:b/>
      </w:rPr>
    </w:pPr>
  </w:p>
  <w:p w14:paraId="0A8748B4" w14:textId="37427029" w:rsidR="00D13825" w:rsidRPr="00C41097" w:rsidRDefault="00D13825" w:rsidP="00D13825">
    <w:pPr>
      <w:pStyle w:val="Header"/>
      <w:rPr>
        <w:i/>
      </w:rPr>
    </w:pPr>
    <w:r w:rsidRPr="00F87812">
      <w:t xml:space="preserve">Identification </w:t>
    </w:r>
    <w:r w:rsidRPr="00C41097">
      <w:rPr>
        <w:i/>
      </w:rPr>
      <w:t>code</w:t>
    </w:r>
    <w:r w:rsidRPr="00F87812">
      <w:t>: MeG-CLS-</w:t>
    </w:r>
    <w:r w:rsidR="00C41097">
      <w:t>031</w:t>
    </w:r>
    <w:r w:rsidRPr="00C41097">
      <w:rPr>
        <w:i/>
      </w:rPr>
      <w:tab/>
    </w:r>
  </w:p>
  <w:p w14:paraId="02FCD492" w14:textId="514EF91F" w:rsidR="00D13825" w:rsidRPr="00C41097" w:rsidRDefault="00D13825" w:rsidP="00D13825">
    <w:pPr>
      <w:pStyle w:val="Header"/>
    </w:pPr>
    <w:r w:rsidRPr="00C41097">
      <w:t xml:space="preserve">Version: </w:t>
    </w:r>
    <w:r w:rsidR="00C41097" w:rsidRPr="00C41097">
      <w:t>2.</w:t>
    </w:r>
    <w:r w:rsidR="00C576D2">
      <w:t>1</w:t>
    </w:r>
    <w:r w:rsidR="00C41097" w:rsidRPr="00C41097">
      <w:t xml:space="preserve"> – 31 </w:t>
    </w:r>
    <w:r w:rsidR="007233DC">
      <w:t>July</w:t>
    </w:r>
    <w:r w:rsidR="00C41097" w:rsidRPr="00C41097">
      <w:t xml:space="preserve"> 2018</w:t>
    </w:r>
  </w:p>
  <w:p w14:paraId="38739AD7" w14:textId="77777777" w:rsidR="00D13825" w:rsidRPr="00C41097" w:rsidRDefault="00D13825">
    <w:pPr>
      <w:pStyle w:val="Header"/>
      <w:rPr>
        <w: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2ACFA80"/>
    <w:lvl w:ilvl="0">
      <w:start w:val="1"/>
      <w:numFmt w:val="decimal"/>
      <w:lvlText w:val="%1."/>
      <w:lvlJc w:val="left"/>
      <w:pPr>
        <w:tabs>
          <w:tab w:val="num" w:pos="1492"/>
        </w:tabs>
        <w:ind w:left="1492" w:hanging="360"/>
      </w:pPr>
    </w:lvl>
  </w:abstractNum>
  <w:abstractNum w:abstractNumId="1" w15:restartNumberingAfterBreak="0">
    <w:nsid w:val="FFFFFF7F"/>
    <w:multiLevelType w:val="singleLevel"/>
    <w:tmpl w:val="AB08EA54"/>
    <w:lvl w:ilvl="0">
      <w:start w:val="1"/>
      <w:numFmt w:val="decimal"/>
      <w:lvlText w:val="%1."/>
      <w:lvlJc w:val="left"/>
      <w:pPr>
        <w:tabs>
          <w:tab w:val="num" w:pos="643"/>
        </w:tabs>
        <w:ind w:left="643" w:hanging="360"/>
      </w:pPr>
    </w:lvl>
  </w:abstractNum>
  <w:abstractNum w:abstractNumId="2" w15:restartNumberingAfterBreak="0">
    <w:nsid w:val="00353087"/>
    <w:multiLevelType w:val="hybridMultilevel"/>
    <w:tmpl w:val="B6AED0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348090B"/>
    <w:multiLevelType w:val="hybridMultilevel"/>
    <w:tmpl w:val="3C24C0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7A212AA"/>
    <w:multiLevelType w:val="hybridMultilevel"/>
    <w:tmpl w:val="F9B2D6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0F52731"/>
    <w:multiLevelType w:val="hybridMultilevel"/>
    <w:tmpl w:val="7B2A7396"/>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1C1A49E6"/>
    <w:multiLevelType w:val="hybridMultilevel"/>
    <w:tmpl w:val="68D8C6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7FC211F"/>
    <w:multiLevelType w:val="hybridMultilevel"/>
    <w:tmpl w:val="A73ACE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DC94276"/>
    <w:multiLevelType w:val="hybridMultilevel"/>
    <w:tmpl w:val="CFD495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FF63667"/>
    <w:multiLevelType w:val="hybridMultilevel"/>
    <w:tmpl w:val="875A16E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672022B"/>
    <w:multiLevelType w:val="hybridMultilevel"/>
    <w:tmpl w:val="D56E83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79D33DE"/>
    <w:multiLevelType w:val="hybridMultilevel"/>
    <w:tmpl w:val="029A49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80E3816"/>
    <w:multiLevelType w:val="hybridMultilevel"/>
    <w:tmpl w:val="DFBE2E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9022F25"/>
    <w:multiLevelType w:val="hybridMultilevel"/>
    <w:tmpl w:val="CA9409F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3B8B0916"/>
    <w:multiLevelType w:val="hybridMultilevel"/>
    <w:tmpl w:val="9A7AE5D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BA144FF"/>
    <w:multiLevelType w:val="hybridMultilevel"/>
    <w:tmpl w:val="407E87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514630D"/>
    <w:multiLevelType w:val="hybridMultilevel"/>
    <w:tmpl w:val="753863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7537FE5"/>
    <w:multiLevelType w:val="hybridMultilevel"/>
    <w:tmpl w:val="ABC2AB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8871E75"/>
    <w:multiLevelType w:val="hybridMultilevel"/>
    <w:tmpl w:val="6B1C6E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894278C"/>
    <w:multiLevelType w:val="hybridMultilevel"/>
    <w:tmpl w:val="B31009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99B0CF2"/>
    <w:multiLevelType w:val="hybridMultilevel"/>
    <w:tmpl w:val="ADDE943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ABC4387"/>
    <w:multiLevelType w:val="hybridMultilevel"/>
    <w:tmpl w:val="4CCE0D82"/>
    <w:lvl w:ilvl="0" w:tplc="08090001">
      <w:start w:val="1"/>
      <w:numFmt w:val="bullet"/>
      <w:lvlText w:val=""/>
      <w:lvlJc w:val="left"/>
      <w:pPr>
        <w:ind w:left="720" w:hanging="360"/>
      </w:pPr>
      <w:rPr>
        <w:rFonts w:ascii="Symbol" w:hAnsi="Symbol" w:hint="default"/>
      </w:rPr>
    </w:lvl>
    <w:lvl w:ilvl="1" w:tplc="91DE9384">
      <w:start w:val="1"/>
      <w:numFmt w:val="bullet"/>
      <w:lvlText w:val="o"/>
      <w:lvlJc w:val="left"/>
      <w:pPr>
        <w:ind w:left="1353"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1F13405"/>
    <w:multiLevelType w:val="hybridMultilevel"/>
    <w:tmpl w:val="C4C66C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46662A1"/>
    <w:multiLevelType w:val="hybridMultilevel"/>
    <w:tmpl w:val="EE6C47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4764D9C"/>
    <w:multiLevelType w:val="hybridMultilevel"/>
    <w:tmpl w:val="5764F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5360F1F"/>
    <w:multiLevelType w:val="hybridMultilevel"/>
    <w:tmpl w:val="70B08C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5605712"/>
    <w:multiLevelType w:val="hybridMultilevel"/>
    <w:tmpl w:val="1DD251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5FF43D4"/>
    <w:multiLevelType w:val="hybridMultilevel"/>
    <w:tmpl w:val="79B48CEA"/>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8" w15:restartNumberingAfterBreak="0">
    <w:nsid w:val="66983098"/>
    <w:multiLevelType w:val="hybridMultilevel"/>
    <w:tmpl w:val="C550139E"/>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9" w15:restartNumberingAfterBreak="0">
    <w:nsid w:val="6A481F9F"/>
    <w:multiLevelType w:val="hybridMultilevel"/>
    <w:tmpl w:val="A53EE9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F0A20B6"/>
    <w:multiLevelType w:val="hybridMultilevel"/>
    <w:tmpl w:val="2F3A4A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28402B0"/>
    <w:multiLevelType w:val="hybridMultilevel"/>
    <w:tmpl w:val="84A663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31B11AD"/>
    <w:multiLevelType w:val="hybridMultilevel"/>
    <w:tmpl w:val="B6A8FC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ACA7371"/>
    <w:multiLevelType w:val="hybridMultilevel"/>
    <w:tmpl w:val="FCD88E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D4C1FBA"/>
    <w:multiLevelType w:val="hybridMultilevel"/>
    <w:tmpl w:val="B992AC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D5B5495"/>
    <w:multiLevelType w:val="hybridMultilevel"/>
    <w:tmpl w:val="2A7891F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EF9585B"/>
    <w:multiLevelType w:val="hybridMultilevel"/>
    <w:tmpl w:val="C01EB1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9"/>
  </w:num>
  <w:num w:numId="2">
    <w:abstractNumId w:val="25"/>
  </w:num>
  <w:num w:numId="3">
    <w:abstractNumId w:val="14"/>
  </w:num>
  <w:num w:numId="4">
    <w:abstractNumId w:val="1"/>
  </w:num>
  <w:num w:numId="5">
    <w:abstractNumId w:val="0"/>
  </w:num>
  <w:num w:numId="6">
    <w:abstractNumId w:val="5"/>
  </w:num>
  <w:num w:numId="7">
    <w:abstractNumId w:val="21"/>
  </w:num>
  <w:num w:numId="8">
    <w:abstractNumId w:val="2"/>
  </w:num>
  <w:num w:numId="9">
    <w:abstractNumId w:val="35"/>
  </w:num>
  <w:num w:numId="10">
    <w:abstractNumId w:val="4"/>
  </w:num>
  <w:num w:numId="11">
    <w:abstractNumId w:val="15"/>
  </w:num>
  <w:num w:numId="12">
    <w:abstractNumId w:val="24"/>
  </w:num>
  <w:num w:numId="13">
    <w:abstractNumId w:val="30"/>
  </w:num>
  <w:num w:numId="14">
    <w:abstractNumId w:val="27"/>
  </w:num>
  <w:num w:numId="15">
    <w:abstractNumId w:val="33"/>
  </w:num>
  <w:num w:numId="16">
    <w:abstractNumId w:val="16"/>
  </w:num>
  <w:num w:numId="17">
    <w:abstractNumId w:val="9"/>
  </w:num>
  <w:num w:numId="18">
    <w:abstractNumId w:val="28"/>
  </w:num>
  <w:num w:numId="19">
    <w:abstractNumId w:val="18"/>
  </w:num>
  <w:num w:numId="20">
    <w:abstractNumId w:val="31"/>
  </w:num>
  <w:num w:numId="21">
    <w:abstractNumId w:val="20"/>
  </w:num>
  <w:num w:numId="22">
    <w:abstractNumId w:val="13"/>
  </w:num>
  <w:num w:numId="23">
    <w:abstractNumId w:val="23"/>
  </w:num>
  <w:num w:numId="24">
    <w:abstractNumId w:val="26"/>
  </w:num>
  <w:num w:numId="25">
    <w:abstractNumId w:val="29"/>
  </w:num>
  <w:num w:numId="26">
    <w:abstractNumId w:val="3"/>
  </w:num>
  <w:num w:numId="27">
    <w:abstractNumId w:val="12"/>
  </w:num>
  <w:num w:numId="28">
    <w:abstractNumId w:val="17"/>
  </w:num>
  <w:num w:numId="29">
    <w:abstractNumId w:val="32"/>
  </w:num>
  <w:num w:numId="30">
    <w:abstractNumId w:val="36"/>
  </w:num>
  <w:num w:numId="31">
    <w:abstractNumId w:val="8"/>
  </w:num>
  <w:num w:numId="32">
    <w:abstractNumId w:val="11"/>
  </w:num>
  <w:num w:numId="33">
    <w:abstractNumId w:val="7"/>
  </w:num>
  <w:num w:numId="34">
    <w:abstractNumId w:val="22"/>
  </w:num>
  <w:num w:numId="35">
    <w:abstractNumId w:val="10"/>
  </w:num>
  <w:num w:numId="36">
    <w:abstractNumId w:val="34"/>
  </w:num>
  <w:num w:numId="3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GrammaticalErrors/>
  <w:activeWritingStyle w:appName="MSWord" w:lang="en-US" w:vendorID="64" w:dllVersion="6" w:nlCheck="1" w:checkStyle="1"/>
  <w:activeWritingStyle w:appName="MSWord" w:lang="en-US" w:vendorID="64" w:dllVersion="0" w:nlCheck="1" w:checkStyle="0"/>
  <w:activeWritingStyle w:appName="MSWord" w:lang="en-GB" w:vendorID="64" w:dllVersion="0" w:nlCheck="1" w:checkStyle="0"/>
  <w:proofState w:spelling="clean" w:grammar="clean"/>
  <w:attachedTemplate r:id="rId1"/>
  <w:defaultTabStop w:val="720"/>
  <w:characterSpacingControl w:val="doNotCompress"/>
  <w:hdrShapeDefaults>
    <o:shapedefaults v:ext="edit" spidmax="1024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I1szA3MjI0szQ3MLZU0lEKTi0uzszPAykwrAUAu8iV6CwAAAA="/>
  </w:docVars>
  <w:rsids>
    <w:rsidRoot w:val="00C41097"/>
    <w:rsid w:val="000039D9"/>
    <w:rsid w:val="0007147C"/>
    <w:rsid w:val="00081642"/>
    <w:rsid w:val="00114AAF"/>
    <w:rsid w:val="001203AE"/>
    <w:rsid w:val="00175153"/>
    <w:rsid w:val="001C1450"/>
    <w:rsid w:val="00223920"/>
    <w:rsid w:val="00252A11"/>
    <w:rsid w:val="0029357D"/>
    <w:rsid w:val="00296C2C"/>
    <w:rsid w:val="002A2856"/>
    <w:rsid w:val="003020A2"/>
    <w:rsid w:val="003038D3"/>
    <w:rsid w:val="003225CD"/>
    <w:rsid w:val="003421FF"/>
    <w:rsid w:val="003B5F8D"/>
    <w:rsid w:val="003C0800"/>
    <w:rsid w:val="003F70CA"/>
    <w:rsid w:val="00487B96"/>
    <w:rsid w:val="004A25F0"/>
    <w:rsid w:val="004A4C93"/>
    <w:rsid w:val="004C4442"/>
    <w:rsid w:val="004D69E9"/>
    <w:rsid w:val="005151D8"/>
    <w:rsid w:val="00515546"/>
    <w:rsid w:val="005638D0"/>
    <w:rsid w:val="005D1877"/>
    <w:rsid w:val="00633320"/>
    <w:rsid w:val="007067BE"/>
    <w:rsid w:val="007233DC"/>
    <w:rsid w:val="00760D27"/>
    <w:rsid w:val="007B26B1"/>
    <w:rsid w:val="00811EB7"/>
    <w:rsid w:val="00857027"/>
    <w:rsid w:val="009165E9"/>
    <w:rsid w:val="00931532"/>
    <w:rsid w:val="009325A7"/>
    <w:rsid w:val="00975A60"/>
    <w:rsid w:val="009956F9"/>
    <w:rsid w:val="009B44BE"/>
    <w:rsid w:val="009F5B1B"/>
    <w:rsid w:val="00A312D8"/>
    <w:rsid w:val="00A41080"/>
    <w:rsid w:val="00A877CE"/>
    <w:rsid w:val="00B31AC4"/>
    <w:rsid w:val="00B844E8"/>
    <w:rsid w:val="00BD08AB"/>
    <w:rsid w:val="00C04E9B"/>
    <w:rsid w:val="00C32497"/>
    <w:rsid w:val="00C41097"/>
    <w:rsid w:val="00C576D2"/>
    <w:rsid w:val="00C67021"/>
    <w:rsid w:val="00CC3CF5"/>
    <w:rsid w:val="00CD4A1D"/>
    <w:rsid w:val="00CE459F"/>
    <w:rsid w:val="00D03AB2"/>
    <w:rsid w:val="00D13825"/>
    <w:rsid w:val="00DA20ED"/>
    <w:rsid w:val="00DC1CC5"/>
    <w:rsid w:val="00DC590C"/>
    <w:rsid w:val="00DE3D6D"/>
    <w:rsid w:val="00DF345F"/>
    <w:rsid w:val="00E162DA"/>
    <w:rsid w:val="00E75433"/>
    <w:rsid w:val="00E84DD6"/>
    <w:rsid w:val="00F03F25"/>
    <w:rsid w:val="00F53968"/>
    <w:rsid w:val="00F71F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06763277"/>
  <w15:docId w15:val="{80787EFF-7470-41E5-848B-4BEB6BCDA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ahoma" w:eastAsia="MS Mincho" w:hAnsi="Tahoma" w:cs="Arial"/>
        <w:lang w:val="en-GB"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sid w:val="00C41097"/>
    <w:pPr>
      <w:spacing w:after="120"/>
      <w:outlineLvl w:val="0"/>
    </w:pPr>
    <w:rPr>
      <w:rFonts w:ascii="Arial" w:hAnsi="Arial"/>
      <w:sz w:val="22"/>
      <w:szCs w:val="24"/>
      <w:lang w:val="en-US"/>
    </w:rPr>
  </w:style>
  <w:style w:type="paragraph" w:styleId="Heading1">
    <w:name w:val="heading 1"/>
    <w:basedOn w:val="Normal"/>
    <w:next w:val="Normal"/>
    <w:link w:val="Heading1Char"/>
    <w:uiPriority w:val="9"/>
    <w:qFormat/>
    <w:rsid w:val="00F71F11"/>
    <w:pPr>
      <w:spacing w:after="360"/>
    </w:pPr>
    <w:rPr>
      <w:rFonts w:cs="Times New Roman"/>
      <w:b/>
      <w:sz w:val="28"/>
      <w:szCs w:val="36"/>
    </w:rPr>
  </w:style>
  <w:style w:type="paragraph" w:styleId="Heading2">
    <w:name w:val="heading 2"/>
    <w:basedOn w:val="Normal"/>
    <w:next w:val="Normal"/>
    <w:link w:val="Heading2Char"/>
    <w:uiPriority w:val="9"/>
    <w:unhideWhenUsed/>
    <w:qFormat/>
    <w:rsid w:val="00F71F11"/>
    <w:pPr>
      <w:spacing w:before="120" w:after="240"/>
      <w:outlineLvl w:val="1"/>
    </w:pPr>
    <w:rPr>
      <w:rFonts w:cs="Times New Roman"/>
      <w:b/>
      <w:sz w:val="24"/>
      <w:szCs w:val="28"/>
    </w:rPr>
  </w:style>
  <w:style w:type="paragraph" w:styleId="Heading3">
    <w:name w:val="heading 3"/>
    <w:basedOn w:val="Normal"/>
    <w:next w:val="Normal"/>
    <w:link w:val="Heading3Char"/>
    <w:autoRedefine/>
    <w:rsid w:val="00F71F11"/>
    <w:pPr>
      <w:spacing w:before="120" w:after="180"/>
      <w:outlineLvl w:val="2"/>
    </w:pPr>
    <w:rPr>
      <w:rFonts w:eastAsia="Times New Roman" w:cs="Times New Roman"/>
      <w:b/>
      <w:bCs/>
      <w:szCs w:val="26"/>
      <w:u w:val="single"/>
    </w:rPr>
  </w:style>
  <w:style w:type="paragraph" w:styleId="Heading4">
    <w:name w:val="heading 4"/>
    <w:basedOn w:val="Normal"/>
    <w:next w:val="Normal"/>
    <w:link w:val="Heading4Char"/>
    <w:rsid w:val="001203AE"/>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F71F11"/>
    <w:rPr>
      <w:rFonts w:ascii="Arial" w:hAnsi="Arial" w:cs="Times New Roman"/>
      <w:b/>
      <w:sz w:val="28"/>
      <w:szCs w:val="36"/>
      <w:lang w:val="en-US"/>
    </w:rPr>
  </w:style>
  <w:style w:type="character" w:customStyle="1" w:styleId="Heading2Char">
    <w:name w:val="Heading 2 Char"/>
    <w:link w:val="Heading2"/>
    <w:uiPriority w:val="9"/>
    <w:rsid w:val="00F71F11"/>
    <w:rPr>
      <w:rFonts w:ascii="Arial" w:hAnsi="Arial" w:cs="Times New Roman"/>
      <w:b/>
      <w:sz w:val="24"/>
      <w:szCs w:val="28"/>
      <w:lang w:val="en-US"/>
    </w:rPr>
  </w:style>
  <w:style w:type="paragraph" w:styleId="BalloonText">
    <w:name w:val="Balloon Text"/>
    <w:basedOn w:val="Normal"/>
    <w:link w:val="BalloonTextChar"/>
    <w:uiPriority w:val="99"/>
    <w:semiHidden/>
    <w:unhideWhenUsed/>
    <w:rsid w:val="00EF2FB1"/>
    <w:rPr>
      <w:rFonts w:ascii="Lucida Grande" w:hAnsi="Lucida Grande" w:cs="Times New Roman"/>
      <w:sz w:val="18"/>
      <w:szCs w:val="18"/>
    </w:rPr>
  </w:style>
  <w:style w:type="character" w:customStyle="1" w:styleId="BalloonTextChar">
    <w:name w:val="Balloon Text Char"/>
    <w:link w:val="BalloonText"/>
    <w:uiPriority w:val="99"/>
    <w:semiHidden/>
    <w:rsid w:val="00EF2FB1"/>
    <w:rPr>
      <w:rFonts w:ascii="Lucida Grande" w:hAnsi="Lucida Grande" w:cs="Lucida Grande"/>
      <w:sz w:val="18"/>
      <w:szCs w:val="18"/>
    </w:rPr>
  </w:style>
  <w:style w:type="character" w:customStyle="1" w:styleId="Heading3Char">
    <w:name w:val="Heading 3 Char"/>
    <w:basedOn w:val="DefaultParagraphFont"/>
    <w:link w:val="Heading3"/>
    <w:rsid w:val="00F71F11"/>
    <w:rPr>
      <w:rFonts w:ascii="Arial" w:eastAsia="Times New Roman" w:hAnsi="Arial" w:cs="Times New Roman"/>
      <w:b/>
      <w:bCs/>
      <w:sz w:val="22"/>
      <w:szCs w:val="26"/>
      <w:u w:val="single"/>
      <w:lang w:val="en-US"/>
    </w:rPr>
  </w:style>
  <w:style w:type="table" w:styleId="TableGrid">
    <w:name w:val="Table Grid"/>
    <w:basedOn w:val="TableNormal"/>
    <w:uiPriority w:val="59"/>
    <w:rsid w:val="009D48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D483C"/>
    <w:pPr>
      <w:tabs>
        <w:tab w:val="center" w:pos="4320"/>
        <w:tab w:val="right" w:pos="8640"/>
      </w:tabs>
      <w:spacing w:after="0"/>
    </w:pPr>
    <w:rPr>
      <w:rFonts w:cs="Times New Roman"/>
      <w:sz w:val="20"/>
      <w:szCs w:val="20"/>
    </w:rPr>
  </w:style>
  <w:style w:type="character" w:customStyle="1" w:styleId="HeaderChar">
    <w:name w:val="Header Char"/>
    <w:link w:val="Header"/>
    <w:uiPriority w:val="99"/>
    <w:rsid w:val="009D483C"/>
    <w:rPr>
      <w:lang w:val="en-US"/>
    </w:rPr>
  </w:style>
  <w:style w:type="paragraph" w:styleId="Footer">
    <w:name w:val="footer"/>
    <w:basedOn w:val="Normal"/>
    <w:link w:val="FooterChar"/>
    <w:uiPriority w:val="99"/>
    <w:unhideWhenUsed/>
    <w:rsid w:val="009D483C"/>
    <w:pPr>
      <w:tabs>
        <w:tab w:val="center" w:pos="4320"/>
        <w:tab w:val="right" w:pos="8640"/>
      </w:tabs>
      <w:spacing w:after="0"/>
    </w:pPr>
    <w:rPr>
      <w:rFonts w:cs="Times New Roman"/>
      <w:sz w:val="20"/>
      <w:szCs w:val="20"/>
    </w:rPr>
  </w:style>
  <w:style w:type="character" w:customStyle="1" w:styleId="FooterChar">
    <w:name w:val="Footer Char"/>
    <w:link w:val="Footer"/>
    <w:uiPriority w:val="99"/>
    <w:rsid w:val="009D483C"/>
    <w:rPr>
      <w:lang w:val="en-US"/>
    </w:rPr>
  </w:style>
  <w:style w:type="character" w:styleId="PageNumber">
    <w:name w:val="page number"/>
    <w:uiPriority w:val="99"/>
    <w:semiHidden/>
    <w:unhideWhenUsed/>
    <w:rsid w:val="009D483C"/>
  </w:style>
  <w:style w:type="paragraph" w:styleId="ListParagraph">
    <w:name w:val="List Paragraph"/>
    <w:basedOn w:val="Normal"/>
    <w:uiPriority w:val="34"/>
    <w:qFormat/>
    <w:rsid w:val="009956F9"/>
    <w:pPr>
      <w:ind w:left="720"/>
      <w:contextualSpacing/>
    </w:pPr>
  </w:style>
  <w:style w:type="paragraph" w:styleId="BodyTextIndent3">
    <w:name w:val="Body Text Indent 3"/>
    <w:basedOn w:val="Normal"/>
    <w:link w:val="BodyTextIndent3Char"/>
    <w:rsid w:val="00F71F11"/>
    <w:pPr>
      <w:ind w:left="283"/>
    </w:pPr>
    <w:rPr>
      <w:szCs w:val="16"/>
    </w:rPr>
  </w:style>
  <w:style w:type="character" w:customStyle="1" w:styleId="BodyTextIndent3Char">
    <w:name w:val="Body Text Indent 3 Char"/>
    <w:basedOn w:val="DefaultParagraphFont"/>
    <w:link w:val="BodyTextIndent3"/>
    <w:rsid w:val="00F71F11"/>
    <w:rPr>
      <w:rFonts w:ascii="Arial" w:hAnsi="Arial"/>
      <w:sz w:val="22"/>
      <w:szCs w:val="16"/>
      <w:lang w:val="en-US"/>
    </w:rPr>
  </w:style>
  <w:style w:type="character" w:customStyle="1" w:styleId="Heading4Char">
    <w:name w:val="Heading 4 Char"/>
    <w:basedOn w:val="DefaultParagraphFont"/>
    <w:link w:val="Heading4"/>
    <w:rsid w:val="001203AE"/>
    <w:rPr>
      <w:rFonts w:asciiTheme="majorHAnsi" w:eastAsiaTheme="majorEastAsia" w:hAnsiTheme="majorHAnsi" w:cstheme="majorBidi"/>
      <w:i/>
      <w:iCs/>
      <w:color w:val="365F91" w:themeColor="accent1" w:themeShade="BF"/>
      <w:sz w:val="22"/>
      <w:szCs w:val="24"/>
      <w:lang w:val="en-US"/>
    </w:rPr>
  </w:style>
  <w:style w:type="character" w:styleId="Hyperlink">
    <w:name w:val="Hyperlink"/>
    <w:basedOn w:val="DefaultParagraphFont"/>
    <w:rsid w:val="001203AE"/>
    <w:rPr>
      <w:color w:val="0000FF" w:themeColor="hyperlink"/>
      <w:u w:val="single"/>
    </w:rPr>
  </w:style>
  <w:style w:type="character" w:styleId="UnresolvedMention">
    <w:name w:val="Unresolved Mention"/>
    <w:basedOn w:val="DefaultParagraphFont"/>
    <w:rsid w:val="001203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forrest\Documents\Custom%20Office%20Templates\Clinical%20guideline%20template%202018.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Clinical guideline template 2018</Template>
  <TotalTime>13</TotalTime>
  <Pages>8</Pages>
  <Words>2226</Words>
  <Characters>12690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MRC</Company>
  <LinksUpToDate>false</LinksUpToDate>
  <CharactersWithSpaces>14887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Forrest Karen</dc:creator>
  <cp:keywords/>
  <dc:description/>
  <cp:lastModifiedBy>Karen Forrest</cp:lastModifiedBy>
  <cp:revision>19</cp:revision>
  <cp:lastPrinted>2019-05-17T12:19:00Z</cp:lastPrinted>
  <dcterms:created xsi:type="dcterms:W3CDTF">2018-07-24T12:56:00Z</dcterms:created>
  <dcterms:modified xsi:type="dcterms:W3CDTF">2019-05-17T12:19:00Z</dcterms:modified>
</cp:coreProperties>
</file>