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873EC" w14:textId="7FF95C6F" w:rsidR="001753C8" w:rsidRDefault="00AA5079" w:rsidP="001753C8">
      <w:pPr>
        <w:pStyle w:val="Heading1"/>
        <w:rPr>
          <w:rFonts w:cs="Arial"/>
          <w:szCs w:val="22"/>
        </w:rPr>
      </w:pPr>
      <w:bookmarkStart w:id="0" w:name="_GoBack"/>
      <w:bookmarkEnd w:id="0"/>
      <w:r>
        <w:rPr>
          <w:rFonts w:cs="Arial" w:hint="eastAsia"/>
          <w:szCs w:val="22"/>
          <w:lang w:eastAsia="ja-JP"/>
        </w:rPr>
        <w:t>Meningitis</w:t>
      </w:r>
    </w:p>
    <w:p w14:paraId="2F5EF458" w14:textId="77777777" w:rsidR="001753C8" w:rsidRDefault="001753C8" w:rsidP="001753C8">
      <w:pPr>
        <w:pStyle w:val="Heading2"/>
        <w:rPr>
          <w:rFonts w:cs="Arial"/>
          <w:i/>
          <w:szCs w:val="22"/>
        </w:rPr>
      </w:pPr>
      <w:r>
        <w:rPr>
          <w:rFonts w:cs="Arial"/>
          <w:i/>
          <w:szCs w:val="22"/>
        </w:rPr>
        <w:t>Executive summary</w:t>
      </w:r>
    </w:p>
    <w:p w14:paraId="68D0A111" w14:textId="77777777" w:rsidR="001753C8" w:rsidRDefault="001753C8" w:rsidP="001753C8">
      <w:pPr>
        <w:pStyle w:val="Heading2"/>
        <w:rPr>
          <w:rFonts w:cs="Arial"/>
          <w:szCs w:val="22"/>
        </w:rPr>
      </w:pPr>
      <w:r>
        <w:rPr>
          <w:rFonts w:cs="Arial"/>
          <w:szCs w:val="22"/>
        </w:rPr>
        <w:t>Introduction</w:t>
      </w:r>
    </w:p>
    <w:p w14:paraId="71FF14A5" w14:textId="77777777" w:rsidR="001753C8" w:rsidRPr="00915756" w:rsidRDefault="001753C8" w:rsidP="001753C8">
      <w:pPr>
        <w:pStyle w:val="Heading2"/>
        <w:rPr>
          <w:b w:val="0"/>
          <w:sz w:val="22"/>
          <w:szCs w:val="22"/>
        </w:rPr>
      </w:pPr>
      <w:r w:rsidRPr="00915756">
        <w:rPr>
          <w:b w:val="0"/>
          <w:sz w:val="22"/>
          <w:szCs w:val="22"/>
        </w:rPr>
        <w:t xml:space="preserve">Meningitis is defined as inflammation of the pia and arachnoid meninges and the cerebrospinal fluid (CSF) that surrounds the brain and spinal cord. The main infectious causes are viral, bacterial and fungal. </w:t>
      </w:r>
    </w:p>
    <w:p w14:paraId="61C7E74A" w14:textId="77777777" w:rsidR="001753C8" w:rsidRDefault="001753C8" w:rsidP="001753C8">
      <w:pPr>
        <w:pStyle w:val="Heading2"/>
        <w:spacing w:before="0" w:after="0"/>
        <w:rPr>
          <w:b w:val="0"/>
          <w:sz w:val="22"/>
          <w:szCs w:val="22"/>
        </w:rPr>
      </w:pPr>
      <w:r w:rsidRPr="00915756">
        <w:rPr>
          <w:b w:val="0"/>
          <w:sz w:val="22"/>
          <w:szCs w:val="22"/>
        </w:rPr>
        <w:t xml:space="preserve">Meningitis is classified clinically as either acute or chronic. Acute meningitis occurs within hours or days, whereas chronic meningitis evolves over weeks. Acute meningitis is classified as </w:t>
      </w:r>
    </w:p>
    <w:p w14:paraId="4D00EAB5" w14:textId="77777777" w:rsidR="001753C8" w:rsidRPr="00C121CC" w:rsidRDefault="001753C8" w:rsidP="001753C8">
      <w:pPr>
        <w:pStyle w:val="Heading2"/>
        <w:numPr>
          <w:ilvl w:val="0"/>
          <w:numId w:val="28"/>
        </w:numPr>
        <w:spacing w:before="0" w:after="0"/>
        <w:rPr>
          <w:sz w:val="22"/>
          <w:szCs w:val="22"/>
        </w:rPr>
      </w:pPr>
      <w:r w:rsidRPr="00915756">
        <w:rPr>
          <w:b w:val="0"/>
          <w:sz w:val="22"/>
          <w:szCs w:val="22"/>
        </w:rPr>
        <w:t xml:space="preserve">aseptic </w:t>
      </w:r>
      <w:r>
        <w:rPr>
          <w:b w:val="0"/>
          <w:sz w:val="22"/>
          <w:szCs w:val="22"/>
        </w:rPr>
        <w:t>(</w:t>
      </w:r>
      <w:r w:rsidRPr="00915756">
        <w:rPr>
          <w:b w:val="0"/>
          <w:sz w:val="22"/>
          <w:szCs w:val="22"/>
        </w:rPr>
        <w:t>which is mostly viral in origin</w:t>
      </w:r>
      <w:r>
        <w:rPr>
          <w:b w:val="0"/>
          <w:sz w:val="22"/>
          <w:szCs w:val="22"/>
        </w:rPr>
        <w:t>)</w:t>
      </w:r>
      <w:r w:rsidRPr="00915756">
        <w:rPr>
          <w:b w:val="0"/>
          <w:sz w:val="22"/>
          <w:szCs w:val="22"/>
        </w:rPr>
        <w:t xml:space="preserve"> or </w:t>
      </w:r>
    </w:p>
    <w:p w14:paraId="37390004" w14:textId="77777777" w:rsidR="001753C8" w:rsidRPr="00C121CC" w:rsidRDefault="001753C8" w:rsidP="001753C8">
      <w:pPr>
        <w:pStyle w:val="Heading2"/>
        <w:numPr>
          <w:ilvl w:val="0"/>
          <w:numId w:val="28"/>
        </w:numPr>
        <w:spacing w:before="0" w:after="0"/>
        <w:rPr>
          <w:sz w:val="22"/>
          <w:szCs w:val="22"/>
        </w:rPr>
      </w:pPr>
      <w:r w:rsidRPr="00915756">
        <w:rPr>
          <w:b w:val="0"/>
          <w:sz w:val="22"/>
          <w:szCs w:val="22"/>
        </w:rPr>
        <w:t xml:space="preserve">septic or pyogenic which is caused by bacteria. </w:t>
      </w:r>
    </w:p>
    <w:p w14:paraId="20C26043" w14:textId="72121C35" w:rsidR="001753C8" w:rsidRDefault="001753C8" w:rsidP="001753C8">
      <w:pPr>
        <w:pStyle w:val="Heading2"/>
        <w:rPr>
          <w:b w:val="0"/>
          <w:sz w:val="22"/>
          <w:szCs w:val="22"/>
        </w:rPr>
      </w:pPr>
      <w:r w:rsidRPr="00915756">
        <w:rPr>
          <w:b w:val="0"/>
          <w:sz w:val="22"/>
          <w:szCs w:val="22"/>
        </w:rPr>
        <w:t>Chronic meningitis is a complex entity with both infectious and noninfectious causes.</w:t>
      </w:r>
    </w:p>
    <w:p w14:paraId="5C30D39E" w14:textId="77777777" w:rsidR="001753C8" w:rsidRDefault="001753C8" w:rsidP="001753C8">
      <w:pPr>
        <w:pStyle w:val="Heading3"/>
        <w:rPr>
          <w:rFonts w:eastAsia="MS Mincho" w:cs="Arial"/>
          <w:bCs w:val="0"/>
          <w:sz w:val="24"/>
          <w:szCs w:val="22"/>
          <w:u w:val="none"/>
        </w:rPr>
      </w:pPr>
      <w:r w:rsidRPr="00612AEE">
        <w:rPr>
          <w:rFonts w:eastAsia="MS Mincho" w:cs="Arial"/>
          <w:bCs w:val="0"/>
          <w:sz w:val="24"/>
          <w:szCs w:val="22"/>
          <w:u w:val="none"/>
        </w:rPr>
        <w:t xml:space="preserve">Target </w:t>
      </w:r>
      <w:r>
        <w:rPr>
          <w:rFonts w:eastAsia="MS Mincho" w:cs="Arial"/>
          <w:bCs w:val="0"/>
          <w:sz w:val="24"/>
          <w:szCs w:val="22"/>
          <w:u w:val="none"/>
        </w:rPr>
        <w:t>users</w:t>
      </w:r>
    </w:p>
    <w:p w14:paraId="108F6335" w14:textId="77777777" w:rsidR="001753C8" w:rsidRPr="00376B96" w:rsidRDefault="001753C8" w:rsidP="001753C8">
      <w:pPr>
        <w:pStyle w:val="ListParagraph"/>
        <w:numPr>
          <w:ilvl w:val="0"/>
          <w:numId w:val="31"/>
        </w:numPr>
      </w:pPr>
      <w:r>
        <w:t xml:space="preserve">Doctors </w:t>
      </w:r>
    </w:p>
    <w:p w14:paraId="67DD9356" w14:textId="77777777" w:rsidR="001753C8" w:rsidRDefault="001753C8" w:rsidP="001753C8">
      <w:pPr>
        <w:pStyle w:val="Heading3"/>
        <w:rPr>
          <w:rFonts w:eastAsia="MS Mincho" w:cs="Arial"/>
          <w:bCs w:val="0"/>
          <w:sz w:val="24"/>
          <w:szCs w:val="22"/>
          <w:u w:val="none"/>
        </w:rPr>
      </w:pPr>
      <w:r w:rsidRPr="00612AEE">
        <w:rPr>
          <w:rFonts w:eastAsia="MS Mincho" w:cs="Arial"/>
          <w:bCs w:val="0"/>
          <w:sz w:val="24"/>
          <w:szCs w:val="22"/>
          <w:u w:val="none"/>
        </w:rPr>
        <w:t xml:space="preserve">Target area of use </w:t>
      </w:r>
    </w:p>
    <w:p w14:paraId="3A6A3517" w14:textId="77777777" w:rsidR="001753C8" w:rsidRPr="00612AEE" w:rsidRDefault="001753C8" w:rsidP="001753C8">
      <w:pPr>
        <w:pStyle w:val="ListParagraph"/>
        <w:numPr>
          <w:ilvl w:val="0"/>
          <w:numId w:val="31"/>
        </w:numPr>
      </w:pPr>
      <w:r>
        <w:t>Ward</w:t>
      </w:r>
    </w:p>
    <w:p w14:paraId="17838DF2" w14:textId="77777777" w:rsidR="001753C8" w:rsidRDefault="001753C8" w:rsidP="001753C8">
      <w:pPr>
        <w:pStyle w:val="Heading3"/>
        <w:rPr>
          <w:rFonts w:eastAsia="MS Mincho" w:cs="Arial"/>
          <w:bCs w:val="0"/>
          <w:sz w:val="24"/>
          <w:szCs w:val="22"/>
          <w:u w:val="none"/>
        </w:rPr>
      </w:pPr>
      <w:r>
        <w:rPr>
          <w:rFonts w:eastAsia="MS Mincho" w:cs="Arial"/>
          <w:bCs w:val="0"/>
          <w:sz w:val="24"/>
          <w:szCs w:val="22"/>
          <w:u w:val="none"/>
        </w:rPr>
        <w:t xml:space="preserve">Key areas of focus / </w:t>
      </w:r>
      <w:r w:rsidRPr="00612AEE">
        <w:rPr>
          <w:rFonts w:eastAsia="MS Mincho" w:cs="Arial"/>
          <w:bCs w:val="0"/>
          <w:sz w:val="24"/>
          <w:szCs w:val="22"/>
          <w:u w:val="none"/>
        </w:rPr>
        <w:t xml:space="preserve">New additions / </w:t>
      </w:r>
      <w:r>
        <w:rPr>
          <w:rFonts w:eastAsia="MS Mincho" w:cs="Arial"/>
          <w:bCs w:val="0"/>
          <w:sz w:val="24"/>
          <w:szCs w:val="22"/>
          <w:u w:val="none"/>
        </w:rPr>
        <w:t>C</w:t>
      </w:r>
      <w:r w:rsidRPr="00612AEE">
        <w:rPr>
          <w:rFonts w:eastAsia="MS Mincho" w:cs="Arial"/>
          <w:bCs w:val="0"/>
          <w:sz w:val="24"/>
          <w:szCs w:val="22"/>
          <w:u w:val="none"/>
        </w:rPr>
        <w:t xml:space="preserve">hanges </w:t>
      </w:r>
    </w:p>
    <w:p w14:paraId="7CA32BB1" w14:textId="77777777" w:rsidR="001753C8" w:rsidRDefault="001753C8" w:rsidP="001753C8">
      <w:r>
        <w:t>This guideline addresses the management of the infective causes of meningitis</w:t>
      </w:r>
      <w:r>
        <w:rPr>
          <w:b/>
        </w:rPr>
        <w:t xml:space="preserve"> </w:t>
      </w:r>
      <w:r>
        <w:t xml:space="preserve">in </w:t>
      </w:r>
      <w:r w:rsidRPr="001753C8">
        <w:t>children and in adults. It provides advice on empirical antibiotic therapy.</w:t>
      </w:r>
    </w:p>
    <w:p w14:paraId="134D7956" w14:textId="3C52ED99" w:rsidR="001753C8" w:rsidRPr="001753C8" w:rsidRDefault="001753C8" w:rsidP="001753C8">
      <w:r w:rsidRPr="001753C8">
        <w:t>The treatment</w:t>
      </w:r>
      <w:r>
        <w:t xml:space="preserve"> of infective chronic meningitis has been added to this guideline and the management of meningitis in the immunocompromised has been adopted in this new version. </w:t>
      </w:r>
    </w:p>
    <w:p w14:paraId="1E348175" w14:textId="68771F7C" w:rsidR="001753C8" w:rsidRPr="00376B96" w:rsidRDefault="001753C8" w:rsidP="001753C8">
      <w:r>
        <w:t>Antibiotic therapy is for two weeks at least.</w:t>
      </w:r>
    </w:p>
    <w:p w14:paraId="6F91CA79" w14:textId="77777777" w:rsidR="001753C8" w:rsidRDefault="001753C8" w:rsidP="001753C8">
      <w:pPr>
        <w:pStyle w:val="Heading2"/>
        <w:rPr>
          <w:rFonts w:cs="Arial"/>
          <w:szCs w:val="22"/>
        </w:rPr>
      </w:pPr>
      <w:r>
        <w:rPr>
          <w:rFonts w:cs="Arial"/>
          <w:szCs w:val="22"/>
        </w:rPr>
        <w:t>Limitations</w:t>
      </w:r>
    </w:p>
    <w:p w14:paraId="47117FBD" w14:textId="45C39B11" w:rsidR="001753C8" w:rsidRDefault="001753C8" w:rsidP="001753C8">
      <w:pPr>
        <w:pStyle w:val="Heading2"/>
        <w:rPr>
          <w:rFonts w:cs="Arial"/>
          <w:b w:val="0"/>
          <w:sz w:val="22"/>
          <w:szCs w:val="22"/>
        </w:rPr>
      </w:pPr>
      <w:r>
        <w:rPr>
          <w:rFonts w:cs="Arial"/>
          <w:b w:val="0"/>
          <w:sz w:val="22"/>
          <w:szCs w:val="22"/>
        </w:rPr>
        <w:t>None.</w:t>
      </w:r>
    </w:p>
    <w:p w14:paraId="0CCD57A3" w14:textId="77777777" w:rsidR="001753C8" w:rsidRDefault="001753C8">
      <w:pPr>
        <w:spacing w:after="0"/>
        <w:outlineLvl w:val="9"/>
        <w:rPr>
          <w:b/>
          <w:sz w:val="24"/>
          <w:szCs w:val="22"/>
          <w:lang w:eastAsia="ja-JP"/>
        </w:rPr>
      </w:pPr>
      <w:r>
        <w:rPr>
          <w:szCs w:val="22"/>
          <w:lang w:eastAsia="ja-JP"/>
        </w:rPr>
        <w:br w:type="page"/>
      </w:r>
    </w:p>
    <w:p w14:paraId="14D3ACF1" w14:textId="7C20AE58" w:rsidR="00AA5079" w:rsidRDefault="00AA5079" w:rsidP="001753C8">
      <w:pPr>
        <w:pStyle w:val="Heading2"/>
        <w:rPr>
          <w:rFonts w:cs="Arial"/>
          <w:szCs w:val="22"/>
          <w:lang w:eastAsia="ja-JP"/>
        </w:rPr>
      </w:pPr>
      <w:r>
        <w:rPr>
          <w:rFonts w:cs="Arial" w:hint="eastAsia"/>
          <w:szCs w:val="22"/>
          <w:lang w:eastAsia="ja-JP"/>
        </w:rPr>
        <w:lastRenderedPageBreak/>
        <w:t>P</w:t>
      </w:r>
      <w:r>
        <w:rPr>
          <w:rFonts w:cs="Arial"/>
          <w:szCs w:val="22"/>
          <w:lang w:eastAsia="ja-JP"/>
        </w:rPr>
        <w:t>athogen</w:t>
      </w:r>
      <w:r w:rsidR="000A53E1">
        <w:rPr>
          <w:rFonts w:cs="Arial"/>
          <w:szCs w:val="22"/>
          <w:lang w:eastAsia="ja-JP"/>
        </w:rPr>
        <w:t>s</w:t>
      </w:r>
    </w:p>
    <w:p w14:paraId="179E5280" w14:textId="77777777" w:rsidR="00AA5079" w:rsidRDefault="0049667F" w:rsidP="000A53E1">
      <w:pPr>
        <w:ind w:firstLineChars="50" w:firstLine="110"/>
      </w:pPr>
      <w:r w:rsidRPr="0082749A">
        <w:rPr>
          <w:b/>
        </w:rPr>
        <w:t xml:space="preserve">1) </w:t>
      </w:r>
      <w:r w:rsidR="0051078E">
        <w:rPr>
          <w:b/>
        </w:rPr>
        <w:t>Bacterial</w:t>
      </w:r>
      <w:r w:rsidR="0052525B">
        <w:rPr>
          <w:b/>
        </w:rPr>
        <w:t>:</w:t>
      </w:r>
    </w:p>
    <w:tbl>
      <w:tblPr>
        <w:tblStyle w:val="TableGrid"/>
        <w:tblW w:w="8637" w:type="dxa"/>
        <w:tblLayout w:type="fixed"/>
        <w:tblLook w:val="04A0" w:firstRow="1" w:lastRow="0" w:firstColumn="1" w:lastColumn="0" w:noHBand="0" w:noVBand="1"/>
      </w:tblPr>
      <w:tblGrid>
        <w:gridCol w:w="1696"/>
        <w:gridCol w:w="1696"/>
        <w:gridCol w:w="1985"/>
        <w:gridCol w:w="3260"/>
      </w:tblGrid>
      <w:tr w:rsidR="00BD50E2" w:rsidRPr="0052525B" w14:paraId="42657CA8" w14:textId="77777777" w:rsidTr="000A53E1">
        <w:tc>
          <w:tcPr>
            <w:tcW w:w="1696" w:type="dxa"/>
            <w:shd w:val="clear" w:color="auto" w:fill="D9D9D9" w:themeFill="background1" w:themeFillShade="D9"/>
            <w:vAlign w:val="bottom"/>
          </w:tcPr>
          <w:p w14:paraId="2FCFADC6" w14:textId="77777777" w:rsidR="00BD50E2" w:rsidRPr="0052525B" w:rsidRDefault="00BD50E2" w:rsidP="000A53E1">
            <w:pPr>
              <w:rPr>
                <w:b/>
                <w:sz w:val="20"/>
                <w:szCs w:val="20"/>
                <w:lang w:eastAsia="ja-JP"/>
              </w:rPr>
            </w:pPr>
            <w:r w:rsidRPr="00C121CC">
              <w:rPr>
                <w:b/>
                <w:sz w:val="20"/>
                <w:szCs w:val="20"/>
                <w:lang w:eastAsia="ja-JP"/>
              </w:rPr>
              <w:t>Age range</w:t>
            </w:r>
          </w:p>
        </w:tc>
        <w:tc>
          <w:tcPr>
            <w:tcW w:w="1696" w:type="dxa"/>
            <w:shd w:val="clear" w:color="auto" w:fill="D9D9D9" w:themeFill="background1" w:themeFillShade="D9"/>
            <w:vAlign w:val="bottom"/>
          </w:tcPr>
          <w:p w14:paraId="4D4A6463" w14:textId="77777777" w:rsidR="00BD50E2" w:rsidRPr="0052525B" w:rsidRDefault="000A53E1" w:rsidP="000A53E1">
            <w:pPr>
              <w:rPr>
                <w:b/>
                <w:sz w:val="20"/>
                <w:szCs w:val="20"/>
                <w:lang w:eastAsia="ja-JP"/>
              </w:rPr>
            </w:pPr>
            <w:r>
              <w:rPr>
                <w:b/>
                <w:sz w:val="20"/>
                <w:szCs w:val="20"/>
                <w:lang w:eastAsia="ja-JP"/>
              </w:rPr>
              <w:t>O</w:t>
            </w:r>
            <w:r w:rsidR="00BD50E2" w:rsidRPr="00C121CC">
              <w:rPr>
                <w:b/>
                <w:sz w:val="20"/>
                <w:szCs w:val="20"/>
                <w:lang w:eastAsia="ja-JP"/>
              </w:rPr>
              <w:t>rganism</w:t>
            </w:r>
          </w:p>
        </w:tc>
        <w:tc>
          <w:tcPr>
            <w:tcW w:w="1985" w:type="dxa"/>
            <w:shd w:val="clear" w:color="auto" w:fill="D9D9D9" w:themeFill="background1" w:themeFillShade="D9"/>
            <w:vAlign w:val="bottom"/>
          </w:tcPr>
          <w:p w14:paraId="39FA138A" w14:textId="77777777" w:rsidR="00BD50E2" w:rsidRPr="0052525B" w:rsidRDefault="00BD50E2" w:rsidP="000A53E1">
            <w:pPr>
              <w:rPr>
                <w:b/>
                <w:sz w:val="20"/>
                <w:szCs w:val="20"/>
                <w:lang w:eastAsia="ja-JP"/>
              </w:rPr>
            </w:pPr>
            <w:r w:rsidRPr="00C121CC">
              <w:rPr>
                <w:b/>
                <w:sz w:val="20"/>
                <w:szCs w:val="20"/>
                <w:lang w:eastAsia="ja-JP"/>
              </w:rPr>
              <w:t>Site of entry</w:t>
            </w:r>
          </w:p>
        </w:tc>
        <w:tc>
          <w:tcPr>
            <w:tcW w:w="3260" w:type="dxa"/>
            <w:shd w:val="clear" w:color="auto" w:fill="D9D9D9" w:themeFill="background1" w:themeFillShade="D9"/>
            <w:vAlign w:val="bottom"/>
          </w:tcPr>
          <w:p w14:paraId="49CC6C59" w14:textId="77777777" w:rsidR="00BD50E2" w:rsidRPr="0052525B" w:rsidRDefault="00BD50E2" w:rsidP="000A53E1">
            <w:pPr>
              <w:rPr>
                <w:b/>
                <w:sz w:val="20"/>
                <w:szCs w:val="20"/>
                <w:lang w:eastAsia="ja-JP"/>
              </w:rPr>
            </w:pPr>
            <w:r w:rsidRPr="00C121CC">
              <w:rPr>
                <w:b/>
                <w:sz w:val="20"/>
                <w:szCs w:val="20"/>
                <w:lang w:eastAsia="ja-JP"/>
              </w:rPr>
              <w:t>Predisposing conditions</w:t>
            </w:r>
          </w:p>
        </w:tc>
      </w:tr>
      <w:tr w:rsidR="00BD50E2" w:rsidRPr="0052525B" w14:paraId="3A7AE93B" w14:textId="77777777" w:rsidTr="00BD50E2">
        <w:tc>
          <w:tcPr>
            <w:tcW w:w="1696" w:type="dxa"/>
          </w:tcPr>
          <w:p w14:paraId="4A6C0934" w14:textId="77777777" w:rsidR="00BD50E2" w:rsidRPr="0052525B" w:rsidRDefault="00BD50E2" w:rsidP="000A53E1">
            <w:pPr>
              <w:rPr>
                <w:i/>
                <w:sz w:val="20"/>
                <w:szCs w:val="20"/>
                <w:lang w:eastAsia="ja-JP"/>
              </w:rPr>
            </w:pPr>
            <w:r w:rsidRPr="00C121CC">
              <w:rPr>
                <w:sz w:val="20"/>
                <w:szCs w:val="20"/>
                <w:lang w:eastAsia="ja-JP"/>
              </w:rPr>
              <w:t>All ages</w:t>
            </w:r>
          </w:p>
        </w:tc>
        <w:tc>
          <w:tcPr>
            <w:tcW w:w="1696" w:type="dxa"/>
          </w:tcPr>
          <w:p w14:paraId="2DA9F75E" w14:textId="77777777" w:rsidR="00BD50E2" w:rsidRPr="0052525B" w:rsidRDefault="00BD50E2" w:rsidP="000A53E1">
            <w:pPr>
              <w:rPr>
                <w:i/>
                <w:sz w:val="20"/>
                <w:szCs w:val="20"/>
                <w:lang w:eastAsia="ja-JP"/>
              </w:rPr>
            </w:pPr>
            <w:r w:rsidRPr="00C121CC">
              <w:rPr>
                <w:i/>
                <w:sz w:val="20"/>
                <w:szCs w:val="20"/>
                <w:lang w:eastAsia="ja-JP"/>
              </w:rPr>
              <w:t>Neisseria meningitidis</w:t>
            </w:r>
          </w:p>
        </w:tc>
        <w:tc>
          <w:tcPr>
            <w:tcW w:w="1985" w:type="dxa"/>
          </w:tcPr>
          <w:p w14:paraId="6C83A511" w14:textId="77777777" w:rsidR="00BD50E2" w:rsidRPr="0052525B" w:rsidRDefault="00BD50E2" w:rsidP="000A53E1">
            <w:pPr>
              <w:rPr>
                <w:sz w:val="20"/>
                <w:szCs w:val="20"/>
                <w:lang w:eastAsia="ja-JP"/>
              </w:rPr>
            </w:pPr>
            <w:r w:rsidRPr="00C121CC">
              <w:rPr>
                <w:sz w:val="20"/>
                <w:szCs w:val="20"/>
                <w:lang w:eastAsia="ja-JP"/>
              </w:rPr>
              <w:t>Nasopharynx</w:t>
            </w:r>
          </w:p>
        </w:tc>
        <w:tc>
          <w:tcPr>
            <w:tcW w:w="3260" w:type="dxa"/>
          </w:tcPr>
          <w:p w14:paraId="116067CD" w14:textId="77777777" w:rsidR="00BD50E2" w:rsidRPr="0052525B" w:rsidRDefault="00BD50E2" w:rsidP="000A53E1">
            <w:pPr>
              <w:rPr>
                <w:sz w:val="20"/>
                <w:szCs w:val="20"/>
                <w:lang w:eastAsia="ja-JP"/>
              </w:rPr>
            </w:pPr>
            <w:r w:rsidRPr="00C121CC">
              <w:rPr>
                <w:sz w:val="20"/>
                <w:szCs w:val="20"/>
                <w:lang w:eastAsia="ja-JP"/>
              </w:rPr>
              <w:t>Usually none, rarely complement deficiency</w:t>
            </w:r>
          </w:p>
        </w:tc>
      </w:tr>
      <w:tr w:rsidR="00BD50E2" w:rsidRPr="0052525B" w14:paraId="507D9BAA" w14:textId="77777777" w:rsidTr="00BD50E2">
        <w:tc>
          <w:tcPr>
            <w:tcW w:w="1696" w:type="dxa"/>
          </w:tcPr>
          <w:p w14:paraId="18525A65" w14:textId="77777777" w:rsidR="00BD50E2" w:rsidRPr="0052525B" w:rsidRDefault="00BD50E2" w:rsidP="000A53E1">
            <w:pPr>
              <w:rPr>
                <w:i/>
                <w:sz w:val="20"/>
                <w:szCs w:val="20"/>
                <w:lang w:eastAsia="ja-JP"/>
              </w:rPr>
            </w:pPr>
            <w:r w:rsidRPr="00C121CC">
              <w:rPr>
                <w:sz w:val="20"/>
                <w:szCs w:val="20"/>
                <w:lang w:eastAsia="ja-JP"/>
              </w:rPr>
              <w:t>All ages</w:t>
            </w:r>
          </w:p>
        </w:tc>
        <w:tc>
          <w:tcPr>
            <w:tcW w:w="1696" w:type="dxa"/>
          </w:tcPr>
          <w:p w14:paraId="2A62A5FE" w14:textId="77777777" w:rsidR="00BD50E2" w:rsidRPr="0052525B" w:rsidRDefault="00BD50E2" w:rsidP="000A53E1">
            <w:pPr>
              <w:rPr>
                <w:i/>
                <w:sz w:val="20"/>
                <w:szCs w:val="20"/>
                <w:lang w:eastAsia="ja-JP"/>
              </w:rPr>
            </w:pPr>
            <w:r w:rsidRPr="00C121CC">
              <w:rPr>
                <w:i/>
                <w:sz w:val="20"/>
                <w:szCs w:val="20"/>
                <w:lang w:eastAsia="ja-JP"/>
              </w:rPr>
              <w:t>Streptococcus pneumoniae</w:t>
            </w:r>
          </w:p>
        </w:tc>
        <w:tc>
          <w:tcPr>
            <w:tcW w:w="1985" w:type="dxa"/>
          </w:tcPr>
          <w:p w14:paraId="2586B7D3" w14:textId="77777777" w:rsidR="00BD50E2" w:rsidRPr="0052525B" w:rsidRDefault="00BD50E2" w:rsidP="000A53E1">
            <w:pPr>
              <w:rPr>
                <w:sz w:val="20"/>
                <w:szCs w:val="20"/>
                <w:lang w:eastAsia="ja-JP"/>
              </w:rPr>
            </w:pPr>
            <w:r w:rsidRPr="00C121CC">
              <w:rPr>
                <w:sz w:val="20"/>
                <w:szCs w:val="20"/>
                <w:lang w:eastAsia="ja-JP"/>
              </w:rPr>
              <w:t xml:space="preserve">Nasopharynx, </w:t>
            </w:r>
          </w:p>
          <w:p w14:paraId="3C46D61F" w14:textId="77777777" w:rsidR="00BD50E2" w:rsidRPr="0052525B" w:rsidRDefault="00BD50E2" w:rsidP="000A53E1">
            <w:pPr>
              <w:rPr>
                <w:sz w:val="20"/>
                <w:szCs w:val="20"/>
                <w:lang w:eastAsia="ja-JP"/>
              </w:rPr>
            </w:pPr>
            <w:r w:rsidRPr="00C121CC">
              <w:rPr>
                <w:sz w:val="20"/>
                <w:szCs w:val="20"/>
                <w:lang w:eastAsia="ja-JP"/>
              </w:rPr>
              <w:t>direct extension across skull fracture, or from contiguous or distant foci of infection</w:t>
            </w:r>
          </w:p>
        </w:tc>
        <w:tc>
          <w:tcPr>
            <w:tcW w:w="3260" w:type="dxa"/>
          </w:tcPr>
          <w:p w14:paraId="04912D25" w14:textId="77777777" w:rsidR="00BD50E2" w:rsidRPr="0052525B" w:rsidRDefault="00BD50E2" w:rsidP="000A53E1">
            <w:pPr>
              <w:rPr>
                <w:sz w:val="20"/>
                <w:szCs w:val="20"/>
                <w:lang w:eastAsia="ja-JP"/>
              </w:rPr>
            </w:pPr>
            <w:r w:rsidRPr="00C121CC">
              <w:rPr>
                <w:color w:val="000000"/>
                <w:sz w:val="20"/>
                <w:szCs w:val="20"/>
                <w:shd w:val="clear" w:color="auto" w:fill="FFFFFF"/>
              </w:rPr>
              <w:t xml:space="preserve">All conditions that predispose to pneumococcal bacteremia, fracture of cribriform plate, cochlear implants, cerebrospinal fluid otorrhea from basilar skull fracture, defects of the ear ossicle </w:t>
            </w:r>
          </w:p>
        </w:tc>
      </w:tr>
      <w:tr w:rsidR="00BD50E2" w:rsidRPr="0052525B" w14:paraId="1C2BA8C7" w14:textId="77777777" w:rsidTr="00BD50E2">
        <w:tc>
          <w:tcPr>
            <w:tcW w:w="1696" w:type="dxa"/>
          </w:tcPr>
          <w:p w14:paraId="7DC99D93" w14:textId="77777777" w:rsidR="00BD50E2" w:rsidRPr="0052525B" w:rsidRDefault="00BD50E2" w:rsidP="000A53E1">
            <w:pPr>
              <w:rPr>
                <w:i/>
                <w:sz w:val="20"/>
                <w:szCs w:val="20"/>
                <w:lang w:eastAsia="ja-JP"/>
              </w:rPr>
            </w:pPr>
            <w:r w:rsidRPr="00C121CC">
              <w:rPr>
                <w:sz w:val="20"/>
                <w:szCs w:val="20"/>
                <w:lang w:eastAsia="ja-JP"/>
              </w:rPr>
              <w:t>All ages</w:t>
            </w:r>
          </w:p>
        </w:tc>
        <w:tc>
          <w:tcPr>
            <w:tcW w:w="1696" w:type="dxa"/>
          </w:tcPr>
          <w:p w14:paraId="3AAF01EB" w14:textId="77777777" w:rsidR="00BD50E2" w:rsidRPr="0052525B" w:rsidRDefault="00BD50E2" w:rsidP="000A53E1">
            <w:pPr>
              <w:rPr>
                <w:i/>
                <w:sz w:val="20"/>
                <w:szCs w:val="20"/>
                <w:lang w:eastAsia="ja-JP"/>
              </w:rPr>
            </w:pPr>
            <w:r w:rsidRPr="00C121CC">
              <w:rPr>
                <w:i/>
                <w:sz w:val="20"/>
                <w:szCs w:val="20"/>
                <w:lang w:eastAsia="ja-JP"/>
              </w:rPr>
              <w:t>Coagulase-negative staphylococci</w:t>
            </w:r>
          </w:p>
        </w:tc>
        <w:tc>
          <w:tcPr>
            <w:tcW w:w="1985" w:type="dxa"/>
          </w:tcPr>
          <w:p w14:paraId="66E97567" w14:textId="77777777" w:rsidR="00BD50E2" w:rsidRPr="0052525B" w:rsidRDefault="00BD50E2" w:rsidP="000A53E1">
            <w:pPr>
              <w:rPr>
                <w:sz w:val="20"/>
                <w:szCs w:val="20"/>
                <w:lang w:eastAsia="ja-JP"/>
              </w:rPr>
            </w:pPr>
            <w:r w:rsidRPr="00C121CC">
              <w:rPr>
                <w:sz w:val="20"/>
                <w:szCs w:val="20"/>
                <w:lang w:eastAsia="ja-JP"/>
              </w:rPr>
              <w:t>Foreign body</w:t>
            </w:r>
          </w:p>
        </w:tc>
        <w:tc>
          <w:tcPr>
            <w:tcW w:w="3260" w:type="dxa"/>
          </w:tcPr>
          <w:p w14:paraId="2549D2E0" w14:textId="77777777" w:rsidR="00BD50E2" w:rsidRPr="0052525B" w:rsidRDefault="00BD50E2" w:rsidP="000A53E1">
            <w:pPr>
              <w:rPr>
                <w:sz w:val="20"/>
                <w:szCs w:val="20"/>
                <w:lang w:eastAsia="ja-JP"/>
              </w:rPr>
            </w:pPr>
            <w:r w:rsidRPr="00C121CC">
              <w:rPr>
                <w:color w:val="000000"/>
                <w:sz w:val="20"/>
                <w:szCs w:val="20"/>
                <w:shd w:val="clear" w:color="auto" w:fill="FFFFFF"/>
              </w:rPr>
              <w:t>Surgery and foreign body, especially ventricular drains</w:t>
            </w:r>
          </w:p>
        </w:tc>
      </w:tr>
      <w:tr w:rsidR="00BD50E2" w:rsidRPr="0052525B" w14:paraId="3AFF7A32" w14:textId="77777777" w:rsidTr="00BD50E2">
        <w:tc>
          <w:tcPr>
            <w:tcW w:w="1696" w:type="dxa"/>
          </w:tcPr>
          <w:p w14:paraId="51F6A61F" w14:textId="77777777" w:rsidR="00BD50E2" w:rsidRPr="0052525B" w:rsidRDefault="00BD50E2" w:rsidP="000A53E1">
            <w:pPr>
              <w:rPr>
                <w:i/>
                <w:sz w:val="20"/>
                <w:szCs w:val="20"/>
                <w:lang w:eastAsia="ja-JP"/>
              </w:rPr>
            </w:pPr>
            <w:r w:rsidRPr="00C121CC">
              <w:rPr>
                <w:sz w:val="20"/>
                <w:szCs w:val="20"/>
                <w:lang w:eastAsia="ja-JP"/>
              </w:rPr>
              <w:t>All ages</w:t>
            </w:r>
          </w:p>
        </w:tc>
        <w:tc>
          <w:tcPr>
            <w:tcW w:w="1696" w:type="dxa"/>
          </w:tcPr>
          <w:p w14:paraId="7E4FC634" w14:textId="77777777" w:rsidR="00BD50E2" w:rsidRPr="0052525B" w:rsidRDefault="00BD50E2" w:rsidP="000A53E1">
            <w:pPr>
              <w:rPr>
                <w:i/>
                <w:sz w:val="20"/>
                <w:szCs w:val="20"/>
                <w:lang w:eastAsia="ja-JP"/>
              </w:rPr>
            </w:pPr>
            <w:r w:rsidRPr="00C121CC">
              <w:rPr>
                <w:i/>
                <w:sz w:val="20"/>
                <w:szCs w:val="20"/>
                <w:lang w:eastAsia="ja-JP"/>
              </w:rPr>
              <w:t>Staphylococcus aureus</w:t>
            </w:r>
          </w:p>
        </w:tc>
        <w:tc>
          <w:tcPr>
            <w:tcW w:w="1985" w:type="dxa"/>
          </w:tcPr>
          <w:p w14:paraId="5573BC04" w14:textId="77777777" w:rsidR="00BD50E2" w:rsidRPr="0052525B" w:rsidRDefault="00BD50E2" w:rsidP="000A53E1">
            <w:pPr>
              <w:rPr>
                <w:sz w:val="20"/>
                <w:szCs w:val="20"/>
                <w:lang w:eastAsia="ja-JP"/>
              </w:rPr>
            </w:pPr>
            <w:r w:rsidRPr="00C121CC">
              <w:rPr>
                <w:sz w:val="20"/>
                <w:szCs w:val="20"/>
                <w:lang w:eastAsia="ja-JP"/>
              </w:rPr>
              <w:t>Bacteremia, foreign body, skin</w:t>
            </w:r>
          </w:p>
        </w:tc>
        <w:tc>
          <w:tcPr>
            <w:tcW w:w="3260" w:type="dxa"/>
          </w:tcPr>
          <w:p w14:paraId="5400BA7F" w14:textId="77777777" w:rsidR="00BD50E2" w:rsidRPr="0052525B" w:rsidRDefault="00BD50E2" w:rsidP="000A53E1">
            <w:pPr>
              <w:rPr>
                <w:sz w:val="20"/>
                <w:szCs w:val="20"/>
                <w:lang w:eastAsia="ja-JP"/>
              </w:rPr>
            </w:pPr>
            <w:r w:rsidRPr="00C121CC">
              <w:rPr>
                <w:color w:val="000000"/>
                <w:sz w:val="20"/>
                <w:szCs w:val="20"/>
                <w:shd w:val="clear" w:color="auto" w:fill="FFFFFF"/>
              </w:rPr>
              <w:t>Endocarditis, surgery and foreign body, especially ventricular drains; cellulitis, decubitus ulcer</w:t>
            </w:r>
          </w:p>
        </w:tc>
      </w:tr>
      <w:tr w:rsidR="00BD50E2" w:rsidRPr="0052525B" w14:paraId="5C1C7CA1" w14:textId="77777777" w:rsidTr="00BD50E2">
        <w:tc>
          <w:tcPr>
            <w:tcW w:w="1696" w:type="dxa"/>
          </w:tcPr>
          <w:p w14:paraId="75FFA4C1" w14:textId="77777777" w:rsidR="00BD50E2" w:rsidRPr="0052525B" w:rsidRDefault="00BD50E2" w:rsidP="000A53E1">
            <w:pPr>
              <w:rPr>
                <w:sz w:val="20"/>
                <w:szCs w:val="20"/>
                <w:lang w:eastAsia="ja-JP"/>
              </w:rPr>
            </w:pPr>
            <w:r w:rsidRPr="00C121CC">
              <w:rPr>
                <w:sz w:val="20"/>
                <w:szCs w:val="20"/>
                <w:lang w:eastAsia="ja-JP"/>
              </w:rPr>
              <w:t>Older adult (&gt;50yrs) and neonates</w:t>
            </w:r>
          </w:p>
        </w:tc>
        <w:tc>
          <w:tcPr>
            <w:tcW w:w="1696" w:type="dxa"/>
          </w:tcPr>
          <w:p w14:paraId="6B608316" w14:textId="77777777" w:rsidR="00BD50E2" w:rsidRPr="0052525B" w:rsidRDefault="00BD50E2" w:rsidP="000A53E1">
            <w:pPr>
              <w:rPr>
                <w:i/>
                <w:sz w:val="20"/>
                <w:szCs w:val="20"/>
                <w:lang w:eastAsia="ja-JP"/>
              </w:rPr>
            </w:pPr>
            <w:r w:rsidRPr="00C121CC">
              <w:rPr>
                <w:i/>
                <w:sz w:val="20"/>
                <w:szCs w:val="20"/>
                <w:lang w:eastAsia="ja-JP"/>
              </w:rPr>
              <w:t>Listeria monocytogenes</w:t>
            </w:r>
          </w:p>
        </w:tc>
        <w:tc>
          <w:tcPr>
            <w:tcW w:w="1985" w:type="dxa"/>
          </w:tcPr>
          <w:p w14:paraId="7091D04F" w14:textId="77777777" w:rsidR="00BD50E2" w:rsidRPr="0052525B" w:rsidRDefault="00BD50E2" w:rsidP="000A53E1">
            <w:pPr>
              <w:rPr>
                <w:sz w:val="20"/>
                <w:szCs w:val="20"/>
                <w:lang w:eastAsia="ja-JP"/>
              </w:rPr>
            </w:pPr>
            <w:r w:rsidRPr="00C121CC">
              <w:rPr>
                <w:sz w:val="20"/>
                <w:szCs w:val="20"/>
                <w:lang w:eastAsia="ja-JP"/>
              </w:rPr>
              <w:t>Gastrointestinal tract, placenta</w:t>
            </w:r>
          </w:p>
        </w:tc>
        <w:tc>
          <w:tcPr>
            <w:tcW w:w="3260" w:type="dxa"/>
          </w:tcPr>
          <w:p w14:paraId="24F16781" w14:textId="77777777" w:rsidR="00BD50E2" w:rsidRPr="00C121CC" w:rsidRDefault="00BD50E2" w:rsidP="000A53E1">
            <w:pPr>
              <w:rPr>
                <w:color w:val="000000"/>
                <w:sz w:val="20"/>
                <w:szCs w:val="20"/>
                <w:shd w:val="clear" w:color="auto" w:fill="FFFFFF"/>
              </w:rPr>
            </w:pPr>
            <w:r w:rsidRPr="00C121CC">
              <w:rPr>
                <w:color w:val="000000"/>
                <w:sz w:val="20"/>
                <w:szCs w:val="20"/>
                <w:shd w:val="clear" w:color="auto" w:fill="FFFFFF"/>
              </w:rPr>
              <w:t>Glucocorticoids, Transplantation (especially renal transplantation)</w:t>
            </w:r>
            <w:r w:rsidRPr="00C121CC">
              <w:rPr>
                <w:color w:val="000000"/>
                <w:sz w:val="20"/>
                <w:szCs w:val="20"/>
                <w:shd w:val="clear" w:color="auto" w:fill="FFFFFF"/>
                <w:lang w:eastAsia="ja-JP"/>
              </w:rPr>
              <w:t xml:space="preserve">, </w:t>
            </w:r>
            <w:r w:rsidRPr="00C121CC">
              <w:rPr>
                <w:color w:val="000000"/>
                <w:sz w:val="20"/>
                <w:szCs w:val="20"/>
                <w:shd w:val="clear" w:color="auto" w:fill="FFFFFF"/>
              </w:rPr>
              <w:t>Pregnancy, Liver disease, Alcoholism, Malignancy</w:t>
            </w:r>
          </w:p>
        </w:tc>
      </w:tr>
      <w:tr w:rsidR="00BD50E2" w:rsidRPr="0052525B" w14:paraId="161108F3" w14:textId="77777777" w:rsidTr="00BD50E2">
        <w:tc>
          <w:tcPr>
            <w:tcW w:w="1696" w:type="dxa"/>
          </w:tcPr>
          <w:p w14:paraId="4BE6123E" w14:textId="77777777" w:rsidR="00BD50E2" w:rsidRPr="0052525B" w:rsidRDefault="00BD50E2" w:rsidP="000A53E1">
            <w:pPr>
              <w:rPr>
                <w:i/>
                <w:sz w:val="20"/>
                <w:szCs w:val="20"/>
                <w:lang w:eastAsia="ja-JP"/>
              </w:rPr>
            </w:pPr>
            <w:r w:rsidRPr="00C121CC">
              <w:rPr>
                <w:sz w:val="20"/>
                <w:szCs w:val="20"/>
                <w:lang w:eastAsia="ja-JP"/>
              </w:rPr>
              <w:t>Older adults and neonates</w:t>
            </w:r>
          </w:p>
        </w:tc>
        <w:tc>
          <w:tcPr>
            <w:tcW w:w="1696" w:type="dxa"/>
          </w:tcPr>
          <w:p w14:paraId="5456A1A0" w14:textId="77777777" w:rsidR="00BD50E2" w:rsidRPr="0052525B" w:rsidRDefault="00BD50E2" w:rsidP="000A53E1">
            <w:pPr>
              <w:rPr>
                <w:i/>
                <w:sz w:val="20"/>
                <w:szCs w:val="20"/>
                <w:lang w:eastAsia="ja-JP"/>
              </w:rPr>
            </w:pPr>
            <w:r w:rsidRPr="00C121CC">
              <w:rPr>
                <w:i/>
                <w:sz w:val="20"/>
                <w:szCs w:val="20"/>
                <w:lang w:eastAsia="ja-JP"/>
              </w:rPr>
              <w:t>Gram-negative bacilli</w:t>
            </w:r>
          </w:p>
        </w:tc>
        <w:tc>
          <w:tcPr>
            <w:tcW w:w="1985" w:type="dxa"/>
          </w:tcPr>
          <w:p w14:paraId="1A834D72" w14:textId="77777777" w:rsidR="00BD50E2" w:rsidRPr="0052525B" w:rsidRDefault="00BD50E2" w:rsidP="000A53E1">
            <w:pPr>
              <w:rPr>
                <w:sz w:val="20"/>
                <w:szCs w:val="20"/>
                <w:lang w:eastAsia="ja-JP"/>
              </w:rPr>
            </w:pPr>
            <w:r w:rsidRPr="00C121CC">
              <w:rPr>
                <w:sz w:val="20"/>
                <w:szCs w:val="20"/>
                <w:lang w:eastAsia="ja-JP"/>
              </w:rPr>
              <w:t>Various</w:t>
            </w:r>
          </w:p>
        </w:tc>
        <w:tc>
          <w:tcPr>
            <w:tcW w:w="3260" w:type="dxa"/>
          </w:tcPr>
          <w:p w14:paraId="3A3ECB7B" w14:textId="77777777" w:rsidR="00BD50E2" w:rsidRPr="0052525B" w:rsidRDefault="00BD50E2" w:rsidP="000A53E1">
            <w:pPr>
              <w:rPr>
                <w:sz w:val="20"/>
                <w:szCs w:val="20"/>
                <w:lang w:eastAsia="ja-JP"/>
              </w:rPr>
            </w:pPr>
            <w:r w:rsidRPr="00C121CC">
              <w:rPr>
                <w:color w:val="000000"/>
                <w:sz w:val="20"/>
                <w:szCs w:val="20"/>
                <w:shd w:val="clear" w:color="auto" w:fill="FFFFFF"/>
              </w:rPr>
              <w:t>Advanced medical illness, neurosurgery, ventricular drains, disseminated strongyloidiasis</w:t>
            </w:r>
          </w:p>
        </w:tc>
      </w:tr>
      <w:tr w:rsidR="00BD50E2" w:rsidRPr="0052525B" w14:paraId="4F514B48" w14:textId="77777777" w:rsidTr="00BD50E2">
        <w:tc>
          <w:tcPr>
            <w:tcW w:w="1696" w:type="dxa"/>
          </w:tcPr>
          <w:p w14:paraId="26910EE5" w14:textId="77777777" w:rsidR="00BD50E2" w:rsidRPr="0052525B" w:rsidRDefault="00BD50E2" w:rsidP="000A53E1">
            <w:pPr>
              <w:rPr>
                <w:i/>
                <w:sz w:val="20"/>
                <w:szCs w:val="20"/>
                <w:lang w:eastAsia="ja-JP"/>
              </w:rPr>
            </w:pPr>
            <w:r w:rsidRPr="00C121CC">
              <w:rPr>
                <w:sz w:val="20"/>
                <w:szCs w:val="20"/>
                <w:lang w:eastAsia="ja-JP"/>
              </w:rPr>
              <w:t>Adults; infants and children if not vaccinated</w:t>
            </w:r>
          </w:p>
        </w:tc>
        <w:tc>
          <w:tcPr>
            <w:tcW w:w="1696" w:type="dxa"/>
          </w:tcPr>
          <w:p w14:paraId="25F53F02" w14:textId="77777777" w:rsidR="00BD50E2" w:rsidRPr="0052525B" w:rsidRDefault="00BD50E2" w:rsidP="000A53E1">
            <w:pPr>
              <w:rPr>
                <w:i/>
                <w:sz w:val="20"/>
                <w:szCs w:val="20"/>
                <w:lang w:eastAsia="ja-JP"/>
              </w:rPr>
            </w:pPr>
            <w:proofErr w:type="spellStart"/>
            <w:r w:rsidRPr="00C121CC">
              <w:rPr>
                <w:i/>
                <w:sz w:val="20"/>
                <w:szCs w:val="20"/>
                <w:lang w:eastAsia="ja-JP"/>
              </w:rPr>
              <w:t>Haemophilus</w:t>
            </w:r>
            <w:proofErr w:type="spellEnd"/>
            <w:r w:rsidRPr="00C121CC">
              <w:rPr>
                <w:i/>
                <w:sz w:val="20"/>
                <w:szCs w:val="20"/>
                <w:lang w:eastAsia="ja-JP"/>
              </w:rPr>
              <w:t xml:space="preserve"> influenzae</w:t>
            </w:r>
          </w:p>
        </w:tc>
        <w:tc>
          <w:tcPr>
            <w:tcW w:w="1985" w:type="dxa"/>
          </w:tcPr>
          <w:p w14:paraId="4C7F0512" w14:textId="77777777" w:rsidR="00BD50E2" w:rsidRPr="0052525B" w:rsidRDefault="00BD50E2" w:rsidP="000A53E1">
            <w:pPr>
              <w:rPr>
                <w:sz w:val="20"/>
                <w:szCs w:val="20"/>
                <w:lang w:eastAsia="ja-JP"/>
              </w:rPr>
            </w:pPr>
            <w:r w:rsidRPr="00C121CC">
              <w:rPr>
                <w:sz w:val="20"/>
                <w:szCs w:val="20"/>
                <w:lang w:eastAsia="ja-JP"/>
              </w:rPr>
              <w:t>Nasopharynx, contiguous spread from local infection</w:t>
            </w:r>
          </w:p>
        </w:tc>
        <w:tc>
          <w:tcPr>
            <w:tcW w:w="3260" w:type="dxa"/>
          </w:tcPr>
          <w:p w14:paraId="3FF2591C" w14:textId="77777777" w:rsidR="00BD50E2" w:rsidRPr="0052525B" w:rsidRDefault="00BD50E2" w:rsidP="000A53E1">
            <w:pPr>
              <w:rPr>
                <w:sz w:val="20"/>
                <w:szCs w:val="20"/>
                <w:lang w:eastAsia="ja-JP"/>
              </w:rPr>
            </w:pPr>
            <w:r w:rsidRPr="00C121CC">
              <w:rPr>
                <w:color w:val="000000"/>
                <w:sz w:val="20"/>
                <w:szCs w:val="20"/>
                <w:shd w:val="clear" w:color="auto" w:fill="FFFFFF"/>
              </w:rPr>
              <w:t>Diminished humoral immunity</w:t>
            </w:r>
          </w:p>
        </w:tc>
      </w:tr>
    </w:tbl>
    <w:p w14:paraId="51C82D3B" w14:textId="77777777" w:rsidR="00C45102" w:rsidRDefault="00C45102" w:rsidP="000A53E1">
      <w:pPr>
        <w:rPr>
          <w:b/>
          <w:lang w:eastAsia="ja-JP"/>
        </w:rPr>
      </w:pPr>
    </w:p>
    <w:p w14:paraId="7CC1E743" w14:textId="20C8C8B3" w:rsidR="0051078E" w:rsidRPr="0051078E" w:rsidRDefault="0051078E" w:rsidP="000A53E1">
      <w:pPr>
        <w:rPr>
          <w:b/>
          <w:color w:val="000000"/>
          <w:szCs w:val="22"/>
          <w:shd w:val="clear" w:color="auto" w:fill="FFFFFF"/>
        </w:rPr>
      </w:pPr>
      <w:r w:rsidRPr="0051078E">
        <w:rPr>
          <w:rFonts w:hint="eastAsia"/>
          <w:b/>
          <w:lang w:eastAsia="ja-JP"/>
        </w:rPr>
        <w:t>2</w:t>
      </w:r>
      <w:r w:rsidRPr="0051078E">
        <w:rPr>
          <w:b/>
          <w:lang w:eastAsia="ja-JP"/>
        </w:rPr>
        <w:t>)</w:t>
      </w:r>
      <w:r w:rsidRPr="0051078E">
        <w:rPr>
          <w:b/>
          <w:color w:val="000000"/>
          <w:szCs w:val="22"/>
          <w:shd w:val="clear" w:color="auto" w:fill="FFFFFF"/>
        </w:rPr>
        <w:t xml:space="preserve"> Viral</w:t>
      </w:r>
      <w:r w:rsidR="0052525B">
        <w:rPr>
          <w:b/>
          <w:color w:val="000000"/>
          <w:szCs w:val="22"/>
          <w:shd w:val="clear" w:color="auto" w:fill="FFFFFF"/>
        </w:rPr>
        <w:t>:</w:t>
      </w:r>
    </w:p>
    <w:p w14:paraId="35D1FAF0" w14:textId="3C22DECB" w:rsidR="0051078E" w:rsidRDefault="0051078E" w:rsidP="000A53E1">
      <w:pPr>
        <w:rPr>
          <w:lang w:eastAsia="ja-JP"/>
        </w:rPr>
      </w:pPr>
      <w:proofErr w:type="gramStart"/>
      <w:r>
        <w:rPr>
          <w:color w:val="000000"/>
          <w:szCs w:val="22"/>
          <w:shd w:val="clear" w:color="auto" w:fill="FFFFFF"/>
        </w:rPr>
        <w:t>A number of</w:t>
      </w:r>
      <w:proofErr w:type="gramEnd"/>
      <w:r>
        <w:rPr>
          <w:color w:val="000000"/>
          <w:szCs w:val="22"/>
          <w:shd w:val="clear" w:color="auto" w:fill="FFFFFF"/>
        </w:rPr>
        <w:t xml:space="preserve"> viruses produce aseptic meningitis including enteroviruses, herpes simplex virus (HSV), human immunodeficiency virus (HIV), West Nile virus, varicella-zoster virus</w:t>
      </w:r>
      <w:r w:rsidR="002C7DCE">
        <w:rPr>
          <w:color w:val="000000"/>
          <w:szCs w:val="22"/>
          <w:shd w:val="clear" w:color="auto" w:fill="FFFFFF"/>
        </w:rPr>
        <w:t>,</w:t>
      </w:r>
      <w:r>
        <w:rPr>
          <w:color w:val="000000"/>
          <w:szCs w:val="22"/>
          <w:shd w:val="clear" w:color="auto" w:fill="FFFFFF"/>
        </w:rPr>
        <w:t xml:space="preserve"> mumps, and lymphocytic choriomeningitis virus</w:t>
      </w:r>
      <w:r w:rsidR="009E3BFD">
        <w:rPr>
          <w:color w:val="000000"/>
          <w:szCs w:val="22"/>
          <w:shd w:val="clear" w:color="auto" w:fill="FFFFFF"/>
        </w:rPr>
        <w:t>.</w:t>
      </w:r>
    </w:p>
    <w:p w14:paraId="53949DEE" w14:textId="77777777" w:rsidR="00EB205E" w:rsidRPr="0082749A" w:rsidRDefault="0051078E" w:rsidP="000A53E1">
      <w:pPr>
        <w:rPr>
          <w:b/>
          <w:lang w:eastAsia="ja-JP"/>
        </w:rPr>
      </w:pPr>
      <w:r>
        <w:rPr>
          <w:b/>
          <w:lang w:eastAsia="ja-JP"/>
        </w:rPr>
        <w:t>3</w:t>
      </w:r>
      <w:r w:rsidR="0049667F" w:rsidRPr="0082749A">
        <w:rPr>
          <w:b/>
          <w:lang w:eastAsia="ja-JP"/>
        </w:rPr>
        <w:t>) Chronic meningitis</w:t>
      </w:r>
      <w:r w:rsidR="0052525B">
        <w:rPr>
          <w:b/>
          <w:lang w:eastAsia="ja-JP"/>
        </w:rPr>
        <w:t>:</w:t>
      </w:r>
    </w:p>
    <w:tbl>
      <w:tblPr>
        <w:tblStyle w:val="TableGrid"/>
        <w:tblW w:w="9249" w:type="dxa"/>
        <w:tblLayout w:type="fixed"/>
        <w:tblLook w:val="04A0" w:firstRow="1" w:lastRow="0" w:firstColumn="1" w:lastColumn="0" w:noHBand="0" w:noVBand="1"/>
      </w:tblPr>
      <w:tblGrid>
        <w:gridCol w:w="1838"/>
        <w:gridCol w:w="1838"/>
        <w:gridCol w:w="2244"/>
        <w:gridCol w:w="3329"/>
      </w:tblGrid>
      <w:tr w:rsidR="00466A00" w:rsidRPr="00915756" w14:paraId="404840D9" w14:textId="77777777" w:rsidTr="000A53E1">
        <w:tc>
          <w:tcPr>
            <w:tcW w:w="1838" w:type="dxa"/>
            <w:shd w:val="clear" w:color="auto" w:fill="D9D9D9" w:themeFill="background1" w:themeFillShade="D9"/>
            <w:vAlign w:val="bottom"/>
          </w:tcPr>
          <w:p w14:paraId="077B9E03" w14:textId="77777777" w:rsidR="00466A00" w:rsidRPr="00915756" w:rsidRDefault="00466A00" w:rsidP="000A53E1">
            <w:pPr>
              <w:rPr>
                <w:b/>
                <w:sz w:val="20"/>
                <w:szCs w:val="20"/>
                <w:lang w:eastAsia="ja-JP"/>
              </w:rPr>
            </w:pPr>
            <w:r w:rsidRPr="00915756">
              <w:rPr>
                <w:b/>
                <w:sz w:val="20"/>
                <w:szCs w:val="20"/>
                <w:lang w:eastAsia="ja-JP"/>
              </w:rPr>
              <w:t>Age range</w:t>
            </w:r>
          </w:p>
        </w:tc>
        <w:tc>
          <w:tcPr>
            <w:tcW w:w="1838" w:type="dxa"/>
            <w:shd w:val="clear" w:color="auto" w:fill="D9D9D9" w:themeFill="background1" w:themeFillShade="D9"/>
            <w:vAlign w:val="bottom"/>
          </w:tcPr>
          <w:p w14:paraId="2C6997CE" w14:textId="77777777" w:rsidR="00466A00" w:rsidRPr="00915756" w:rsidRDefault="000A53E1" w:rsidP="000A53E1">
            <w:pPr>
              <w:rPr>
                <w:b/>
                <w:sz w:val="20"/>
                <w:szCs w:val="20"/>
                <w:lang w:eastAsia="ja-JP"/>
              </w:rPr>
            </w:pPr>
            <w:r>
              <w:rPr>
                <w:b/>
                <w:sz w:val="20"/>
                <w:szCs w:val="20"/>
                <w:lang w:eastAsia="ja-JP"/>
              </w:rPr>
              <w:t>O</w:t>
            </w:r>
            <w:r w:rsidR="00466A00" w:rsidRPr="00915756">
              <w:rPr>
                <w:b/>
                <w:sz w:val="20"/>
                <w:szCs w:val="20"/>
                <w:lang w:eastAsia="ja-JP"/>
              </w:rPr>
              <w:t>rganism</w:t>
            </w:r>
          </w:p>
        </w:tc>
        <w:tc>
          <w:tcPr>
            <w:tcW w:w="2244" w:type="dxa"/>
            <w:shd w:val="clear" w:color="auto" w:fill="D9D9D9" w:themeFill="background1" w:themeFillShade="D9"/>
            <w:vAlign w:val="bottom"/>
          </w:tcPr>
          <w:p w14:paraId="69F194F2" w14:textId="77777777" w:rsidR="00466A00" w:rsidRPr="00915756" w:rsidRDefault="00466A00" w:rsidP="000A53E1">
            <w:pPr>
              <w:rPr>
                <w:b/>
                <w:sz w:val="20"/>
                <w:szCs w:val="20"/>
                <w:lang w:eastAsia="ja-JP"/>
              </w:rPr>
            </w:pPr>
            <w:r w:rsidRPr="00915756">
              <w:rPr>
                <w:b/>
                <w:sz w:val="20"/>
                <w:szCs w:val="20"/>
                <w:lang w:eastAsia="ja-JP"/>
              </w:rPr>
              <w:t>Site of entry</w:t>
            </w:r>
          </w:p>
        </w:tc>
        <w:tc>
          <w:tcPr>
            <w:tcW w:w="3329" w:type="dxa"/>
            <w:shd w:val="clear" w:color="auto" w:fill="D9D9D9" w:themeFill="background1" w:themeFillShade="D9"/>
            <w:vAlign w:val="bottom"/>
          </w:tcPr>
          <w:p w14:paraId="73EC0351" w14:textId="77777777" w:rsidR="00466A00" w:rsidRPr="00915756" w:rsidRDefault="00466A00" w:rsidP="000A53E1">
            <w:pPr>
              <w:rPr>
                <w:b/>
                <w:sz w:val="20"/>
                <w:szCs w:val="20"/>
                <w:lang w:eastAsia="ja-JP"/>
              </w:rPr>
            </w:pPr>
            <w:r w:rsidRPr="00915756">
              <w:rPr>
                <w:b/>
                <w:sz w:val="20"/>
                <w:szCs w:val="20"/>
                <w:lang w:eastAsia="ja-JP"/>
              </w:rPr>
              <w:t>Predisposing conditions</w:t>
            </w:r>
          </w:p>
        </w:tc>
      </w:tr>
      <w:tr w:rsidR="00466A00" w:rsidRPr="00915756" w14:paraId="5CAF649A" w14:textId="77777777" w:rsidTr="000A53E1">
        <w:tc>
          <w:tcPr>
            <w:tcW w:w="1838" w:type="dxa"/>
          </w:tcPr>
          <w:p w14:paraId="2EEC9994" w14:textId="77777777" w:rsidR="00466A00" w:rsidRPr="00915756" w:rsidRDefault="00466A00" w:rsidP="000A53E1">
            <w:pPr>
              <w:rPr>
                <w:rStyle w:val="Emphasis"/>
                <w:color w:val="000000"/>
                <w:sz w:val="20"/>
                <w:szCs w:val="20"/>
                <w:shd w:val="clear" w:color="auto" w:fill="FFFFFF"/>
              </w:rPr>
            </w:pPr>
            <w:r w:rsidRPr="00915756">
              <w:rPr>
                <w:rFonts w:hint="eastAsia"/>
                <w:sz w:val="20"/>
                <w:szCs w:val="20"/>
                <w:lang w:eastAsia="ja-JP"/>
              </w:rPr>
              <w:t>A</w:t>
            </w:r>
            <w:r w:rsidRPr="00915756">
              <w:rPr>
                <w:sz w:val="20"/>
                <w:szCs w:val="20"/>
                <w:lang w:eastAsia="ja-JP"/>
              </w:rPr>
              <w:t>ll ages</w:t>
            </w:r>
          </w:p>
        </w:tc>
        <w:tc>
          <w:tcPr>
            <w:tcW w:w="1838" w:type="dxa"/>
          </w:tcPr>
          <w:p w14:paraId="45CC86F3" w14:textId="77777777" w:rsidR="00466A00" w:rsidRPr="00915756" w:rsidRDefault="00466A00" w:rsidP="000A53E1">
            <w:pPr>
              <w:rPr>
                <w:i/>
                <w:sz w:val="20"/>
                <w:szCs w:val="20"/>
                <w:lang w:eastAsia="ja-JP"/>
              </w:rPr>
            </w:pPr>
            <w:r w:rsidRPr="00915756">
              <w:rPr>
                <w:rStyle w:val="Emphasis"/>
                <w:color w:val="000000"/>
                <w:sz w:val="20"/>
                <w:szCs w:val="20"/>
                <w:shd w:val="clear" w:color="auto" w:fill="FFFFFF"/>
              </w:rPr>
              <w:t>Mycobacterium tuberculosis</w:t>
            </w:r>
          </w:p>
        </w:tc>
        <w:tc>
          <w:tcPr>
            <w:tcW w:w="2244" w:type="dxa"/>
          </w:tcPr>
          <w:p w14:paraId="5261FD5B" w14:textId="77777777" w:rsidR="00466A00" w:rsidRPr="00915756" w:rsidRDefault="00466A00" w:rsidP="000A53E1">
            <w:pPr>
              <w:rPr>
                <w:sz w:val="20"/>
                <w:szCs w:val="20"/>
                <w:lang w:eastAsia="ja-JP"/>
              </w:rPr>
            </w:pPr>
            <w:r w:rsidRPr="00915756">
              <w:rPr>
                <w:sz w:val="20"/>
                <w:szCs w:val="20"/>
                <w:lang w:eastAsia="ja-JP"/>
              </w:rPr>
              <w:t>Pulmonary TB</w:t>
            </w:r>
          </w:p>
        </w:tc>
        <w:tc>
          <w:tcPr>
            <w:tcW w:w="3329" w:type="dxa"/>
          </w:tcPr>
          <w:p w14:paraId="1441672D" w14:textId="77777777" w:rsidR="00466A00" w:rsidRPr="00915756" w:rsidRDefault="00466A00" w:rsidP="000A53E1">
            <w:pPr>
              <w:rPr>
                <w:sz w:val="20"/>
                <w:szCs w:val="20"/>
              </w:rPr>
            </w:pPr>
            <w:r w:rsidRPr="00915756">
              <w:rPr>
                <w:sz w:val="20"/>
                <w:szCs w:val="20"/>
              </w:rPr>
              <w:t>Acute complication of pulmonary TB or as a reactivation of extra pulmonary TB.</w:t>
            </w:r>
          </w:p>
          <w:p w14:paraId="2C1FD808" w14:textId="77777777" w:rsidR="00466A00" w:rsidRPr="00915756" w:rsidRDefault="00466A00" w:rsidP="000A53E1">
            <w:pPr>
              <w:rPr>
                <w:sz w:val="20"/>
                <w:szCs w:val="20"/>
                <w:lang w:eastAsia="ja-JP"/>
              </w:rPr>
            </w:pPr>
            <w:r w:rsidRPr="00915756">
              <w:rPr>
                <w:sz w:val="20"/>
                <w:szCs w:val="20"/>
              </w:rPr>
              <w:t>HIV significantly increases the risk.</w:t>
            </w:r>
          </w:p>
        </w:tc>
      </w:tr>
      <w:tr w:rsidR="00466A00" w:rsidRPr="00915756" w14:paraId="76C9FEF6" w14:textId="77777777" w:rsidTr="000A53E1">
        <w:tc>
          <w:tcPr>
            <w:tcW w:w="1838" w:type="dxa"/>
          </w:tcPr>
          <w:p w14:paraId="4FB33C8A" w14:textId="77777777" w:rsidR="00466A00" w:rsidRPr="00915756" w:rsidRDefault="00466A00" w:rsidP="000A53E1">
            <w:pPr>
              <w:rPr>
                <w:rStyle w:val="Emphasis"/>
                <w:color w:val="000000"/>
                <w:sz w:val="20"/>
                <w:szCs w:val="20"/>
                <w:shd w:val="clear" w:color="auto" w:fill="FFFFFF"/>
              </w:rPr>
            </w:pPr>
            <w:r w:rsidRPr="00915756">
              <w:rPr>
                <w:rFonts w:hint="eastAsia"/>
                <w:sz w:val="20"/>
                <w:szCs w:val="20"/>
                <w:lang w:eastAsia="ja-JP"/>
              </w:rPr>
              <w:t>A</w:t>
            </w:r>
            <w:r w:rsidRPr="00915756">
              <w:rPr>
                <w:sz w:val="20"/>
                <w:szCs w:val="20"/>
                <w:lang w:eastAsia="ja-JP"/>
              </w:rPr>
              <w:t>ll ages</w:t>
            </w:r>
          </w:p>
        </w:tc>
        <w:tc>
          <w:tcPr>
            <w:tcW w:w="1838" w:type="dxa"/>
          </w:tcPr>
          <w:p w14:paraId="2A2656BF" w14:textId="77777777" w:rsidR="00466A00" w:rsidRPr="00915756" w:rsidRDefault="00466A00" w:rsidP="000A53E1">
            <w:pPr>
              <w:rPr>
                <w:i/>
                <w:sz w:val="20"/>
                <w:szCs w:val="20"/>
                <w:lang w:eastAsia="ja-JP"/>
              </w:rPr>
            </w:pPr>
            <w:r w:rsidRPr="00915756">
              <w:rPr>
                <w:rStyle w:val="Emphasis"/>
                <w:color w:val="000000"/>
                <w:sz w:val="20"/>
                <w:szCs w:val="20"/>
                <w:shd w:val="clear" w:color="auto" w:fill="FFFFFF"/>
              </w:rPr>
              <w:t>Cryptococcus neoformans</w:t>
            </w:r>
          </w:p>
        </w:tc>
        <w:tc>
          <w:tcPr>
            <w:tcW w:w="2244" w:type="dxa"/>
          </w:tcPr>
          <w:p w14:paraId="1BDAA459" w14:textId="77777777" w:rsidR="00466A00" w:rsidRPr="00915756" w:rsidRDefault="00466A00" w:rsidP="000A53E1">
            <w:pPr>
              <w:rPr>
                <w:sz w:val="20"/>
                <w:szCs w:val="20"/>
                <w:lang w:eastAsia="ja-JP"/>
              </w:rPr>
            </w:pPr>
          </w:p>
        </w:tc>
        <w:tc>
          <w:tcPr>
            <w:tcW w:w="3329" w:type="dxa"/>
          </w:tcPr>
          <w:p w14:paraId="2DDF9E55" w14:textId="20C9E3B8" w:rsidR="00466A00" w:rsidRPr="00915756" w:rsidRDefault="00466A00" w:rsidP="000A53E1">
            <w:pPr>
              <w:rPr>
                <w:sz w:val="20"/>
                <w:szCs w:val="20"/>
                <w:lang w:eastAsia="ja-JP"/>
              </w:rPr>
            </w:pPr>
            <w:r w:rsidRPr="00915756">
              <w:rPr>
                <w:sz w:val="20"/>
                <w:szCs w:val="20"/>
              </w:rPr>
              <w:t>CD4 counts &lt;</w:t>
            </w:r>
            <w:r w:rsidR="002C7DCE">
              <w:rPr>
                <w:sz w:val="20"/>
                <w:szCs w:val="20"/>
              </w:rPr>
              <w:t xml:space="preserve"> </w:t>
            </w:r>
            <w:r w:rsidRPr="00915756">
              <w:rPr>
                <w:sz w:val="20"/>
                <w:szCs w:val="20"/>
              </w:rPr>
              <w:t>100 cells/mm</w:t>
            </w:r>
            <w:r w:rsidRPr="00915756">
              <w:rPr>
                <w:sz w:val="20"/>
                <w:szCs w:val="20"/>
                <w:vertAlign w:val="superscript"/>
              </w:rPr>
              <w:t>3</w:t>
            </w:r>
            <w:r w:rsidRPr="00915756">
              <w:rPr>
                <w:sz w:val="20"/>
                <w:szCs w:val="20"/>
              </w:rPr>
              <w:t>.</w:t>
            </w:r>
          </w:p>
        </w:tc>
      </w:tr>
    </w:tbl>
    <w:p w14:paraId="3E472CA3" w14:textId="77777777" w:rsidR="0049667F" w:rsidRDefault="0049667F" w:rsidP="000A53E1">
      <w:pPr>
        <w:rPr>
          <w:lang w:eastAsia="ja-JP"/>
        </w:rPr>
      </w:pPr>
    </w:p>
    <w:p w14:paraId="3109873D" w14:textId="77777777" w:rsidR="001753C8" w:rsidRDefault="001753C8">
      <w:pPr>
        <w:spacing w:after="0"/>
        <w:outlineLvl w:val="9"/>
        <w:rPr>
          <w:b/>
          <w:sz w:val="24"/>
          <w:szCs w:val="22"/>
        </w:rPr>
      </w:pPr>
      <w:r>
        <w:rPr>
          <w:szCs w:val="22"/>
        </w:rPr>
        <w:br w:type="page"/>
      </w:r>
    </w:p>
    <w:p w14:paraId="4B883A10" w14:textId="42B83D03" w:rsidR="00975A60" w:rsidRDefault="00975A60" w:rsidP="000A53E1">
      <w:pPr>
        <w:pStyle w:val="Heading2"/>
        <w:rPr>
          <w:rFonts w:cs="Arial"/>
          <w:szCs w:val="22"/>
        </w:rPr>
      </w:pPr>
      <w:r w:rsidRPr="00DC590C">
        <w:rPr>
          <w:rFonts w:cs="Arial"/>
          <w:szCs w:val="22"/>
        </w:rPr>
        <w:lastRenderedPageBreak/>
        <w:t>Presenting symptoms and signs</w:t>
      </w:r>
    </w:p>
    <w:p w14:paraId="44285147" w14:textId="16D25FF6" w:rsidR="00AA5079" w:rsidRDefault="00AA5079" w:rsidP="000A53E1">
      <w:r>
        <w:t xml:space="preserve">The main clinical features of </w:t>
      </w:r>
      <w:r w:rsidR="004A4B8A">
        <w:t>acute bacterial meningitis</w:t>
      </w:r>
      <w:r>
        <w:t xml:space="preserve"> </w:t>
      </w:r>
      <w:r w:rsidR="00C45102">
        <w:t xml:space="preserve">(ABM) </w:t>
      </w:r>
      <w:r>
        <w:t>are headache, fever and meningism. When this triad is accompanied by alteration in consciousness or seizures, the diagnosis is usually not in doubt. Other symptoms include photophobia, nausea, vomiting, backache and lethargy.</w:t>
      </w:r>
      <w:r w:rsidRPr="00AA5079">
        <w:t xml:space="preserve"> </w:t>
      </w:r>
      <w:r>
        <w:t>Progression occurs rapidly over 1-3 days but a smaller number may have an acute fulminant course lasting hours. However patients with HIV infection may present with only one or two of these main features.</w:t>
      </w:r>
    </w:p>
    <w:p w14:paraId="59C2E5FC" w14:textId="77777777" w:rsidR="004A4B8A" w:rsidRDefault="008549BF" w:rsidP="000A53E1">
      <w:pPr>
        <w:rPr>
          <w:szCs w:val="22"/>
        </w:rPr>
      </w:pPr>
      <w:r>
        <w:t>TB</w:t>
      </w:r>
      <w:r w:rsidR="004A4B8A">
        <w:t xml:space="preserve"> </w:t>
      </w:r>
      <w:r>
        <w:t>M</w:t>
      </w:r>
      <w:r w:rsidR="004A4B8A">
        <w:t>eningitis</w:t>
      </w:r>
      <w:r>
        <w:t xml:space="preserve"> is a difficult condition to diagnose and confirm clinically. The clinical features are those of slowly progressive. Constitutional TB symptoms including fever, night sweats, weight loss and malaise may be present for a week or more early on but these may also be absent or are not specific for TB. The main neurological symptoms suggestive of TB</w:t>
      </w:r>
      <w:r w:rsidR="006F6BD7">
        <w:t xml:space="preserve"> meningitis</w:t>
      </w:r>
      <w:r>
        <w:t xml:space="preserve"> are headache, nausea, vomiting, irritability, </w:t>
      </w:r>
      <w:proofErr w:type="spellStart"/>
      <w:r>
        <w:t>behaviour</w:t>
      </w:r>
      <w:proofErr w:type="spellEnd"/>
      <w:r>
        <w:t xml:space="preserve"> change and meningism of gradual onset usually for a period of one week or usually longer in adults. However, headaches may be less prominent in children, fever may be absent in 10-20% of adults and the signs of meningitis are generally less prominent as compared to </w:t>
      </w:r>
      <w:r w:rsidR="006F6BD7">
        <w:t>acute bacterial meningitis</w:t>
      </w:r>
      <w:r>
        <w:t>.</w:t>
      </w:r>
    </w:p>
    <w:p w14:paraId="24FDE28B" w14:textId="77777777" w:rsidR="00975A60" w:rsidRPr="00DC590C" w:rsidRDefault="00975A60" w:rsidP="000A53E1">
      <w:pPr>
        <w:pStyle w:val="Heading2"/>
        <w:rPr>
          <w:rFonts w:cs="Arial"/>
          <w:szCs w:val="22"/>
        </w:rPr>
      </w:pPr>
      <w:r w:rsidRPr="00DC590C">
        <w:rPr>
          <w:rFonts w:cs="Arial"/>
          <w:szCs w:val="22"/>
        </w:rPr>
        <w:t>Examination findings</w:t>
      </w:r>
    </w:p>
    <w:p w14:paraId="3AE8BAD9" w14:textId="77777777" w:rsidR="00F03F25" w:rsidRDefault="001203AE" w:rsidP="000A53E1">
      <w:pPr>
        <w:pStyle w:val="Heading2"/>
        <w:rPr>
          <w:rFonts w:cs="Arial"/>
          <w:szCs w:val="22"/>
        </w:rPr>
      </w:pPr>
      <w:r w:rsidRPr="003C0800">
        <w:rPr>
          <w:rFonts w:cs="Arial"/>
          <w:szCs w:val="22"/>
        </w:rPr>
        <w:t>Management</w:t>
      </w:r>
      <w:r>
        <w:rPr>
          <w:rFonts w:cs="Arial"/>
          <w:szCs w:val="22"/>
        </w:rPr>
        <w:t xml:space="preserve"> </w:t>
      </w:r>
    </w:p>
    <w:p w14:paraId="0D54F432" w14:textId="77777777" w:rsidR="008741AB" w:rsidRDefault="008741AB" w:rsidP="000A53E1">
      <w:r w:rsidRPr="00080045">
        <w:rPr>
          <w:b/>
        </w:rPr>
        <w:t>Investigations</w:t>
      </w:r>
      <w:r>
        <w:t>:</w:t>
      </w:r>
    </w:p>
    <w:p w14:paraId="0F28E215" w14:textId="77777777" w:rsidR="008741AB" w:rsidRPr="00915756" w:rsidRDefault="008741AB" w:rsidP="000A53E1">
      <w:pPr>
        <w:rPr>
          <w:szCs w:val="22"/>
          <w:lang w:eastAsia="ja-JP"/>
        </w:rPr>
      </w:pPr>
      <w:r w:rsidRPr="00915756">
        <w:rPr>
          <w:rFonts w:hint="eastAsia"/>
          <w:b/>
          <w:szCs w:val="22"/>
          <w:lang w:eastAsia="ja-JP"/>
        </w:rPr>
        <w:t>1</w:t>
      </w:r>
      <w:r w:rsidRPr="00915756">
        <w:rPr>
          <w:b/>
          <w:szCs w:val="22"/>
          <w:lang w:eastAsia="ja-JP"/>
        </w:rPr>
        <w:t>) Blood culture</w:t>
      </w:r>
      <w:r w:rsidRPr="00915756">
        <w:rPr>
          <w:szCs w:val="22"/>
          <w:lang w:eastAsia="ja-JP"/>
        </w:rPr>
        <w:t xml:space="preserve"> are often positive and can be useful </w:t>
      </w:r>
      <w:proofErr w:type="gramStart"/>
      <w:r w:rsidRPr="00915756">
        <w:rPr>
          <w:szCs w:val="22"/>
          <w:lang w:eastAsia="ja-JP"/>
        </w:rPr>
        <w:t>in the event that</w:t>
      </w:r>
      <w:proofErr w:type="gramEnd"/>
      <w:r w:rsidRPr="00915756">
        <w:rPr>
          <w:szCs w:val="22"/>
          <w:lang w:eastAsia="ja-JP"/>
        </w:rPr>
        <w:t xml:space="preserve"> cerebrospinal fluid (CSF) cannot be obtained before the administration of antimicrobials. Approximately 50 to 90 percent of patients with bacterial meningitis have positive blood cultures.</w:t>
      </w:r>
    </w:p>
    <w:p w14:paraId="2E75F0C9" w14:textId="77777777" w:rsidR="008741AB" w:rsidRPr="00915756" w:rsidRDefault="008741AB" w:rsidP="000A53E1">
      <w:pPr>
        <w:rPr>
          <w:szCs w:val="22"/>
        </w:rPr>
      </w:pPr>
      <w:r w:rsidRPr="00915756">
        <w:rPr>
          <w:b/>
          <w:szCs w:val="22"/>
        </w:rPr>
        <w:t>2) Lumbar puncture (LP)</w:t>
      </w:r>
      <w:r w:rsidRPr="00915756">
        <w:rPr>
          <w:szCs w:val="22"/>
        </w:rPr>
        <w:t xml:space="preserve"> is the key investigation and is an overall simple and very safe test.</w:t>
      </w:r>
    </w:p>
    <w:p w14:paraId="7DA3087C" w14:textId="77777777" w:rsidR="008741AB" w:rsidRDefault="008741AB" w:rsidP="000A53E1">
      <w:pPr>
        <w:rPr>
          <w:color w:val="000000"/>
          <w:szCs w:val="22"/>
          <w:shd w:val="clear" w:color="auto" w:fill="FFFFFF"/>
        </w:rPr>
      </w:pPr>
      <w:r w:rsidRPr="00915756">
        <w:rPr>
          <w:color w:val="000000"/>
          <w:szCs w:val="22"/>
          <w:shd w:val="clear" w:color="auto" w:fill="FFFFFF"/>
        </w:rPr>
        <w:t>*CONTRAINDICATIONS- Increased intracranial pressure</w:t>
      </w:r>
      <w:r w:rsidR="00854EE5">
        <w:rPr>
          <w:color w:val="000000"/>
          <w:szCs w:val="22"/>
          <w:shd w:val="clear" w:color="auto" w:fill="FFFFFF"/>
        </w:rPr>
        <w:t>;</w:t>
      </w:r>
      <w:r w:rsidRPr="00915756">
        <w:rPr>
          <w:color w:val="000000"/>
          <w:szCs w:val="22"/>
          <w:shd w:val="clear" w:color="auto" w:fill="FFFFFF"/>
        </w:rPr>
        <w:t xml:space="preserve"> Thrombocytopenia or other bleeding diathesis</w:t>
      </w:r>
      <w:r w:rsidR="00854EE5">
        <w:rPr>
          <w:color w:val="000000"/>
          <w:szCs w:val="22"/>
          <w:shd w:val="clear" w:color="auto" w:fill="FFFFFF"/>
        </w:rPr>
        <w:t>;</w:t>
      </w:r>
      <w:r w:rsidRPr="00915756">
        <w:rPr>
          <w:color w:val="000000"/>
          <w:szCs w:val="22"/>
          <w:shd w:val="clear" w:color="auto" w:fill="FFFFFF"/>
        </w:rPr>
        <w:t xml:space="preserve"> Cardiopulmonary instability</w:t>
      </w:r>
      <w:r w:rsidR="00854EE5">
        <w:rPr>
          <w:color w:val="000000"/>
          <w:szCs w:val="22"/>
          <w:shd w:val="clear" w:color="auto" w:fill="FFFFFF"/>
        </w:rPr>
        <w:t>;</w:t>
      </w:r>
      <w:r w:rsidRPr="00915756">
        <w:rPr>
          <w:color w:val="000000"/>
          <w:szCs w:val="22"/>
          <w:shd w:val="clear" w:color="auto" w:fill="FFFFFF"/>
        </w:rPr>
        <w:t xml:space="preserve"> Soft tissue infection at the puncture site</w:t>
      </w:r>
      <w:r>
        <w:rPr>
          <w:color w:val="000000"/>
          <w:szCs w:val="22"/>
          <w:shd w:val="clear" w:color="auto" w:fill="FFFFFF"/>
        </w:rPr>
        <w:t>.</w:t>
      </w:r>
    </w:p>
    <w:p w14:paraId="72898976" w14:textId="5595FF42" w:rsidR="000A53E1" w:rsidRDefault="000A53E1" w:rsidP="000A53E1">
      <w:pPr>
        <w:spacing w:after="0"/>
        <w:outlineLvl w:val="9"/>
        <w:rPr>
          <w:color w:val="000000"/>
          <w:szCs w:val="22"/>
          <w:shd w:val="clear" w:color="auto" w:fill="FFFFFF"/>
        </w:rPr>
      </w:pPr>
    </w:p>
    <w:tbl>
      <w:tblPr>
        <w:tblStyle w:val="TableGrid"/>
        <w:tblW w:w="9067" w:type="dxa"/>
        <w:tblLayout w:type="fixed"/>
        <w:tblLook w:val="04A0" w:firstRow="1" w:lastRow="0" w:firstColumn="1" w:lastColumn="0" w:noHBand="0" w:noVBand="1"/>
      </w:tblPr>
      <w:tblGrid>
        <w:gridCol w:w="1892"/>
        <w:gridCol w:w="1793"/>
        <w:gridCol w:w="1794"/>
        <w:gridCol w:w="1794"/>
        <w:gridCol w:w="1794"/>
      </w:tblGrid>
      <w:tr w:rsidR="008741AB" w:rsidRPr="00915756" w14:paraId="18E7F9DB" w14:textId="77777777" w:rsidTr="000A53E1">
        <w:tc>
          <w:tcPr>
            <w:tcW w:w="1892" w:type="dxa"/>
            <w:shd w:val="clear" w:color="auto" w:fill="D9D9D9" w:themeFill="background1" w:themeFillShade="D9"/>
            <w:vAlign w:val="bottom"/>
          </w:tcPr>
          <w:p w14:paraId="216B5CFE" w14:textId="77777777" w:rsidR="008741AB" w:rsidRPr="00915756" w:rsidRDefault="008741AB" w:rsidP="000A53E1">
            <w:pPr>
              <w:rPr>
                <w:b/>
                <w:sz w:val="20"/>
                <w:szCs w:val="20"/>
              </w:rPr>
            </w:pPr>
          </w:p>
        </w:tc>
        <w:tc>
          <w:tcPr>
            <w:tcW w:w="1793" w:type="dxa"/>
            <w:shd w:val="clear" w:color="auto" w:fill="D9D9D9" w:themeFill="background1" w:themeFillShade="D9"/>
            <w:vAlign w:val="bottom"/>
          </w:tcPr>
          <w:p w14:paraId="2EDB501F" w14:textId="77777777" w:rsidR="008741AB" w:rsidRPr="00915756" w:rsidRDefault="000A53E1" w:rsidP="000A53E1">
            <w:pPr>
              <w:rPr>
                <w:b/>
                <w:sz w:val="20"/>
                <w:szCs w:val="20"/>
                <w:lang w:eastAsia="ja-JP"/>
              </w:rPr>
            </w:pPr>
            <w:r>
              <w:rPr>
                <w:b/>
                <w:sz w:val="20"/>
                <w:szCs w:val="20"/>
                <w:lang w:eastAsia="ja-JP"/>
              </w:rPr>
              <w:t>A</w:t>
            </w:r>
            <w:r w:rsidR="008741AB" w:rsidRPr="00915756">
              <w:rPr>
                <w:b/>
                <w:sz w:val="20"/>
                <w:szCs w:val="20"/>
                <w:lang w:eastAsia="ja-JP"/>
              </w:rPr>
              <w:t>cute bacterial meningitis</w:t>
            </w:r>
          </w:p>
        </w:tc>
        <w:tc>
          <w:tcPr>
            <w:tcW w:w="1794" w:type="dxa"/>
            <w:shd w:val="clear" w:color="auto" w:fill="D9D9D9" w:themeFill="background1" w:themeFillShade="D9"/>
            <w:vAlign w:val="bottom"/>
          </w:tcPr>
          <w:p w14:paraId="2E9D728E" w14:textId="77777777" w:rsidR="008741AB" w:rsidRPr="00915756" w:rsidRDefault="000A53E1" w:rsidP="000A53E1">
            <w:pPr>
              <w:rPr>
                <w:b/>
                <w:sz w:val="20"/>
                <w:szCs w:val="20"/>
                <w:lang w:eastAsia="ja-JP"/>
              </w:rPr>
            </w:pPr>
            <w:r>
              <w:rPr>
                <w:b/>
                <w:sz w:val="20"/>
                <w:szCs w:val="20"/>
                <w:lang w:eastAsia="ja-JP"/>
              </w:rPr>
              <w:t>T</w:t>
            </w:r>
            <w:r w:rsidR="008741AB" w:rsidRPr="00915756">
              <w:rPr>
                <w:b/>
                <w:sz w:val="20"/>
                <w:szCs w:val="20"/>
                <w:lang w:eastAsia="ja-JP"/>
              </w:rPr>
              <w:t>uberculous</w:t>
            </w:r>
          </w:p>
        </w:tc>
        <w:tc>
          <w:tcPr>
            <w:tcW w:w="1794" w:type="dxa"/>
            <w:shd w:val="clear" w:color="auto" w:fill="D9D9D9" w:themeFill="background1" w:themeFillShade="D9"/>
            <w:vAlign w:val="bottom"/>
          </w:tcPr>
          <w:p w14:paraId="69407B63" w14:textId="77777777" w:rsidR="008741AB" w:rsidRPr="00915756" w:rsidRDefault="000A53E1" w:rsidP="000A53E1">
            <w:pPr>
              <w:rPr>
                <w:b/>
                <w:sz w:val="20"/>
                <w:szCs w:val="20"/>
                <w:lang w:eastAsia="ja-JP"/>
              </w:rPr>
            </w:pPr>
            <w:r>
              <w:rPr>
                <w:b/>
                <w:sz w:val="20"/>
                <w:szCs w:val="20"/>
                <w:lang w:eastAsia="ja-JP"/>
              </w:rPr>
              <w:t>C</w:t>
            </w:r>
            <w:r w:rsidR="008741AB" w:rsidRPr="00915756">
              <w:rPr>
                <w:b/>
                <w:sz w:val="20"/>
                <w:szCs w:val="20"/>
                <w:lang w:eastAsia="ja-JP"/>
              </w:rPr>
              <w:t>ryptococcal</w:t>
            </w:r>
          </w:p>
        </w:tc>
        <w:tc>
          <w:tcPr>
            <w:tcW w:w="1794" w:type="dxa"/>
            <w:shd w:val="clear" w:color="auto" w:fill="D9D9D9" w:themeFill="background1" w:themeFillShade="D9"/>
            <w:vAlign w:val="bottom"/>
          </w:tcPr>
          <w:p w14:paraId="69CA81F1" w14:textId="77777777" w:rsidR="008741AB" w:rsidRPr="00915756" w:rsidRDefault="000A53E1" w:rsidP="000A53E1">
            <w:pPr>
              <w:rPr>
                <w:b/>
                <w:sz w:val="20"/>
                <w:szCs w:val="20"/>
                <w:lang w:eastAsia="ja-JP"/>
              </w:rPr>
            </w:pPr>
            <w:r>
              <w:rPr>
                <w:b/>
                <w:sz w:val="20"/>
                <w:szCs w:val="20"/>
                <w:lang w:eastAsia="ja-JP"/>
              </w:rPr>
              <w:t>V</w:t>
            </w:r>
            <w:r w:rsidR="008741AB" w:rsidRPr="00915756">
              <w:rPr>
                <w:b/>
                <w:sz w:val="20"/>
                <w:szCs w:val="20"/>
                <w:lang w:eastAsia="ja-JP"/>
              </w:rPr>
              <w:t>iral</w:t>
            </w:r>
          </w:p>
        </w:tc>
      </w:tr>
      <w:tr w:rsidR="008741AB" w:rsidRPr="00915756" w14:paraId="6383533D" w14:textId="77777777" w:rsidTr="00EF3DF5">
        <w:tc>
          <w:tcPr>
            <w:tcW w:w="1892" w:type="dxa"/>
          </w:tcPr>
          <w:p w14:paraId="16691157" w14:textId="77777777" w:rsidR="008741AB" w:rsidRPr="000A53E1" w:rsidRDefault="00854EE5" w:rsidP="000A53E1">
            <w:pPr>
              <w:rPr>
                <w:b/>
                <w:sz w:val="20"/>
                <w:szCs w:val="20"/>
                <w:lang w:eastAsia="ja-JP"/>
              </w:rPr>
            </w:pPr>
            <w:r w:rsidRPr="000A53E1">
              <w:rPr>
                <w:b/>
                <w:sz w:val="20"/>
                <w:szCs w:val="20"/>
                <w:lang w:eastAsia="ja-JP"/>
              </w:rPr>
              <w:t>Appearance</w:t>
            </w:r>
          </w:p>
        </w:tc>
        <w:tc>
          <w:tcPr>
            <w:tcW w:w="1793" w:type="dxa"/>
          </w:tcPr>
          <w:p w14:paraId="57CAF4B8" w14:textId="77777777" w:rsidR="008741AB" w:rsidRPr="00915756" w:rsidRDefault="008741AB" w:rsidP="000A53E1">
            <w:pPr>
              <w:rPr>
                <w:sz w:val="20"/>
                <w:szCs w:val="20"/>
                <w:lang w:eastAsia="ja-JP"/>
              </w:rPr>
            </w:pPr>
            <w:r w:rsidRPr="00915756">
              <w:rPr>
                <w:sz w:val="20"/>
                <w:szCs w:val="20"/>
                <w:lang w:eastAsia="ja-JP"/>
              </w:rPr>
              <w:t>cloudy, purulent</w:t>
            </w:r>
          </w:p>
        </w:tc>
        <w:tc>
          <w:tcPr>
            <w:tcW w:w="1794" w:type="dxa"/>
          </w:tcPr>
          <w:p w14:paraId="201B26F0" w14:textId="77777777" w:rsidR="008741AB" w:rsidRPr="00915756" w:rsidRDefault="008741AB" w:rsidP="000A53E1">
            <w:pPr>
              <w:rPr>
                <w:sz w:val="20"/>
                <w:szCs w:val="20"/>
                <w:lang w:eastAsia="ja-JP"/>
              </w:rPr>
            </w:pPr>
            <w:r w:rsidRPr="00915756">
              <w:rPr>
                <w:sz w:val="20"/>
                <w:szCs w:val="20"/>
                <w:lang w:eastAsia="ja-JP"/>
              </w:rPr>
              <w:t>yellow/cloudy</w:t>
            </w:r>
          </w:p>
        </w:tc>
        <w:tc>
          <w:tcPr>
            <w:tcW w:w="1794" w:type="dxa"/>
          </w:tcPr>
          <w:p w14:paraId="4CB194D6" w14:textId="77777777" w:rsidR="008741AB" w:rsidRPr="00915756" w:rsidRDefault="008741AB" w:rsidP="000A53E1">
            <w:pPr>
              <w:rPr>
                <w:sz w:val="20"/>
                <w:szCs w:val="20"/>
                <w:lang w:eastAsia="ja-JP"/>
              </w:rPr>
            </w:pPr>
            <w:r w:rsidRPr="00915756">
              <w:rPr>
                <w:sz w:val="20"/>
                <w:szCs w:val="20"/>
                <w:lang w:eastAsia="ja-JP"/>
              </w:rPr>
              <w:t>clear/cloudy</w:t>
            </w:r>
          </w:p>
        </w:tc>
        <w:tc>
          <w:tcPr>
            <w:tcW w:w="1794" w:type="dxa"/>
          </w:tcPr>
          <w:p w14:paraId="53A7B2CD" w14:textId="1C3FF491" w:rsidR="008741AB" w:rsidRPr="00915756" w:rsidRDefault="00324DC0" w:rsidP="000A53E1">
            <w:pPr>
              <w:rPr>
                <w:sz w:val="20"/>
                <w:szCs w:val="20"/>
                <w:lang w:eastAsia="ja-JP"/>
              </w:rPr>
            </w:pPr>
            <w:r w:rsidRPr="00915756">
              <w:rPr>
                <w:sz w:val="20"/>
                <w:szCs w:val="20"/>
                <w:lang w:eastAsia="ja-JP"/>
              </w:rPr>
              <w:t>C</w:t>
            </w:r>
            <w:r w:rsidR="008741AB" w:rsidRPr="00915756">
              <w:rPr>
                <w:sz w:val="20"/>
                <w:szCs w:val="20"/>
                <w:lang w:eastAsia="ja-JP"/>
              </w:rPr>
              <w:t>lear</w:t>
            </w:r>
            <w:r>
              <w:rPr>
                <w:sz w:val="20"/>
                <w:szCs w:val="20"/>
                <w:lang w:eastAsia="ja-JP"/>
              </w:rPr>
              <w:t xml:space="preserve"> </w:t>
            </w:r>
            <w:r w:rsidR="008741AB" w:rsidRPr="00915756">
              <w:rPr>
                <w:sz w:val="20"/>
                <w:szCs w:val="20"/>
                <w:lang w:eastAsia="ja-JP"/>
              </w:rPr>
              <w:t>(cloudy)</w:t>
            </w:r>
          </w:p>
        </w:tc>
      </w:tr>
      <w:tr w:rsidR="008741AB" w:rsidRPr="00915756" w14:paraId="3CD5CA63" w14:textId="77777777" w:rsidTr="00EF3DF5">
        <w:tc>
          <w:tcPr>
            <w:tcW w:w="1892" w:type="dxa"/>
          </w:tcPr>
          <w:p w14:paraId="401D3329" w14:textId="77777777" w:rsidR="008741AB" w:rsidRPr="000A53E1" w:rsidRDefault="00854EE5" w:rsidP="000A53E1">
            <w:pPr>
              <w:rPr>
                <w:b/>
                <w:sz w:val="20"/>
                <w:szCs w:val="20"/>
                <w:lang w:eastAsia="ja-JP"/>
              </w:rPr>
            </w:pPr>
            <w:r w:rsidRPr="000A53E1">
              <w:rPr>
                <w:b/>
                <w:sz w:val="20"/>
                <w:szCs w:val="20"/>
                <w:lang w:eastAsia="ja-JP"/>
              </w:rPr>
              <w:t>Cell/mm</w:t>
            </w:r>
            <w:r w:rsidR="008741AB" w:rsidRPr="000A53E1">
              <w:rPr>
                <w:b/>
                <w:sz w:val="20"/>
                <w:szCs w:val="20"/>
                <w:vertAlign w:val="superscript"/>
                <w:lang w:eastAsia="ja-JP"/>
              </w:rPr>
              <w:t>3</w:t>
            </w:r>
          </w:p>
        </w:tc>
        <w:tc>
          <w:tcPr>
            <w:tcW w:w="1793" w:type="dxa"/>
          </w:tcPr>
          <w:p w14:paraId="3B408A3B" w14:textId="77777777" w:rsidR="008741AB" w:rsidRPr="00915756" w:rsidRDefault="008741AB" w:rsidP="000A53E1">
            <w:pPr>
              <w:rPr>
                <w:sz w:val="20"/>
                <w:szCs w:val="20"/>
                <w:lang w:eastAsia="ja-JP"/>
              </w:rPr>
            </w:pPr>
            <w:r w:rsidRPr="00915756">
              <w:rPr>
                <w:sz w:val="20"/>
                <w:szCs w:val="20"/>
                <w:lang w:eastAsia="ja-JP"/>
              </w:rPr>
              <w:t>high</w:t>
            </w:r>
          </w:p>
          <w:p w14:paraId="3603C736" w14:textId="4C4CB6B5" w:rsidR="008741AB" w:rsidRPr="00915756" w:rsidRDefault="008741AB" w:rsidP="000A53E1">
            <w:pPr>
              <w:rPr>
                <w:sz w:val="20"/>
                <w:szCs w:val="20"/>
                <w:vertAlign w:val="superscript"/>
                <w:lang w:eastAsia="ja-JP"/>
              </w:rPr>
            </w:pPr>
            <w:r w:rsidRPr="00915756">
              <w:rPr>
                <w:rFonts w:hint="eastAsia"/>
                <w:sz w:val="20"/>
                <w:szCs w:val="20"/>
                <w:lang w:eastAsia="ja-JP"/>
              </w:rPr>
              <w:t>&gt;</w:t>
            </w:r>
            <w:r w:rsidR="009F1E8D">
              <w:rPr>
                <w:sz w:val="20"/>
                <w:szCs w:val="20"/>
                <w:lang w:eastAsia="ja-JP"/>
              </w:rPr>
              <w:t xml:space="preserve"> </w:t>
            </w:r>
            <w:r w:rsidRPr="00915756">
              <w:rPr>
                <w:sz w:val="20"/>
                <w:szCs w:val="20"/>
                <w:lang w:eastAsia="ja-JP"/>
              </w:rPr>
              <w:t>2000/mm</w:t>
            </w:r>
            <w:r w:rsidRPr="00915756">
              <w:rPr>
                <w:sz w:val="20"/>
                <w:szCs w:val="20"/>
                <w:vertAlign w:val="superscript"/>
                <w:lang w:eastAsia="ja-JP"/>
              </w:rPr>
              <w:t>3</w:t>
            </w:r>
          </w:p>
          <w:p w14:paraId="49FE2AEC" w14:textId="77777777" w:rsidR="008741AB" w:rsidRPr="00915756" w:rsidRDefault="008741AB" w:rsidP="000A53E1">
            <w:pPr>
              <w:rPr>
                <w:sz w:val="20"/>
                <w:szCs w:val="20"/>
                <w:lang w:eastAsia="ja-JP"/>
              </w:rPr>
            </w:pPr>
            <w:r w:rsidRPr="00915756">
              <w:rPr>
                <w:rFonts w:hint="eastAsia"/>
                <w:sz w:val="20"/>
                <w:szCs w:val="20"/>
                <w:lang w:eastAsia="ja-JP"/>
              </w:rPr>
              <w:t>n</w:t>
            </w:r>
            <w:r w:rsidRPr="00915756">
              <w:rPr>
                <w:sz w:val="20"/>
                <w:szCs w:val="20"/>
                <w:lang w:eastAsia="ja-JP"/>
              </w:rPr>
              <w:t>eutrophils</w:t>
            </w:r>
          </w:p>
        </w:tc>
        <w:tc>
          <w:tcPr>
            <w:tcW w:w="1794" w:type="dxa"/>
          </w:tcPr>
          <w:p w14:paraId="36C18470" w14:textId="77777777" w:rsidR="008741AB" w:rsidRPr="00915756" w:rsidRDefault="008741AB" w:rsidP="000A53E1">
            <w:pPr>
              <w:rPr>
                <w:sz w:val="20"/>
                <w:szCs w:val="20"/>
                <w:lang w:eastAsia="ja-JP"/>
              </w:rPr>
            </w:pPr>
            <w:r w:rsidRPr="00915756">
              <w:rPr>
                <w:sz w:val="20"/>
                <w:szCs w:val="20"/>
                <w:lang w:eastAsia="ja-JP"/>
              </w:rPr>
              <w:t>increased</w:t>
            </w:r>
          </w:p>
          <w:p w14:paraId="39029B53" w14:textId="77777777" w:rsidR="008741AB" w:rsidRPr="00915756" w:rsidRDefault="008741AB" w:rsidP="000A53E1">
            <w:pPr>
              <w:rPr>
                <w:sz w:val="20"/>
                <w:szCs w:val="20"/>
                <w:vertAlign w:val="superscript"/>
                <w:lang w:eastAsia="ja-JP"/>
              </w:rPr>
            </w:pPr>
            <w:r w:rsidRPr="00915756">
              <w:rPr>
                <w:rFonts w:hint="eastAsia"/>
                <w:sz w:val="20"/>
                <w:szCs w:val="20"/>
                <w:lang w:eastAsia="ja-JP"/>
              </w:rPr>
              <w:t>5</w:t>
            </w:r>
            <w:r w:rsidRPr="00915756">
              <w:rPr>
                <w:sz w:val="20"/>
                <w:szCs w:val="20"/>
                <w:lang w:eastAsia="ja-JP"/>
              </w:rPr>
              <w:t>0-500/mm</w:t>
            </w:r>
            <w:r w:rsidRPr="00915756">
              <w:rPr>
                <w:sz w:val="20"/>
                <w:szCs w:val="20"/>
                <w:vertAlign w:val="superscript"/>
                <w:lang w:eastAsia="ja-JP"/>
              </w:rPr>
              <w:t>3</w:t>
            </w:r>
          </w:p>
          <w:p w14:paraId="340D8270" w14:textId="77777777" w:rsidR="008741AB" w:rsidRPr="00915756" w:rsidRDefault="008741AB" w:rsidP="000A53E1">
            <w:pPr>
              <w:rPr>
                <w:sz w:val="20"/>
                <w:szCs w:val="20"/>
                <w:lang w:eastAsia="ja-JP"/>
              </w:rPr>
            </w:pPr>
            <w:r w:rsidRPr="00915756">
              <w:rPr>
                <w:rFonts w:hint="eastAsia"/>
                <w:sz w:val="20"/>
                <w:szCs w:val="20"/>
                <w:lang w:eastAsia="ja-JP"/>
              </w:rPr>
              <w:t>l</w:t>
            </w:r>
            <w:r w:rsidRPr="00915756">
              <w:rPr>
                <w:sz w:val="20"/>
                <w:szCs w:val="20"/>
                <w:lang w:eastAsia="ja-JP"/>
              </w:rPr>
              <w:t>ymphocytes</w:t>
            </w:r>
          </w:p>
        </w:tc>
        <w:tc>
          <w:tcPr>
            <w:tcW w:w="1794" w:type="dxa"/>
          </w:tcPr>
          <w:p w14:paraId="0551E0E0" w14:textId="77777777" w:rsidR="008741AB" w:rsidRPr="00915756" w:rsidRDefault="008741AB" w:rsidP="000A53E1">
            <w:pPr>
              <w:rPr>
                <w:sz w:val="20"/>
                <w:szCs w:val="20"/>
                <w:lang w:eastAsia="ja-JP"/>
              </w:rPr>
            </w:pPr>
            <w:r w:rsidRPr="00915756">
              <w:rPr>
                <w:sz w:val="20"/>
                <w:szCs w:val="20"/>
                <w:lang w:eastAsia="ja-JP"/>
              </w:rPr>
              <w:t>normal/increased</w:t>
            </w:r>
          </w:p>
          <w:p w14:paraId="312CB137" w14:textId="77777777" w:rsidR="008741AB" w:rsidRPr="00915756" w:rsidRDefault="008741AB" w:rsidP="000A53E1">
            <w:pPr>
              <w:rPr>
                <w:sz w:val="20"/>
                <w:szCs w:val="20"/>
                <w:vertAlign w:val="superscript"/>
                <w:lang w:eastAsia="ja-JP"/>
              </w:rPr>
            </w:pPr>
            <w:r w:rsidRPr="00915756">
              <w:rPr>
                <w:rFonts w:hint="eastAsia"/>
                <w:sz w:val="20"/>
                <w:szCs w:val="20"/>
                <w:lang w:eastAsia="ja-JP"/>
              </w:rPr>
              <w:t>0</w:t>
            </w:r>
            <w:r w:rsidRPr="00915756">
              <w:rPr>
                <w:sz w:val="20"/>
                <w:szCs w:val="20"/>
                <w:lang w:eastAsia="ja-JP"/>
              </w:rPr>
              <w:t>-100/mm</w:t>
            </w:r>
            <w:r w:rsidRPr="00915756">
              <w:rPr>
                <w:sz w:val="20"/>
                <w:szCs w:val="20"/>
                <w:vertAlign w:val="superscript"/>
                <w:lang w:eastAsia="ja-JP"/>
              </w:rPr>
              <w:t>3</w:t>
            </w:r>
          </w:p>
          <w:p w14:paraId="1A975B88" w14:textId="77777777" w:rsidR="008741AB" w:rsidRPr="00915756" w:rsidRDefault="008741AB" w:rsidP="000A53E1">
            <w:pPr>
              <w:rPr>
                <w:sz w:val="20"/>
                <w:szCs w:val="20"/>
                <w:lang w:eastAsia="ja-JP"/>
              </w:rPr>
            </w:pPr>
            <w:r w:rsidRPr="00915756">
              <w:rPr>
                <w:rFonts w:hint="eastAsia"/>
                <w:sz w:val="20"/>
                <w:szCs w:val="20"/>
                <w:lang w:eastAsia="ja-JP"/>
              </w:rPr>
              <w:t>l</w:t>
            </w:r>
            <w:r w:rsidRPr="00915756">
              <w:rPr>
                <w:sz w:val="20"/>
                <w:szCs w:val="20"/>
                <w:lang w:eastAsia="ja-JP"/>
              </w:rPr>
              <w:t>ymphocytes</w:t>
            </w:r>
          </w:p>
        </w:tc>
        <w:tc>
          <w:tcPr>
            <w:tcW w:w="1794" w:type="dxa"/>
          </w:tcPr>
          <w:p w14:paraId="3B9F2DFF" w14:textId="77777777" w:rsidR="008741AB" w:rsidRPr="00915756" w:rsidRDefault="008741AB" w:rsidP="000A53E1">
            <w:pPr>
              <w:rPr>
                <w:sz w:val="20"/>
                <w:szCs w:val="20"/>
                <w:lang w:eastAsia="ja-JP"/>
              </w:rPr>
            </w:pPr>
            <w:r w:rsidRPr="00915756">
              <w:rPr>
                <w:sz w:val="20"/>
                <w:szCs w:val="20"/>
                <w:lang w:eastAsia="ja-JP"/>
              </w:rPr>
              <w:t>normal/increased</w:t>
            </w:r>
          </w:p>
          <w:p w14:paraId="64B47550" w14:textId="77777777" w:rsidR="008741AB" w:rsidRPr="00915756" w:rsidRDefault="008741AB" w:rsidP="000A53E1">
            <w:pPr>
              <w:rPr>
                <w:sz w:val="20"/>
                <w:szCs w:val="20"/>
                <w:vertAlign w:val="superscript"/>
                <w:lang w:eastAsia="ja-JP"/>
              </w:rPr>
            </w:pPr>
            <w:r w:rsidRPr="00915756">
              <w:rPr>
                <w:rFonts w:hint="eastAsia"/>
                <w:sz w:val="20"/>
                <w:szCs w:val="20"/>
                <w:lang w:eastAsia="ja-JP"/>
              </w:rPr>
              <w:t>0</w:t>
            </w:r>
            <w:r w:rsidRPr="00915756">
              <w:rPr>
                <w:sz w:val="20"/>
                <w:szCs w:val="20"/>
                <w:lang w:eastAsia="ja-JP"/>
              </w:rPr>
              <w:t>-500/mm</w:t>
            </w:r>
            <w:r w:rsidRPr="00915756">
              <w:rPr>
                <w:sz w:val="20"/>
                <w:szCs w:val="20"/>
                <w:vertAlign w:val="superscript"/>
                <w:lang w:eastAsia="ja-JP"/>
              </w:rPr>
              <w:t>3</w:t>
            </w:r>
          </w:p>
          <w:p w14:paraId="7A056A8E" w14:textId="77777777" w:rsidR="008741AB" w:rsidRPr="00915756" w:rsidRDefault="008741AB" w:rsidP="000A53E1">
            <w:pPr>
              <w:rPr>
                <w:sz w:val="20"/>
                <w:szCs w:val="20"/>
                <w:lang w:eastAsia="ja-JP"/>
              </w:rPr>
            </w:pPr>
            <w:r w:rsidRPr="00915756">
              <w:rPr>
                <w:rFonts w:hint="eastAsia"/>
                <w:sz w:val="20"/>
                <w:szCs w:val="20"/>
                <w:lang w:eastAsia="ja-JP"/>
              </w:rPr>
              <w:t>l</w:t>
            </w:r>
            <w:r w:rsidRPr="00915756">
              <w:rPr>
                <w:sz w:val="20"/>
                <w:szCs w:val="20"/>
                <w:lang w:eastAsia="ja-JP"/>
              </w:rPr>
              <w:t>ymphocytes</w:t>
            </w:r>
          </w:p>
        </w:tc>
      </w:tr>
      <w:tr w:rsidR="008741AB" w:rsidRPr="00915756" w14:paraId="4EBE7D95" w14:textId="77777777" w:rsidTr="00EF3DF5">
        <w:tc>
          <w:tcPr>
            <w:tcW w:w="1892" w:type="dxa"/>
          </w:tcPr>
          <w:p w14:paraId="70C21B18" w14:textId="77777777" w:rsidR="008741AB" w:rsidRPr="000A53E1" w:rsidRDefault="00854EE5" w:rsidP="000A53E1">
            <w:pPr>
              <w:rPr>
                <w:b/>
                <w:sz w:val="20"/>
                <w:szCs w:val="20"/>
                <w:lang w:eastAsia="ja-JP"/>
              </w:rPr>
            </w:pPr>
            <w:r w:rsidRPr="000A53E1">
              <w:rPr>
                <w:b/>
                <w:sz w:val="20"/>
                <w:szCs w:val="20"/>
                <w:lang w:eastAsia="ja-JP"/>
              </w:rPr>
              <w:t>Glucose</w:t>
            </w:r>
          </w:p>
          <w:p w14:paraId="61964D78" w14:textId="070C13C5" w:rsidR="008741AB" w:rsidRPr="000A53E1" w:rsidRDefault="008741AB" w:rsidP="000A53E1">
            <w:pPr>
              <w:rPr>
                <w:b/>
                <w:sz w:val="20"/>
                <w:szCs w:val="20"/>
                <w:lang w:eastAsia="ja-JP"/>
              </w:rPr>
            </w:pPr>
            <w:r w:rsidRPr="000A53E1">
              <w:rPr>
                <w:rFonts w:hint="eastAsia"/>
                <w:b/>
                <w:sz w:val="20"/>
                <w:szCs w:val="20"/>
                <w:lang w:eastAsia="ja-JP"/>
              </w:rPr>
              <w:t>(</w:t>
            </w:r>
            <w:r w:rsidRPr="000A53E1">
              <w:rPr>
                <w:b/>
                <w:sz w:val="20"/>
                <w:szCs w:val="20"/>
                <w:lang w:eastAsia="ja-JP"/>
              </w:rPr>
              <w:t>n=&gt;</w:t>
            </w:r>
            <w:r w:rsidR="00324DC0">
              <w:rPr>
                <w:b/>
                <w:sz w:val="20"/>
                <w:szCs w:val="20"/>
                <w:lang w:eastAsia="ja-JP"/>
              </w:rPr>
              <w:t xml:space="preserve"> </w:t>
            </w:r>
            <w:r w:rsidRPr="000A53E1">
              <w:rPr>
                <w:b/>
                <w:sz w:val="20"/>
                <w:szCs w:val="20"/>
                <w:lang w:eastAsia="ja-JP"/>
              </w:rPr>
              <w:t>50% of plasma level)</w:t>
            </w:r>
          </w:p>
        </w:tc>
        <w:tc>
          <w:tcPr>
            <w:tcW w:w="1793" w:type="dxa"/>
          </w:tcPr>
          <w:p w14:paraId="5E26E835" w14:textId="77777777" w:rsidR="008741AB" w:rsidRPr="00915756" w:rsidRDefault="008741AB" w:rsidP="000A53E1">
            <w:pPr>
              <w:rPr>
                <w:sz w:val="20"/>
                <w:szCs w:val="20"/>
                <w:lang w:eastAsia="ja-JP"/>
              </w:rPr>
            </w:pPr>
            <w:r w:rsidRPr="00915756">
              <w:rPr>
                <w:sz w:val="20"/>
                <w:szCs w:val="20"/>
                <w:lang w:eastAsia="ja-JP"/>
              </w:rPr>
              <w:t>very low/absent</w:t>
            </w:r>
          </w:p>
          <w:p w14:paraId="15A71D83" w14:textId="77777777" w:rsidR="008741AB" w:rsidRPr="00915756" w:rsidRDefault="008741AB" w:rsidP="000A53E1">
            <w:pPr>
              <w:rPr>
                <w:sz w:val="20"/>
                <w:szCs w:val="20"/>
                <w:lang w:eastAsia="ja-JP"/>
              </w:rPr>
            </w:pPr>
            <w:r w:rsidRPr="00915756">
              <w:rPr>
                <w:rFonts w:hint="eastAsia"/>
                <w:sz w:val="20"/>
                <w:szCs w:val="20"/>
                <w:lang w:eastAsia="ja-JP"/>
              </w:rPr>
              <w:t>&lt;</w:t>
            </w:r>
            <w:r w:rsidRPr="00915756">
              <w:rPr>
                <w:sz w:val="20"/>
                <w:szCs w:val="20"/>
                <w:lang w:eastAsia="ja-JP"/>
              </w:rPr>
              <w:t>1mmol/L</w:t>
            </w:r>
          </w:p>
        </w:tc>
        <w:tc>
          <w:tcPr>
            <w:tcW w:w="1794" w:type="dxa"/>
          </w:tcPr>
          <w:p w14:paraId="4723DF6A" w14:textId="77777777" w:rsidR="008741AB" w:rsidRPr="00915756" w:rsidRDefault="008741AB" w:rsidP="000A53E1">
            <w:pPr>
              <w:rPr>
                <w:sz w:val="20"/>
                <w:szCs w:val="20"/>
                <w:lang w:eastAsia="ja-JP"/>
              </w:rPr>
            </w:pPr>
            <w:r w:rsidRPr="00915756">
              <w:rPr>
                <w:rFonts w:hint="eastAsia"/>
                <w:sz w:val="20"/>
                <w:szCs w:val="20"/>
                <w:lang w:eastAsia="ja-JP"/>
              </w:rPr>
              <w:t>l</w:t>
            </w:r>
            <w:r w:rsidRPr="00915756">
              <w:rPr>
                <w:sz w:val="20"/>
                <w:szCs w:val="20"/>
                <w:lang w:eastAsia="ja-JP"/>
              </w:rPr>
              <w:t>ow</w:t>
            </w:r>
          </w:p>
        </w:tc>
        <w:tc>
          <w:tcPr>
            <w:tcW w:w="1794" w:type="dxa"/>
          </w:tcPr>
          <w:p w14:paraId="463EC185" w14:textId="77777777" w:rsidR="008741AB" w:rsidRPr="00915756" w:rsidRDefault="008741AB" w:rsidP="000A53E1">
            <w:pPr>
              <w:rPr>
                <w:sz w:val="20"/>
                <w:szCs w:val="20"/>
                <w:lang w:eastAsia="ja-JP"/>
              </w:rPr>
            </w:pPr>
            <w:r w:rsidRPr="00915756">
              <w:rPr>
                <w:sz w:val="20"/>
                <w:szCs w:val="20"/>
                <w:lang w:eastAsia="ja-JP"/>
              </w:rPr>
              <w:t>normal/low</w:t>
            </w:r>
          </w:p>
        </w:tc>
        <w:tc>
          <w:tcPr>
            <w:tcW w:w="1794" w:type="dxa"/>
          </w:tcPr>
          <w:p w14:paraId="7092E740" w14:textId="77777777" w:rsidR="008741AB" w:rsidRPr="00915756" w:rsidRDefault="008741AB" w:rsidP="000A53E1">
            <w:pPr>
              <w:rPr>
                <w:sz w:val="20"/>
                <w:szCs w:val="20"/>
                <w:lang w:eastAsia="ja-JP"/>
              </w:rPr>
            </w:pPr>
            <w:r w:rsidRPr="00915756">
              <w:rPr>
                <w:rFonts w:hint="eastAsia"/>
                <w:sz w:val="20"/>
                <w:szCs w:val="20"/>
                <w:lang w:eastAsia="ja-JP"/>
              </w:rPr>
              <w:t>n</w:t>
            </w:r>
            <w:r w:rsidRPr="00915756">
              <w:rPr>
                <w:sz w:val="20"/>
                <w:szCs w:val="20"/>
                <w:lang w:eastAsia="ja-JP"/>
              </w:rPr>
              <w:t>ormal</w:t>
            </w:r>
          </w:p>
        </w:tc>
      </w:tr>
      <w:tr w:rsidR="008741AB" w:rsidRPr="00915756" w14:paraId="7411A219" w14:textId="77777777" w:rsidTr="00EF3DF5">
        <w:tc>
          <w:tcPr>
            <w:tcW w:w="1892" w:type="dxa"/>
          </w:tcPr>
          <w:p w14:paraId="7CE4965D" w14:textId="77777777" w:rsidR="008741AB" w:rsidRPr="000A53E1" w:rsidRDefault="00854EE5" w:rsidP="000A53E1">
            <w:pPr>
              <w:rPr>
                <w:b/>
                <w:sz w:val="20"/>
                <w:szCs w:val="20"/>
                <w:lang w:eastAsia="ja-JP"/>
              </w:rPr>
            </w:pPr>
            <w:r w:rsidRPr="000A53E1">
              <w:rPr>
                <w:b/>
                <w:sz w:val="20"/>
                <w:szCs w:val="20"/>
                <w:lang w:eastAsia="ja-JP"/>
              </w:rPr>
              <w:t>Protein</w:t>
            </w:r>
          </w:p>
          <w:p w14:paraId="68697ACC" w14:textId="5C9624BB" w:rsidR="008741AB" w:rsidRPr="000A53E1" w:rsidRDefault="008741AB" w:rsidP="000A53E1">
            <w:pPr>
              <w:rPr>
                <w:b/>
                <w:sz w:val="20"/>
                <w:szCs w:val="20"/>
                <w:lang w:eastAsia="ja-JP"/>
              </w:rPr>
            </w:pPr>
            <w:r w:rsidRPr="000A53E1">
              <w:rPr>
                <w:rFonts w:hint="eastAsia"/>
                <w:b/>
                <w:sz w:val="20"/>
                <w:szCs w:val="20"/>
                <w:lang w:eastAsia="ja-JP"/>
              </w:rPr>
              <w:t>(</w:t>
            </w:r>
            <w:r w:rsidR="00854EE5" w:rsidRPr="000A53E1">
              <w:rPr>
                <w:b/>
                <w:sz w:val="20"/>
                <w:szCs w:val="20"/>
                <w:lang w:eastAsia="ja-JP"/>
              </w:rPr>
              <w:t>n=&lt;</w:t>
            </w:r>
            <w:r w:rsidR="00324DC0">
              <w:rPr>
                <w:b/>
                <w:sz w:val="20"/>
                <w:szCs w:val="20"/>
                <w:lang w:eastAsia="ja-JP"/>
              </w:rPr>
              <w:t xml:space="preserve"> </w:t>
            </w:r>
            <w:r w:rsidR="00854EE5" w:rsidRPr="000A53E1">
              <w:rPr>
                <w:b/>
                <w:sz w:val="20"/>
                <w:szCs w:val="20"/>
                <w:lang w:eastAsia="ja-JP"/>
              </w:rPr>
              <w:t>0.5</w:t>
            </w:r>
            <w:r w:rsidR="00324DC0">
              <w:rPr>
                <w:b/>
                <w:sz w:val="20"/>
                <w:szCs w:val="20"/>
                <w:lang w:eastAsia="ja-JP"/>
              </w:rPr>
              <w:t xml:space="preserve"> </w:t>
            </w:r>
            <w:r w:rsidR="00854EE5" w:rsidRPr="000A53E1">
              <w:rPr>
                <w:b/>
                <w:sz w:val="20"/>
                <w:szCs w:val="20"/>
                <w:lang w:eastAsia="ja-JP"/>
              </w:rPr>
              <w:t>mg/l)</w:t>
            </w:r>
          </w:p>
        </w:tc>
        <w:tc>
          <w:tcPr>
            <w:tcW w:w="1793" w:type="dxa"/>
          </w:tcPr>
          <w:p w14:paraId="3198DE9E" w14:textId="77777777" w:rsidR="008741AB" w:rsidRPr="00915756" w:rsidRDefault="008741AB" w:rsidP="000A53E1">
            <w:pPr>
              <w:rPr>
                <w:sz w:val="20"/>
                <w:szCs w:val="20"/>
                <w:lang w:eastAsia="ja-JP"/>
              </w:rPr>
            </w:pPr>
            <w:r w:rsidRPr="00915756">
              <w:rPr>
                <w:sz w:val="20"/>
                <w:szCs w:val="20"/>
                <w:lang w:eastAsia="ja-JP"/>
              </w:rPr>
              <w:t>elevated</w:t>
            </w:r>
          </w:p>
          <w:p w14:paraId="50A12C90" w14:textId="01229805" w:rsidR="008741AB" w:rsidRPr="00915756" w:rsidRDefault="008741AB" w:rsidP="000A53E1">
            <w:pPr>
              <w:rPr>
                <w:sz w:val="20"/>
                <w:szCs w:val="20"/>
                <w:lang w:eastAsia="ja-JP"/>
              </w:rPr>
            </w:pPr>
            <w:r w:rsidRPr="00915756">
              <w:rPr>
                <w:rFonts w:hint="eastAsia"/>
                <w:sz w:val="20"/>
                <w:szCs w:val="20"/>
                <w:lang w:eastAsia="ja-JP"/>
              </w:rPr>
              <w:t>1</w:t>
            </w:r>
            <w:r w:rsidRPr="00915756">
              <w:rPr>
                <w:sz w:val="20"/>
                <w:szCs w:val="20"/>
                <w:lang w:eastAsia="ja-JP"/>
              </w:rPr>
              <w:t>-2</w:t>
            </w:r>
            <w:r w:rsidR="00324DC0">
              <w:rPr>
                <w:sz w:val="20"/>
                <w:szCs w:val="20"/>
                <w:lang w:eastAsia="ja-JP"/>
              </w:rPr>
              <w:t xml:space="preserve"> </w:t>
            </w:r>
            <w:r w:rsidRPr="00915756">
              <w:rPr>
                <w:sz w:val="20"/>
                <w:szCs w:val="20"/>
                <w:lang w:eastAsia="ja-JP"/>
              </w:rPr>
              <w:t>mg/L</w:t>
            </w:r>
          </w:p>
        </w:tc>
        <w:tc>
          <w:tcPr>
            <w:tcW w:w="1794" w:type="dxa"/>
          </w:tcPr>
          <w:p w14:paraId="52376FFF" w14:textId="77777777" w:rsidR="008741AB" w:rsidRPr="00915756" w:rsidRDefault="008741AB" w:rsidP="000A53E1">
            <w:pPr>
              <w:rPr>
                <w:sz w:val="20"/>
                <w:szCs w:val="20"/>
                <w:lang w:eastAsia="ja-JP"/>
              </w:rPr>
            </w:pPr>
            <w:r w:rsidRPr="00915756">
              <w:rPr>
                <w:sz w:val="20"/>
                <w:szCs w:val="20"/>
                <w:lang w:eastAsia="ja-JP"/>
              </w:rPr>
              <w:t>high/very high</w:t>
            </w:r>
          </w:p>
          <w:p w14:paraId="33D061C1" w14:textId="44516F36" w:rsidR="008741AB" w:rsidRPr="00915756" w:rsidRDefault="008741AB" w:rsidP="000A53E1">
            <w:pPr>
              <w:rPr>
                <w:sz w:val="20"/>
                <w:szCs w:val="20"/>
                <w:lang w:eastAsia="ja-JP"/>
              </w:rPr>
            </w:pPr>
            <w:r w:rsidRPr="00915756">
              <w:rPr>
                <w:rFonts w:hint="eastAsia"/>
                <w:sz w:val="20"/>
                <w:szCs w:val="20"/>
                <w:lang w:eastAsia="ja-JP"/>
              </w:rPr>
              <w:t>1</w:t>
            </w:r>
            <w:r w:rsidRPr="00915756">
              <w:rPr>
                <w:sz w:val="20"/>
                <w:szCs w:val="20"/>
                <w:lang w:eastAsia="ja-JP"/>
              </w:rPr>
              <w:t>-5</w:t>
            </w:r>
            <w:r w:rsidR="00324DC0">
              <w:rPr>
                <w:sz w:val="20"/>
                <w:szCs w:val="20"/>
                <w:lang w:eastAsia="ja-JP"/>
              </w:rPr>
              <w:t xml:space="preserve"> </w:t>
            </w:r>
            <w:r w:rsidRPr="00915756">
              <w:rPr>
                <w:sz w:val="20"/>
                <w:szCs w:val="20"/>
                <w:lang w:eastAsia="ja-JP"/>
              </w:rPr>
              <w:t>mg/L</w:t>
            </w:r>
          </w:p>
        </w:tc>
        <w:tc>
          <w:tcPr>
            <w:tcW w:w="1794" w:type="dxa"/>
          </w:tcPr>
          <w:p w14:paraId="5C42F3F7" w14:textId="77777777" w:rsidR="008741AB" w:rsidRPr="00915756" w:rsidRDefault="008741AB" w:rsidP="000A53E1">
            <w:pPr>
              <w:rPr>
                <w:sz w:val="20"/>
                <w:szCs w:val="20"/>
                <w:lang w:eastAsia="ja-JP"/>
              </w:rPr>
            </w:pPr>
            <w:r w:rsidRPr="00915756">
              <w:rPr>
                <w:sz w:val="20"/>
                <w:szCs w:val="20"/>
                <w:lang w:eastAsia="ja-JP"/>
              </w:rPr>
              <w:t>normal/elevated</w:t>
            </w:r>
          </w:p>
          <w:p w14:paraId="0F96362E" w14:textId="0324525C" w:rsidR="008741AB" w:rsidRPr="00915756" w:rsidRDefault="008741AB" w:rsidP="000A53E1">
            <w:pPr>
              <w:rPr>
                <w:sz w:val="20"/>
                <w:szCs w:val="20"/>
                <w:lang w:eastAsia="ja-JP"/>
              </w:rPr>
            </w:pPr>
            <w:r w:rsidRPr="00915756">
              <w:rPr>
                <w:rFonts w:hint="eastAsia"/>
                <w:sz w:val="20"/>
                <w:szCs w:val="20"/>
                <w:lang w:eastAsia="ja-JP"/>
              </w:rPr>
              <w:t>0</w:t>
            </w:r>
            <w:r w:rsidRPr="00915756">
              <w:rPr>
                <w:sz w:val="20"/>
                <w:szCs w:val="20"/>
                <w:lang w:eastAsia="ja-JP"/>
              </w:rPr>
              <w:t>.5-2</w:t>
            </w:r>
            <w:r w:rsidR="00324DC0">
              <w:rPr>
                <w:sz w:val="20"/>
                <w:szCs w:val="20"/>
                <w:lang w:eastAsia="ja-JP"/>
              </w:rPr>
              <w:t xml:space="preserve"> </w:t>
            </w:r>
            <w:r w:rsidRPr="00915756">
              <w:rPr>
                <w:sz w:val="20"/>
                <w:szCs w:val="20"/>
                <w:lang w:eastAsia="ja-JP"/>
              </w:rPr>
              <w:t>mg/L</w:t>
            </w:r>
          </w:p>
        </w:tc>
        <w:tc>
          <w:tcPr>
            <w:tcW w:w="1794" w:type="dxa"/>
          </w:tcPr>
          <w:p w14:paraId="10A94853" w14:textId="77777777" w:rsidR="008741AB" w:rsidRPr="00915756" w:rsidRDefault="008741AB" w:rsidP="000A53E1">
            <w:pPr>
              <w:rPr>
                <w:sz w:val="20"/>
                <w:szCs w:val="20"/>
                <w:lang w:eastAsia="ja-JP"/>
              </w:rPr>
            </w:pPr>
            <w:r w:rsidRPr="00915756">
              <w:rPr>
                <w:sz w:val="20"/>
                <w:szCs w:val="20"/>
                <w:lang w:eastAsia="ja-JP"/>
              </w:rPr>
              <w:t>normal/elevated</w:t>
            </w:r>
          </w:p>
          <w:p w14:paraId="494841D0" w14:textId="2378463A" w:rsidR="008741AB" w:rsidRPr="00915756" w:rsidRDefault="008741AB" w:rsidP="000A53E1">
            <w:pPr>
              <w:rPr>
                <w:sz w:val="20"/>
                <w:szCs w:val="20"/>
              </w:rPr>
            </w:pPr>
            <w:r w:rsidRPr="00915756">
              <w:rPr>
                <w:rFonts w:hint="eastAsia"/>
                <w:sz w:val="20"/>
                <w:szCs w:val="20"/>
                <w:lang w:eastAsia="ja-JP"/>
              </w:rPr>
              <w:t>0</w:t>
            </w:r>
            <w:r w:rsidRPr="00915756">
              <w:rPr>
                <w:sz w:val="20"/>
                <w:szCs w:val="20"/>
                <w:lang w:eastAsia="ja-JP"/>
              </w:rPr>
              <w:t>.5-1</w:t>
            </w:r>
            <w:r w:rsidR="00324DC0">
              <w:rPr>
                <w:sz w:val="20"/>
                <w:szCs w:val="20"/>
                <w:lang w:eastAsia="ja-JP"/>
              </w:rPr>
              <w:t xml:space="preserve"> </w:t>
            </w:r>
            <w:r w:rsidRPr="00915756">
              <w:rPr>
                <w:sz w:val="20"/>
                <w:szCs w:val="20"/>
                <w:lang w:eastAsia="ja-JP"/>
              </w:rPr>
              <w:t>mg/L</w:t>
            </w:r>
          </w:p>
        </w:tc>
      </w:tr>
      <w:tr w:rsidR="008741AB" w:rsidRPr="00915756" w14:paraId="467E2D35" w14:textId="77777777" w:rsidTr="00EF3DF5">
        <w:tc>
          <w:tcPr>
            <w:tcW w:w="1892" w:type="dxa"/>
          </w:tcPr>
          <w:p w14:paraId="63849B9B" w14:textId="77777777" w:rsidR="008741AB" w:rsidRPr="000A53E1" w:rsidRDefault="00854EE5" w:rsidP="000A53E1">
            <w:pPr>
              <w:rPr>
                <w:b/>
                <w:sz w:val="20"/>
                <w:szCs w:val="20"/>
                <w:lang w:eastAsia="ja-JP"/>
              </w:rPr>
            </w:pPr>
            <w:r w:rsidRPr="000A53E1">
              <w:rPr>
                <w:b/>
                <w:sz w:val="20"/>
                <w:szCs w:val="20"/>
                <w:lang w:eastAsia="ja-JP"/>
              </w:rPr>
              <w:t>Diagnosis confirmed</w:t>
            </w:r>
          </w:p>
        </w:tc>
        <w:tc>
          <w:tcPr>
            <w:tcW w:w="1793" w:type="dxa"/>
          </w:tcPr>
          <w:p w14:paraId="71527354" w14:textId="77777777" w:rsidR="008741AB" w:rsidRPr="00915756" w:rsidRDefault="008741AB" w:rsidP="000A53E1">
            <w:pPr>
              <w:rPr>
                <w:sz w:val="20"/>
                <w:szCs w:val="20"/>
                <w:lang w:eastAsia="ja-JP"/>
              </w:rPr>
            </w:pPr>
            <w:r w:rsidRPr="00915756">
              <w:rPr>
                <w:rFonts w:hint="eastAsia"/>
                <w:sz w:val="20"/>
                <w:szCs w:val="20"/>
                <w:lang w:eastAsia="ja-JP"/>
              </w:rPr>
              <w:t>G</w:t>
            </w:r>
            <w:r>
              <w:rPr>
                <w:sz w:val="20"/>
                <w:szCs w:val="20"/>
                <w:lang w:eastAsia="ja-JP"/>
              </w:rPr>
              <w:t>ra</w:t>
            </w:r>
            <w:r w:rsidRPr="00915756">
              <w:rPr>
                <w:sz w:val="20"/>
                <w:szCs w:val="20"/>
                <w:lang w:eastAsia="ja-JP"/>
              </w:rPr>
              <w:t>m st</w:t>
            </w:r>
            <w:r>
              <w:rPr>
                <w:sz w:val="20"/>
                <w:szCs w:val="20"/>
                <w:lang w:eastAsia="ja-JP"/>
              </w:rPr>
              <w:t>a</w:t>
            </w:r>
            <w:r w:rsidRPr="00915756">
              <w:rPr>
                <w:sz w:val="20"/>
                <w:szCs w:val="20"/>
                <w:lang w:eastAsia="ja-JP"/>
              </w:rPr>
              <w:t>in &amp; culture</w:t>
            </w:r>
          </w:p>
        </w:tc>
        <w:tc>
          <w:tcPr>
            <w:tcW w:w="1794" w:type="dxa"/>
          </w:tcPr>
          <w:p w14:paraId="031F5E8C" w14:textId="77777777" w:rsidR="008741AB" w:rsidRPr="00915756" w:rsidRDefault="008741AB" w:rsidP="000A53E1">
            <w:pPr>
              <w:rPr>
                <w:sz w:val="20"/>
                <w:szCs w:val="20"/>
                <w:lang w:eastAsia="ja-JP"/>
              </w:rPr>
            </w:pPr>
            <w:r w:rsidRPr="00915756">
              <w:rPr>
                <w:rFonts w:hint="eastAsia"/>
                <w:sz w:val="20"/>
                <w:szCs w:val="20"/>
                <w:lang w:eastAsia="ja-JP"/>
              </w:rPr>
              <w:t>Z</w:t>
            </w:r>
            <w:r w:rsidRPr="00915756">
              <w:rPr>
                <w:sz w:val="20"/>
                <w:szCs w:val="20"/>
                <w:lang w:eastAsia="ja-JP"/>
              </w:rPr>
              <w:t>N stain &amp; culture</w:t>
            </w:r>
          </w:p>
        </w:tc>
        <w:tc>
          <w:tcPr>
            <w:tcW w:w="1794" w:type="dxa"/>
          </w:tcPr>
          <w:p w14:paraId="657ACC3E" w14:textId="77777777" w:rsidR="008741AB" w:rsidRPr="00915756" w:rsidRDefault="008741AB" w:rsidP="000A53E1">
            <w:pPr>
              <w:rPr>
                <w:sz w:val="20"/>
                <w:szCs w:val="20"/>
                <w:lang w:eastAsia="ja-JP"/>
              </w:rPr>
            </w:pPr>
            <w:r w:rsidRPr="00915756">
              <w:rPr>
                <w:sz w:val="20"/>
                <w:szCs w:val="20"/>
                <w:lang w:eastAsia="ja-JP"/>
              </w:rPr>
              <w:t>India ink st</w:t>
            </w:r>
            <w:r>
              <w:rPr>
                <w:sz w:val="20"/>
                <w:szCs w:val="20"/>
                <w:lang w:eastAsia="ja-JP"/>
              </w:rPr>
              <w:t>a</w:t>
            </w:r>
            <w:r w:rsidRPr="00915756">
              <w:rPr>
                <w:sz w:val="20"/>
                <w:szCs w:val="20"/>
                <w:lang w:eastAsia="ja-JP"/>
              </w:rPr>
              <w:t>in</w:t>
            </w:r>
            <w:r>
              <w:rPr>
                <w:sz w:val="20"/>
                <w:szCs w:val="20"/>
                <w:lang w:eastAsia="ja-JP"/>
              </w:rPr>
              <w:t xml:space="preserve">/ </w:t>
            </w:r>
            <w:r w:rsidRPr="00915756">
              <w:rPr>
                <w:rFonts w:hint="eastAsia"/>
                <w:sz w:val="20"/>
                <w:szCs w:val="20"/>
                <w:lang w:eastAsia="ja-JP"/>
              </w:rPr>
              <w:t>C</w:t>
            </w:r>
            <w:r>
              <w:rPr>
                <w:sz w:val="20"/>
                <w:szCs w:val="20"/>
                <w:lang w:eastAsia="ja-JP"/>
              </w:rPr>
              <w:t xml:space="preserve">ryptococcal </w:t>
            </w:r>
            <w:r w:rsidRPr="00915756">
              <w:rPr>
                <w:sz w:val="20"/>
                <w:szCs w:val="20"/>
                <w:lang w:eastAsia="ja-JP"/>
              </w:rPr>
              <w:t>A</w:t>
            </w:r>
            <w:r>
              <w:rPr>
                <w:sz w:val="20"/>
                <w:szCs w:val="20"/>
                <w:lang w:eastAsia="ja-JP"/>
              </w:rPr>
              <w:t>ntigen</w:t>
            </w:r>
            <w:r w:rsidRPr="00915756">
              <w:rPr>
                <w:sz w:val="20"/>
                <w:szCs w:val="20"/>
                <w:lang w:eastAsia="ja-JP"/>
              </w:rPr>
              <w:t>/</w:t>
            </w:r>
            <w:r>
              <w:rPr>
                <w:sz w:val="20"/>
                <w:szCs w:val="20"/>
                <w:lang w:eastAsia="ja-JP"/>
              </w:rPr>
              <w:t>C</w:t>
            </w:r>
            <w:r w:rsidRPr="00915756">
              <w:rPr>
                <w:sz w:val="20"/>
                <w:szCs w:val="20"/>
                <w:lang w:eastAsia="ja-JP"/>
              </w:rPr>
              <w:t>ulture</w:t>
            </w:r>
          </w:p>
        </w:tc>
        <w:tc>
          <w:tcPr>
            <w:tcW w:w="1794" w:type="dxa"/>
          </w:tcPr>
          <w:p w14:paraId="32FA46E2" w14:textId="77777777" w:rsidR="008741AB" w:rsidRPr="00915756" w:rsidRDefault="008741AB" w:rsidP="000A53E1">
            <w:pPr>
              <w:rPr>
                <w:sz w:val="20"/>
                <w:szCs w:val="20"/>
                <w:lang w:eastAsia="ja-JP"/>
              </w:rPr>
            </w:pPr>
            <w:r w:rsidRPr="00915756">
              <w:rPr>
                <w:rFonts w:hint="eastAsia"/>
                <w:sz w:val="20"/>
                <w:szCs w:val="20"/>
                <w:lang w:eastAsia="ja-JP"/>
              </w:rPr>
              <w:t>P</w:t>
            </w:r>
            <w:r w:rsidRPr="00915756">
              <w:rPr>
                <w:sz w:val="20"/>
                <w:szCs w:val="20"/>
                <w:lang w:eastAsia="ja-JP"/>
              </w:rPr>
              <w:t>CR</w:t>
            </w:r>
          </w:p>
        </w:tc>
      </w:tr>
    </w:tbl>
    <w:p w14:paraId="1D60637E" w14:textId="77777777" w:rsidR="008741AB" w:rsidRPr="00C121CC" w:rsidRDefault="008741AB" w:rsidP="000A53E1">
      <w:r w:rsidRPr="00C121CC">
        <w:rPr>
          <w:b/>
        </w:rPr>
        <w:lastRenderedPageBreak/>
        <w:t>Treatment:</w:t>
      </w:r>
    </w:p>
    <w:p w14:paraId="15D5A521" w14:textId="77777777" w:rsidR="003E4588" w:rsidRDefault="0051078E" w:rsidP="000A53E1">
      <w:r>
        <w:rPr>
          <w:b/>
        </w:rPr>
        <w:t>Bacterial</w:t>
      </w:r>
      <w:r w:rsidR="00E36A90">
        <w:rPr>
          <w:b/>
        </w:rPr>
        <w:t xml:space="preserve"> </w:t>
      </w:r>
      <w:r w:rsidR="00E36A90" w:rsidRPr="009E3BFD">
        <w:t>—</w:t>
      </w:r>
      <w:r w:rsidR="00FA516A">
        <w:t xml:space="preserve"> </w:t>
      </w:r>
      <w:r w:rsidR="0098588E">
        <w:t>The mainstay of management of ABM is prompt diagnosis and early treatment with antimicrobials.</w:t>
      </w:r>
      <w:r w:rsidR="008549BF">
        <w:t xml:space="preserve"> It is important that antimicrobials should be given straight away (within 20-30 mins of first seeing the patient) and not to delay treatment because of ongoing investigations including a LP.</w:t>
      </w:r>
      <w:r w:rsidR="008549BF" w:rsidRPr="008549BF">
        <w:t xml:space="preserve"> </w:t>
      </w:r>
      <w:r w:rsidR="008549BF">
        <w:t xml:space="preserve">In </w:t>
      </w:r>
      <w:proofErr w:type="gramStart"/>
      <w:r w:rsidR="008549BF">
        <w:t>adults</w:t>
      </w:r>
      <w:proofErr w:type="gramEnd"/>
      <w:r w:rsidR="008549BF">
        <w:t xml:space="preserve"> ceftriaxone is now the drug of first choice.</w:t>
      </w:r>
      <w:r w:rsidR="00C5553C">
        <w:t xml:space="preserve"> In adult,</w:t>
      </w:r>
      <w:r w:rsidR="008741AB">
        <w:t xml:space="preserve"> the dose is</w:t>
      </w:r>
      <w:r w:rsidR="00C5553C">
        <w:t xml:space="preserve"> 4g/day</w:t>
      </w:r>
      <w:r w:rsidR="008741AB">
        <w:t xml:space="preserve"> while</w:t>
      </w:r>
      <w:r w:rsidR="00C5553C">
        <w:t xml:space="preserve"> in children,</w:t>
      </w:r>
      <w:r w:rsidR="008549BF">
        <w:t xml:space="preserve"> </w:t>
      </w:r>
      <w:r w:rsidR="00C5553C">
        <w:rPr>
          <w:color w:val="000000"/>
          <w:szCs w:val="22"/>
          <w:shd w:val="clear" w:color="auto" w:fill="FFFFFF"/>
        </w:rPr>
        <w:t xml:space="preserve">100 </w:t>
      </w:r>
      <w:r w:rsidR="00C5553C">
        <w:rPr>
          <w:rStyle w:val="nowrap"/>
          <w:color w:val="000000"/>
          <w:szCs w:val="22"/>
          <w:shd w:val="clear" w:color="auto" w:fill="FFFFFF"/>
        </w:rPr>
        <w:t>mg/kg</w:t>
      </w:r>
      <w:r w:rsidR="00C5553C">
        <w:rPr>
          <w:color w:val="000000"/>
          <w:szCs w:val="22"/>
          <w:shd w:val="clear" w:color="auto" w:fill="FFFFFF"/>
        </w:rPr>
        <w:t xml:space="preserve">/day IV (maximum dose 4 </w:t>
      </w:r>
      <w:r w:rsidR="00C5553C">
        <w:rPr>
          <w:rStyle w:val="nowrap"/>
          <w:color w:val="000000"/>
          <w:szCs w:val="22"/>
          <w:shd w:val="clear" w:color="auto" w:fill="FFFFFF"/>
        </w:rPr>
        <w:t>g/day)</w:t>
      </w:r>
      <w:r w:rsidR="00C5553C">
        <w:rPr>
          <w:color w:val="000000"/>
          <w:szCs w:val="22"/>
          <w:shd w:val="clear" w:color="auto" w:fill="FFFFFF"/>
        </w:rPr>
        <w:t xml:space="preserve"> in 1 or 2 divided doses.</w:t>
      </w:r>
      <w:r w:rsidR="00C5553C">
        <w:t xml:space="preserve"> </w:t>
      </w:r>
      <w:r w:rsidR="008549BF">
        <w:t>The use of steroids in the treatment of ABM in adults is currently not recommended in Africa.</w:t>
      </w:r>
    </w:p>
    <w:p w14:paraId="402C99FC" w14:textId="77777777" w:rsidR="009E3BFD" w:rsidRDefault="0051078E" w:rsidP="000A53E1">
      <w:r>
        <w:rPr>
          <w:b/>
          <w:lang w:eastAsia="ja-JP"/>
        </w:rPr>
        <w:t>Viral</w:t>
      </w:r>
      <w:r w:rsidR="00E36A90">
        <w:rPr>
          <w:lang w:eastAsia="ja-JP"/>
        </w:rPr>
        <w:t xml:space="preserve"> </w:t>
      </w:r>
      <w:r w:rsidR="00E36A90" w:rsidRPr="009E3BFD">
        <w:t>—</w:t>
      </w:r>
      <w:r w:rsidR="003E4588">
        <w:rPr>
          <w:lang w:eastAsia="ja-JP"/>
        </w:rPr>
        <w:t xml:space="preserve"> </w:t>
      </w:r>
      <w:r w:rsidR="00B14BC2">
        <w:rPr>
          <w:lang w:eastAsia="ja-JP"/>
        </w:rPr>
        <w:t xml:space="preserve">Most patients with viral meningitis require only supportive care. </w:t>
      </w:r>
      <w:r w:rsidR="009E3BFD">
        <w:t xml:space="preserve">Patients who are elderly, immunocompromised, or have received antibiotics prior to presentation may be considered for empiric </w:t>
      </w:r>
      <w:r w:rsidR="008741AB">
        <w:t xml:space="preserve">antibacterial </w:t>
      </w:r>
      <w:r w:rsidR="009E3BFD">
        <w:t>therapy for 48 hours, even if viral meningitis is the suspected diagnosis.</w:t>
      </w:r>
    </w:p>
    <w:p w14:paraId="0A1C3ED4" w14:textId="77777777" w:rsidR="009E3BFD" w:rsidRDefault="009E3BFD" w:rsidP="000A53E1">
      <w:r>
        <w:t xml:space="preserve">If HIV is a diagnostic consideration, then blood testing for HIV RNA and HIV antibody should be performed. </w:t>
      </w:r>
    </w:p>
    <w:p w14:paraId="78A2FC2A" w14:textId="77777777" w:rsidR="00FA516A" w:rsidRDefault="009E3BFD" w:rsidP="000A53E1">
      <w:r>
        <w:t xml:space="preserve">If aseptic meningitis due to HSV is suspected, empiric therapy with </w:t>
      </w:r>
      <w:r w:rsidR="008741AB">
        <w:t xml:space="preserve">intravenous </w:t>
      </w:r>
      <w:r>
        <w:t>acyclovir (</w:t>
      </w:r>
      <w:r w:rsidR="00A70D3F">
        <w:t>for adult</w:t>
      </w:r>
      <w:r w:rsidR="00CD7649">
        <w:t xml:space="preserve"> and children</w:t>
      </w:r>
      <w:r w:rsidR="00A70D3F">
        <w:t xml:space="preserve">: </w:t>
      </w:r>
      <w:r>
        <w:t>10</w:t>
      </w:r>
      <w:r w:rsidR="00CD7649">
        <w:t>-15</w:t>
      </w:r>
      <w:r>
        <w:t xml:space="preserve"> mg/kg</w:t>
      </w:r>
      <w:r w:rsidR="00A70D3F">
        <w:t xml:space="preserve"> every </w:t>
      </w:r>
      <w:r w:rsidR="00CD7649">
        <w:t>8</w:t>
      </w:r>
      <w:r w:rsidR="00A70D3F">
        <w:t xml:space="preserve"> hours,</w:t>
      </w:r>
      <w:r>
        <w:t xml:space="preserve"> </w:t>
      </w:r>
      <w:r w:rsidR="00A70D3F">
        <w:t>f</w:t>
      </w:r>
      <w:r w:rsidR="00A70D3F" w:rsidRPr="00A70D3F">
        <w:t>or neonat</w:t>
      </w:r>
      <w:r w:rsidR="008741AB">
        <w:t>es</w:t>
      </w:r>
      <w:r w:rsidR="00A70D3F">
        <w:t>:</w:t>
      </w:r>
      <w:r w:rsidR="00A70D3F" w:rsidRPr="00A70D3F">
        <w:t xml:space="preserve"> 60 mg/kg per day</w:t>
      </w:r>
      <w:r w:rsidR="00A70D3F">
        <w:t xml:space="preserve"> </w:t>
      </w:r>
      <w:r w:rsidR="00A70D3F">
        <w:rPr>
          <w:color w:val="000000"/>
          <w:szCs w:val="22"/>
          <w:shd w:val="clear" w:color="auto" w:fill="FFFFFF"/>
        </w:rPr>
        <w:t>divided every 8 hours</w:t>
      </w:r>
      <w:r>
        <w:t>) can be considered for hospitalized patients.</w:t>
      </w:r>
    </w:p>
    <w:p w14:paraId="1FB0DD75" w14:textId="77777777" w:rsidR="0067320E" w:rsidRDefault="00FA516A" w:rsidP="000A53E1">
      <w:r w:rsidRPr="003E4588">
        <w:rPr>
          <w:b/>
          <w:lang w:eastAsia="ja-JP"/>
        </w:rPr>
        <w:t>TB</w:t>
      </w:r>
      <w:r w:rsidR="00E36A90">
        <w:rPr>
          <w:lang w:eastAsia="ja-JP"/>
        </w:rPr>
        <w:t xml:space="preserve"> </w:t>
      </w:r>
      <w:r w:rsidR="00E36A90" w:rsidRPr="009E3BFD">
        <w:t>—</w:t>
      </w:r>
      <w:r>
        <w:rPr>
          <w:lang w:eastAsia="ja-JP"/>
        </w:rPr>
        <w:t xml:space="preserve"> </w:t>
      </w:r>
      <w:r w:rsidR="008741AB">
        <w:t>All</w:t>
      </w:r>
      <w:r>
        <w:t xml:space="preserve"> four </w:t>
      </w:r>
      <w:r w:rsidR="008741AB">
        <w:t xml:space="preserve">TB </w:t>
      </w:r>
      <w:r>
        <w:t>drugs</w:t>
      </w:r>
      <w:r w:rsidR="00B14BC2">
        <w:t xml:space="preserve"> </w:t>
      </w:r>
      <w:r>
        <w:t xml:space="preserve">are </w:t>
      </w:r>
      <w:r w:rsidR="008741AB">
        <w:t xml:space="preserve">given </w:t>
      </w:r>
      <w:r>
        <w:t xml:space="preserve">for the first 2 months after which isoniazid and rifampicin are continued usually for another 10 months. In practice the standard total period of treatment is 12 months for </w:t>
      </w:r>
      <w:r w:rsidR="008741AB">
        <w:t xml:space="preserve">tuberculous meningitis </w:t>
      </w:r>
      <w:r>
        <w:t xml:space="preserve">and longer for tuberculoma. </w:t>
      </w:r>
    </w:p>
    <w:p w14:paraId="5F2C9144" w14:textId="15EB76C0" w:rsidR="00FA516A" w:rsidRDefault="005E1C4B" w:rsidP="000A53E1">
      <w:r>
        <w:rPr>
          <w:color w:val="000000"/>
          <w:szCs w:val="22"/>
          <w:shd w:val="clear" w:color="auto" w:fill="FFFFFF"/>
        </w:rPr>
        <w:t xml:space="preserve">In general, glucocorticoid therapy is warranted for </w:t>
      </w:r>
      <w:r w:rsidR="004D1BF4">
        <w:rPr>
          <w:color w:val="000000"/>
          <w:szCs w:val="22"/>
          <w:shd w:val="clear" w:color="auto" w:fill="FFFFFF"/>
        </w:rPr>
        <w:t>all patients (including those with HIV)</w:t>
      </w:r>
      <w:r>
        <w:rPr>
          <w:color w:val="000000"/>
          <w:szCs w:val="22"/>
          <w:shd w:val="clear" w:color="auto" w:fill="FFFFFF"/>
        </w:rPr>
        <w:t xml:space="preserve"> with convincing epidemiologic or clinical evidence for tuberculous meningitis.</w:t>
      </w:r>
      <w:r w:rsidR="00FA516A">
        <w:t xml:space="preserve"> </w:t>
      </w:r>
      <w:r w:rsidRPr="005E1C4B">
        <w:rPr>
          <w:color w:val="000000"/>
          <w:szCs w:val="22"/>
          <w:shd w:val="clear" w:color="auto" w:fill="FFFFFF"/>
        </w:rPr>
        <w:t>The regimen consists of</w:t>
      </w:r>
      <w:r>
        <w:t xml:space="preserve"> </w:t>
      </w:r>
      <w:r w:rsidR="0041103C">
        <w:t>oral prednisolone</w:t>
      </w:r>
      <w:r w:rsidR="0041103C">
        <w:rPr>
          <w:color w:val="000000"/>
          <w:szCs w:val="22"/>
          <w:shd w:val="clear" w:color="auto" w:fill="FFFFFF"/>
        </w:rPr>
        <w:t>:</w:t>
      </w:r>
      <w:r>
        <w:rPr>
          <w:color w:val="000000"/>
          <w:szCs w:val="22"/>
          <w:shd w:val="clear" w:color="auto" w:fill="FFFFFF"/>
        </w:rPr>
        <w:t xml:space="preserve"> </w:t>
      </w:r>
      <w:r w:rsidR="0041103C">
        <w:rPr>
          <w:color w:val="000000"/>
          <w:szCs w:val="22"/>
          <w:shd w:val="clear" w:color="auto" w:fill="FFFFFF"/>
        </w:rPr>
        <w:t>c</w:t>
      </w:r>
      <w:r w:rsidR="0067320E">
        <w:rPr>
          <w:color w:val="000000"/>
          <w:szCs w:val="22"/>
          <w:shd w:val="clear" w:color="auto" w:fill="FFFFFF"/>
        </w:rPr>
        <w:t xml:space="preserve">hildren: 2 to 4 </w:t>
      </w:r>
      <w:r w:rsidR="0067320E">
        <w:rPr>
          <w:rStyle w:val="nowrap"/>
          <w:color w:val="000000"/>
          <w:szCs w:val="22"/>
          <w:shd w:val="clear" w:color="auto" w:fill="FFFFFF"/>
        </w:rPr>
        <w:t>mg/kg</w:t>
      </w:r>
      <w:r w:rsidR="0067320E">
        <w:rPr>
          <w:color w:val="000000"/>
          <w:szCs w:val="22"/>
          <w:shd w:val="clear" w:color="auto" w:fill="FFFFFF"/>
        </w:rPr>
        <w:t xml:space="preserve"> per day</w:t>
      </w:r>
      <w:r w:rsidR="0041103C">
        <w:rPr>
          <w:color w:val="000000"/>
          <w:szCs w:val="22"/>
          <w:shd w:val="clear" w:color="auto" w:fill="FFFFFF"/>
        </w:rPr>
        <w:t>; a</w:t>
      </w:r>
      <w:r w:rsidR="0067320E">
        <w:rPr>
          <w:color w:val="000000"/>
          <w:szCs w:val="22"/>
          <w:shd w:val="clear" w:color="auto" w:fill="FFFFFF"/>
        </w:rPr>
        <w:t xml:space="preserve">dolescents and adults: 60 </w:t>
      </w:r>
      <w:r w:rsidR="0067320E">
        <w:rPr>
          <w:rStyle w:val="nowrap"/>
          <w:color w:val="000000"/>
          <w:szCs w:val="22"/>
          <w:shd w:val="clear" w:color="auto" w:fill="FFFFFF"/>
        </w:rPr>
        <w:t>mg/day</w:t>
      </w:r>
      <w:r w:rsidR="0067320E">
        <w:rPr>
          <w:color w:val="000000"/>
          <w:szCs w:val="22"/>
          <w:shd w:val="clear" w:color="auto" w:fill="FFFFFF"/>
        </w:rPr>
        <w:t>. Administer initial dose for two weeks, then taper gradually over the next six weeks (</w:t>
      </w:r>
      <w:proofErr w:type="spellStart"/>
      <w:r w:rsidR="0067320E">
        <w:rPr>
          <w:color w:val="000000"/>
          <w:szCs w:val="22"/>
          <w:shd w:val="clear" w:color="auto" w:fill="FFFFFF"/>
        </w:rPr>
        <w:t>ie</w:t>
      </w:r>
      <w:proofErr w:type="spellEnd"/>
      <w:r w:rsidR="0067320E">
        <w:rPr>
          <w:color w:val="000000"/>
          <w:szCs w:val="22"/>
          <w:shd w:val="clear" w:color="auto" w:fill="FFFFFF"/>
        </w:rPr>
        <w:t xml:space="preserve">, reduce daily dose by 10 mg each week); total duration </w:t>
      </w:r>
      <w:r w:rsidR="0076439F">
        <w:rPr>
          <w:color w:val="000000"/>
          <w:szCs w:val="22"/>
          <w:shd w:val="clear" w:color="auto" w:fill="FFFFFF"/>
        </w:rPr>
        <w:t xml:space="preserve">is </w:t>
      </w:r>
      <w:r w:rsidR="0067320E">
        <w:rPr>
          <w:color w:val="000000"/>
          <w:szCs w:val="22"/>
          <w:shd w:val="clear" w:color="auto" w:fill="FFFFFF"/>
        </w:rPr>
        <w:t>approximately eight weeks.</w:t>
      </w:r>
    </w:p>
    <w:p w14:paraId="4BCDCDA5" w14:textId="053751AF" w:rsidR="00E36A90" w:rsidRDefault="00FA516A" w:rsidP="000A53E1">
      <w:pPr>
        <w:rPr>
          <w:lang w:eastAsia="ja-JP"/>
        </w:rPr>
      </w:pPr>
      <w:r>
        <w:t>Starting ART is recommended after the first 2 weeks of TB</w:t>
      </w:r>
      <w:r w:rsidR="0076439F">
        <w:t xml:space="preserve"> meningitis</w:t>
      </w:r>
      <w:r>
        <w:t xml:space="preserve"> treatment</w:t>
      </w:r>
      <w:r w:rsidR="0076439F">
        <w:t xml:space="preserve"> in HIV</w:t>
      </w:r>
      <w:r>
        <w:t xml:space="preserve">. </w:t>
      </w:r>
    </w:p>
    <w:p w14:paraId="31571B05" w14:textId="2D2D5AD8" w:rsidR="008549BF" w:rsidRDefault="00F24F6D" w:rsidP="000A53E1">
      <w:pPr>
        <w:rPr>
          <w:lang w:eastAsia="ja-JP"/>
        </w:rPr>
      </w:pPr>
      <w:r w:rsidRPr="003E4588">
        <w:rPr>
          <w:b/>
          <w:szCs w:val="22"/>
          <w:lang w:eastAsia="ja-JP"/>
        </w:rPr>
        <w:t>C</w:t>
      </w:r>
      <w:r w:rsidR="0051078E">
        <w:rPr>
          <w:b/>
          <w:szCs w:val="22"/>
          <w:lang w:eastAsia="ja-JP"/>
        </w:rPr>
        <w:t>ryptococcal</w:t>
      </w:r>
      <w:r w:rsidR="009E3BFD">
        <w:rPr>
          <w:szCs w:val="22"/>
          <w:lang w:eastAsia="ja-JP"/>
        </w:rPr>
        <w:t xml:space="preserve"> </w:t>
      </w:r>
      <w:r w:rsidR="00E36A90" w:rsidRPr="009E3BFD">
        <w:t>—</w:t>
      </w:r>
      <w:r>
        <w:rPr>
          <w:szCs w:val="22"/>
          <w:lang w:eastAsia="ja-JP"/>
        </w:rPr>
        <w:t xml:space="preserve"> </w:t>
      </w:r>
      <w:r>
        <w:t xml:space="preserve">The treatment of </w:t>
      </w:r>
      <w:r w:rsidR="006F6BD7">
        <w:t>Cryptococcal meningitis</w:t>
      </w:r>
      <w:r w:rsidR="008E7324">
        <w:t xml:space="preserve"> (CM)</w:t>
      </w:r>
      <w:r>
        <w:t xml:space="preserve"> in Africa is mostly based on fluconazole alone.</w:t>
      </w:r>
      <w:r w:rsidR="00E36A90">
        <w:t xml:space="preserve"> </w:t>
      </w:r>
      <w:r>
        <w:t>There are three phases</w:t>
      </w:r>
      <w:r w:rsidR="00C121CC">
        <w:t xml:space="preserve">: </w:t>
      </w:r>
      <w:r w:rsidR="0051078E">
        <w:t>induction phase, consolidation phase and maintenance phase.</w:t>
      </w:r>
      <w:r w:rsidR="00C121CC">
        <w:t xml:space="preserve"> In the induction phase,</w:t>
      </w:r>
      <w:r w:rsidR="0051078E">
        <w:t xml:space="preserve"> </w:t>
      </w:r>
      <w:r w:rsidR="00C121CC">
        <w:t>f</w:t>
      </w:r>
      <w:r w:rsidR="00873379" w:rsidRPr="00873379">
        <w:t xml:space="preserve">luconazole (1200 mg orally per day) may be administered for at least 10 weeks or until CSF culture results are negative, followed by </w:t>
      </w:r>
      <w:r w:rsidR="0051078E">
        <w:t>consolidation</w:t>
      </w:r>
      <w:r w:rsidR="00873379" w:rsidRPr="00873379">
        <w:t xml:space="preserve"> therapy with fluconazole (400 mg orally daily).</w:t>
      </w:r>
      <w:r w:rsidRPr="00F24F6D">
        <w:t xml:space="preserve"> </w:t>
      </w:r>
      <w:r>
        <w:t>The maintenance or prophylaxis phase uses fluconazole 200 mg daily until the CD4 count is &gt;</w:t>
      </w:r>
      <w:r w:rsidR="008E7324">
        <w:t xml:space="preserve"> </w:t>
      </w:r>
      <w:r>
        <w:t>200/mm</w:t>
      </w:r>
      <w:r w:rsidRPr="008E7324">
        <w:rPr>
          <w:vertAlign w:val="superscript"/>
        </w:rPr>
        <w:t>3</w:t>
      </w:r>
      <w:r>
        <w:t xml:space="preserve"> for &gt;6 months.</w:t>
      </w:r>
      <w:r w:rsidR="008401A3">
        <w:t xml:space="preserve"> Multiple lumbar punctures may be needed to relieve raised ICP.</w:t>
      </w:r>
    </w:p>
    <w:p w14:paraId="75B44DC1" w14:textId="62BA0989" w:rsidR="00F24F6D" w:rsidRDefault="00F24F6D" w:rsidP="000A53E1">
      <w:r>
        <w:t>A delay in initiation of ART until at least 4 weeks after the start of the treatment phase appears to have a better outcome in fluconazole treated patients. Long-term mortality in CM is high (&gt;</w:t>
      </w:r>
      <w:r w:rsidR="008E7324">
        <w:t xml:space="preserve"> </w:t>
      </w:r>
      <w:r>
        <w:t>50%) even with ART.</w:t>
      </w:r>
    </w:p>
    <w:p w14:paraId="2117D522" w14:textId="766E677B" w:rsidR="009E3BFD" w:rsidRDefault="009E3BFD" w:rsidP="000A53E1">
      <w:r w:rsidRPr="009E3BFD">
        <w:rPr>
          <w:b/>
        </w:rPr>
        <w:t>Unclear etiology</w:t>
      </w:r>
      <w:r w:rsidRPr="009E3BFD">
        <w:t xml:space="preserve"> — When it is not clear whether the patient has a viral or bacterial process, we recommend empiric</w:t>
      </w:r>
      <w:r w:rsidR="0041103C">
        <w:t>al</w:t>
      </w:r>
      <w:r w:rsidRPr="009E3BFD">
        <w:t xml:space="preserve"> antibiotics after obtaining blood and CSF cultures or observation with repeat lumbar puncture in 6 to 24 hours. If the patient is symptomatically improved and culture results are negative, then antibiotics can generally be stopped without a repeat LP. However, repeat LPs may be indicated in patients with persistent symptoms who do not have a clear diagnosis.</w:t>
      </w:r>
    </w:p>
    <w:p w14:paraId="0484D817" w14:textId="7762AE50" w:rsidR="001753C8" w:rsidRDefault="001753C8">
      <w:pPr>
        <w:spacing w:after="0"/>
        <w:outlineLvl w:val="9"/>
      </w:pPr>
      <w:r>
        <w:br w:type="page"/>
      </w:r>
    </w:p>
    <w:p w14:paraId="1FC6299A" w14:textId="77777777" w:rsidR="001753C8" w:rsidRDefault="001753C8" w:rsidP="000A53E1"/>
    <w:tbl>
      <w:tblPr>
        <w:tblStyle w:val="TableGrid"/>
        <w:tblW w:w="9067" w:type="dxa"/>
        <w:tblLayout w:type="fixed"/>
        <w:tblLook w:val="04A0" w:firstRow="1" w:lastRow="0" w:firstColumn="1" w:lastColumn="0" w:noHBand="0" w:noVBand="1"/>
      </w:tblPr>
      <w:tblGrid>
        <w:gridCol w:w="1271"/>
        <w:gridCol w:w="1701"/>
        <w:gridCol w:w="1843"/>
        <w:gridCol w:w="2410"/>
        <w:gridCol w:w="1842"/>
      </w:tblGrid>
      <w:tr w:rsidR="00B77AAE" w:rsidRPr="00915756" w14:paraId="6F735EB2" w14:textId="77777777" w:rsidTr="006D23D5">
        <w:tc>
          <w:tcPr>
            <w:tcW w:w="1271" w:type="dxa"/>
            <w:tcBorders>
              <w:bottom w:val="single" w:sz="4" w:space="0" w:color="auto"/>
            </w:tcBorders>
            <w:shd w:val="clear" w:color="auto" w:fill="D9D9D9" w:themeFill="background1" w:themeFillShade="D9"/>
            <w:vAlign w:val="bottom"/>
          </w:tcPr>
          <w:p w14:paraId="2A58421C" w14:textId="77777777" w:rsidR="004A4B8A" w:rsidRPr="00915756" w:rsidRDefault="004A4B8A" w:rsidP="000A53E1">
            <w:pPr>
              <w:rPr>
                <w:b/>
                <w:sz w:val="20"/>
                <w:szCs w:val="20"/>
              </w:rPr>
            </w:pPr>
          </w:p>
        </w:tc>
        <w:tc>
          <w:tcPr>
            <w:tcW w:w="1701" w:type="dxa"/>
            <w:tcBorders>
              <w:bottom w:val="single" w:sz="4" w:space="0" w:color="auto"/>
            </w:tcBorders>
            <w:shd w:val="clear" w:color="auto" w:fill="D9D9D9" w:themeFill="background1" w:themeFillShade="D9"/>
            <w:vAlign w:val="bottom"/>
          </w:tcPr>
          <w:p w14:paraId="16ECEDF6" w14:textId="77777777" w:rsidR="004A4B8A" w:rsidRPr="00915756" w:rsidRDefault="000A53E1" w:rsidP="000A53E1">
            <w:pPr>
              <w:rPr>
                <w:b/>
                <w:sz w:val="20"/>
                <w:szCs w:val="20"/>
                <w:lang w:eastAsia="ja-JP"/>
              </w:rPr>
            </w:pPr>
            <w:r>
              <w:rPr>
                <w:b/>
                <w:sz w:val="20"/>
                <w:szCs w:val="20"/>
                <w:lang w:eastAsia="ja-JP"/>
              </w:rPr>
              <w:t>A</w:t>
            </w:r>
            <w:r w:rsidR="004A4B8A" w:rsidRPr="00915756">
              <w:rPr>
                <w:b/>
                <w:sz w:val="20"/>
                <w:szCs w:val="20"/>
                <w:lang w:eastAsia="ja-JP"/>
              </w:rPr>
              <w:t>cute bacterial meningitis</w:t>
            </w:r>
          </w:p>
        </w:tc>
        <w:tc>
          <w:tcPr>
            <w:tcW w:w="1843" w:type="dxa"/>
            <w:tcBorders>
              <w:bottom w:val="single" w:sz="4" w:space="0" w:color="auto"/>
            </w:tcBorders>
            <w:shd w:val="clear" w:color="auto" w:fill="D9D9D9" w:themeFill="background1" w:themeFillShade="D9"/>
            <w:vAlign w:val="bottom"/>
          </w:tcPr>
          <w:p w14:paraId="1A71BC47" w14:textId="77777777" w:rsidR="004A4B8A" w:rsidRPr="00915756" w:rsidRDefault="000A53E1" w:rsidP="000A53E1">
            <w:pPr>
              <w:rPr>
                <w:b/>
                <w:sz w:val="20"/>
                <w:szCs w:val="20"/>
                <w:lang w:eastAsia="ja-JP"/>
              </w:rPr>
            </w:pPr>
            <w:r>
              <w:rPr>
                <w:b/>
                <w:sz w:val="20"/>
                <w:szCs w:val="20"/>
                <w:lang w:eastAsia="ja-JP"/>
              </w:rPr>
              <w:t>T</w:t>
            </w:r>
            <w:r w:rsidR="004A4B8A" w:rsidRPr="00915756">
              <w:rPr>
                <w:b/>
                <w:sz w:val="20"/>
                <w:szCs w:val="20"/>
                <w:lang w:eastAsia="ja-JP"/>
              </w:rPr>
              <w:t>uberculous</w:t>
            </w:r>
          </w:p>
        </w:tc>
        <w:tc>
          <w:tcPr>
            <w:tcW w:w="2410" w:type="dxa"/>
            <w:tcBorders>
              <w:bottom w:val="single" w:sz="4" w:space="0" w:color="auto"/>
            </w:tcBorders>
            <w:shd w:val="clear" w:color="auto" w:fill="D9D9D9" w:themeFill="background1" w:themeFillShade="D9"/>
            <w:vAlign w:val="bottom"/>
          </w:tcPr>
          <w:p w14:paraId="1850B554" w14:textId="77777777" w:rsidR="004A4B8A" w:rsidRPr="00915756" w:rsidRDefault="000A53E1" w:rsidP="000A53E1">
            <w:pPr>
              <w:rPr>
                <w:b/>
                <w:sz w:val="20"/>
                <w:szCs w:val="20"/>
                <w:lang w:eastAsia="ja-JP"/>
              </w:rPr>
            </w:pPr>
            <w:r>
              <w:rPr>
                <w:b/>
                <w:sz w:val="20"/>
                <w:szCs w:val="20"/>
                <w:lang w:eastAsia="ja-JP"/>
              </w:rPr>
              <w:t>C</w:t>
            </w:r>
            <w:r w:rsidR="004A4B8A" w:rsidRPr="00915756">
              <w:rPr>
                <w:b/>
                <w:sz w:val="20"/>
                <w:szCs w:val="20"/>
                <w:lang w:eastAsia="ja-JP"/>
              </w:rPr>
              <w:t>ryptococcal</w:t>
            </w:r>
          </w:p>
        </w:tc>
        <w:tc>
          <w:tcPr>
            <w:tcW w:w="1842" w:type="dxa"/>
            <w:tcBorders>
              <w:bottom w:val="single" w:sz="4" w:space="0" w:color="auto"/>
            </w:tcBorders>
            <w:shd w:val="clear" w:color="auto" w:fill="D9D9D9" w:themeFill="background1" w:themeFillShade="D9"/>
            <w:vAlign w:val="bottom"/>
          </w:tcPr>
          <w:p w14:paraId="6B492092" w14:textId="77777777" w:rsidR="004A4B8A" w:rsidRPr="00915756" w:rsidRDefault="0067320E" w:rsidP="000A53E1">
            <w:pPr>
              <w:rPr>
                <w:b/>
                <w:sz w:val="20"/>
                <w:szCs w:val="20"/>
                <w:lang w:eastAsia="ja-JP"/>
              </w:rPr>
            </w:pPr>
            <w:r w:rsidRPr="00915756">
              <w:rPr>
                <w:b/>
                <w:sz w:val="20"/>
                <w:szCs w:val="20"/>
                <w:lang w:eastAsia="ja-JP"/>
              </w:rPr>
              <w:t>HSV</w:t>
            </w:r>
          </w:p>
        </w:tc>
      </w:tr>
      <w:tr w:rsidR="004A4B8A" w:rsidRPr="00915756" w14:paraId="60ED28F7" w14:textId="77777777" w:rsidTr="006D23D5">
        <w:tc>
          <w:tcPr>
            <w:tcW w:w="1271" w:type="dxa"/>
            <w:tcBorders>
              <w:top w:val="single" w:sz="4" w:space="0" w:color="auto"/>
              <w:left w:val="single" w:sz="4" w:space="0" w:color="auto"/>
              <w:bottom w:val="single" w:sz="4" w:space="0" w:color="auto"/>
              <w:right w:val="single" w:sz="4" w:space="0" w:color="auto"/>
            </w:tcBorders>
          </w:tcPr>
          <w:p w14:paraId="3804D4F7" w14:textId="77777777" w:rsidR="004A4B8A" w:rsidRPr="000A53E1" w:rsidRDefault="004A4B8A" w:rsidP="000A53E1">
            <w:pPr>
              <w:rPr>
                <w:b/>
                <w:sz w:val="20"/>
                <w:szCs w:val="20"/>
                <w:lang w:eastAsia="ja-JP"/>
              </w:rPr>
            </w:pPr>
            <w:r w:rsidRPr="000A53E1">
              <w:rPr>
                <w:b/>
                <w:sz w:val="20"/>
                <w:szCs w:val="20"/>
                <w:lang w:eastAsia="ja-JP"/>
              </w:rPr>
              <w:t>Medication</w:t>
            </w:r>
            <w:r w:rsidR="00D1260D" w:rsidRPr="000A53E1">
              <w:rPr>
                <w:b/>
                <w:sz w:val="20"/>
                <w:szCs w:val="20"/>
                <w:lang w:eastAsia="ja-JP"/>
              </w:rPr>
              <w:t xml:space="preserve"> dose</w:t>
            </w:r>
          </w:p>
          <w:p w14:paraId="2C6ADCC7" w14:textId="77777777" w:rsidR="0067320E" w:rsidRPr="000A53E1" w:rsidRDefault="0067320E" w:rsidP="000A53E1">
            <w:pPr>
              <w:rPr>
                <w:b/>
                <w:sz w:val="20"/>
                <w:szCs w:val="20"/>
                <w:lang w:eastAsia="ja-JP"/>
              </w:rPr>
            </w:pPr>
            <w:r w:rsidRPr="000A53E1">
              <w:rPr>
                <w:rFonts w:hint="eastAsia"/>
                <w:b/>
                <w:sz w:val="20"/>
                <w:szCs w:val="20"/>
                <w:lang w:eastAsia="ja-JP"/>
              </w:rPr>
              <w:t>(</w:t>
            </w:r>
            <w:r w:rsidRPr="000A53E1">
              <w:rPr>
                <w:b/>
                <w:i/>
                <w:sz w:val="20"/>
                <w:szCs w:val="20"/>
                <w:lang w:eastAsia="ja-JP"/>
              </w:rPr>
              <w:t>in children</w:t>
            </w:r>
            <w:r w:rsidRPr="000A53E1">
              <w:rPr>
                <w:b/>
                <w:sz w:val="20"/>
                <w:szCs w:val="20"/>
                <w:lang w:eastAsia="ja-JP"/>
              </w:rPr>
              <w:t>)</w:t>
            </w:r>
          </w:p>
        </w:tc>
        <w:tc>
          <w:tcPr>
            <w:tcW w:w="1701" w:type="dxa"/>
            <w:tcBorders>
              <w:top w:val="single" w:sz="4" w:space="0" w:color="auto"/>
              <w:left w:val="single" w:sz="4" w:space="0" w:color="auto"/>
              <w:bottom w:val="single" w:sz="4" w:space="0" w:color="auto"/>
              <w:right w:val="single" w:sz="4" w:space="0" w:color="auto"/>
            </w:tcBorders>
          </w:tcPr>
          <w:p w14:paraId="1AA477FE" w14:textId="77777777" w:rsidR="0067320E" w:rsidRPr="00915756" w:rsidRDefault="004A4B8A" w:rsidP="000A53E1">
            <w:pPr>
              <w:rPr>
                <w:sz w:val="20"/>
                <w:szCs w:val="20"/>
                <w:lang w:eastAsia="ja-JP"/>
              </w:rPr>
            </w:pPr>
            <w:r w:rsidRPr="00915756">
              <w:rPr>
                <w:rFonts w:hint="eastAsia"/>
                <w:sz w:val="20"/>
                <w:szCs w:val="20"/>
                <w:lang w:eastAsia="ja-JP"/>
              </w:rPr>
              <w:t>C</w:t>
            </w:r>
            <w:r w:rsidRPr="00915756">
              <w:rPr>
                <w:sz w:val="20"/>
                <w:szCs w:val="20"/>
                <w:lang w:eastAsia="ja-JP"/>
              </w:rPr>
              <w:t xml:space="preserve">eftriaxone </w:t>
            </w:r>
          </w:p>
          <w:p w14:paraId="329BF981" w14:textId="316123DE" w:rsidR="004A4B8A" w:rsidRPr="00915756" w:rsidRDefault="004A4B8A" w:rsidP="000A53E1">
            <w:pPr>
              <w:rPr>
                <w:sz w:val="20"/>
                <w:szCs w:val="20"/>
                <w:lang w:eastAsia="ja-JP"/>
              </w:rPr>
            </w:pPr>
            <w:r w:rsidRPr="00915756">
              <w:rPr>
                <w:sz w:val="20"/>
                <w:szCs w:val="20"/>
                <w:lang w:eastAsia="ja-JP"/>
              </w:rPr>
              <w:t>4</w:t>
            </w:r>
            <w:r w:rsidR="00DD6BE2">
              <w:rPr>
                <w:sz w:val="20"/>
                <w:szCs w:val="20"/>
                <w:lang w:eastAsia="ja-JP"/>
              </w:rPr>
              <w:t xml:space="preserve"> </w:t>
            </w:r>
            <w:r w:rsidRPr="00915756">
              <w:rPr>
                <w:sz w:val="20"/>
                <w:szCs w:val="20"/>
                <w:lang w:eastAsia="ja-JP"/>
              </w:rPr>
              <w:t xml:space="preserve">g </w:t>
            </w:r>
            <w:r w:rsidRPr="00C121CC">
              <w:rPr>
                <w:i/>
                <w:sz w:val="20"/>
                <w:szCs w:val="20"/>
                <w:lang w:eastAsia="ja-JP"/>
              </w:rPr>
              <w:t>(100</w:t>
            </w:r>
            <w:r w:rsidR="00DD6BE2">
              <w:rPr>
                <w:i/>
                <w:sz w:val="20"/>
                <w:szCs w:val="20"/>
                <w:lang w:eastAsia="ja-JP"/>
              </w:rPr>
              <w:t xml:space="preserve"> </w:t>
            </w:r>
            <w:r w:rsidRPr="00C121CC">
              <w:rPr>
                <w:i/>
                <w:sz w:val="20"/>
                <w:szCs w:val="20"/>
                <w:lang w:eastAsia="ja-JP"/>
              </w:rPr>
              <w:t>mg/kg</w:t>
            </w:r>
            <w:r w:rsidRPr="00915756">
              <w:rPr>
                <w:sz w:val="20"/>
                <w:szCs w:val="20"/>
                <w:lang w:eastAsia="ja-JP"/>
              </w:rPr>
              <w:t>) OD</w:t>
            </w:r>
          </w:p>
        </w:tc>
        <w:tc>
          <w:tcPr>
            <w:tcW w:w="1843" w:type="dxa"/>
            <w:tcBorders>
              <w:top w:val="single" w:sz="4" w:space="0" w:color="auto"/>
              <w:left w:val="single" w:sz="4" w:space="0" w:color="auto"/>
              <w:bottom w:val="single" w:sz="4" w:space="0" w:color="auto"/>
              <w:right w:val="single" w:sz="4" w:space="0" w:color="auto"/>
            </w:tcBorders>
          </w:tcPr>
          <w:p w14:paraId="24BFA67A" w14:textId="77777777" w:rsidR="004A4B8A" w:rsidRPr="00915756" w:rsidRDefault="005E1C4B" w:rsidP="000A53E1">
            <w:pPr>
              <w:rPr>
                <w:sz w:val="20"/>
                <w:szCs w:val="20"/>
                <w:lang w:eastAsia="ja-JP"/>
              </w:rPr>
            </w:pPr>
            <w:r w:rsidRPr="00915756">
              <w:rPr>
                <w:sz w:val="20"/>
                <w:szCs w:val="20"/>
                <w:vertAlign w:val="superscript"/>
                <w:lang w:eastAsia="ja-JP"/>
              </w:rPr>
              <w:t>1)</w:t>
            </w:r>
            <w:r w:rsidR="004A4B8A" w:rsidRPr="00915756">
              <w:rPr>
                <w:sz w:val="20"/>
                <w:szCs w:val="20"/>
                <w:lang w:eastAsia="ja-JP"/>
              </w:rPr>
              <w:t>TB4</w:t>
            </w:r>
          </w:p>
          <w:p w14:paraId="43A14728" w14:textId="03FF97B1" w:rsidR="0067320E" w:rsidRPr="00915756" w:rsidRDefault="005E1C4B" w:rsidP="00196A10">
            <w:pPr>
              <w:rPr>
                <w:sz w:val="20"/>
                <w:szCs w:val="20"/>
                <w:lang w:eastAsia="ja-JP"/>
              </w:rPr>
            </w:pPr>
            <w:r w:rsidRPr="00915756">
              <w:rPr>
                <w:sz w:val="20"/>
                <w:szCs w:val="20"/>
                <w:vertAlign w:val="superscript"/>
                <w:lang w:eastAsia="ja-JP"/>
              </w:rPr>
              <w:t>2)</w:t>
            </w:r>
            <w:r w:rsidR="0067320E" w:rsidRPr="00915756">
              <w:rPr>
                <w:rFonts w:hint="eastAsia"/>
                <w:sz w:val="20"/>
                <w:szCs w:val="20"/>
                <w:lang w:eastAsia="ja-JP"/>
              </w:rPr>
              <w:t>P</w:t>
            </w:r>
            <w:r w:rsidR="0067320E" w:rsidRPr="00915756">
              <w:rPr>
                <w:sz w:val="20"/>
                <w:szCs w:val="20"/>
                <w:lang w:eastAsia="ja-JP"/>
              </w:rPr>
              <w:t>redniso</w:t>
            </w:r>
            <w:r w:rsidR="00DD6BE2">
              <w:rPr>
                <w:sz w:val="20"/>
                <w:szCs w:val="20"/>
                <w:lang w:eastAsia="ja-JP"/>
              </w:rPr>
              <w:t>lo</w:t>
            </w:r>
            <w:r w:rsidR="0067320E" w:rsidRPr="00915756">
              <w:rPr>
                <w:sz w:val="20"/>
                <w:szCs w:val="20"/>
                <w:lang w:eastAsia="ja-JP"/>
              </w:rPr>
              <w:t>ne</w:t>
            </w:r>
            <w:r w:rsidR="00196A10">
              <w:rPr>
                <w:sz w:val="20"/>
                <w:szCs w:val="20"/>
                <w:lang w:eastAsia="ja-JP"/>
              </w:rPr>
              <w:br/>
            </w:r>
            <w:r w:rsidR="0067320E" w:rsidRPr="00915756">
              <w:rPr>
                <w:rFonts w:hint="eastAsia"/>
                <w:sz w:val="20"/>
                <w:szCs w:val="20"/>
                <w:lang w:eastAsia="ja-JP"/>
              </w:rPr>
              <w:t>6</w:t>
            </w:r>
            <w:r w:rsidR="0067320E" w:rsidRPr="00915756">
              <w:rPr>
                <w:sz w:val="20"/>
                <w:szCs w:val="20"/>
                <w:lang w:eastAsia="ja-JP"/>
              </w:rPr>
              <w:t>0</w:t>
            </w:r>
            <w:r w:rsidR="00196A10">
              <w:rPr>
                <w:sz w:val="20"/>
                <w:szCs w:val="20"/>
                <w:lang w:eastAsia="ja-JP"/>
              </w:rPr>
              <w:t xml:space="preserve"> </w:t>
            </w:r>
            <w:r w:rsidR="0067320E" w:rsidRPr="00915756">
              <w:rPr>
                <w:sz w:val="20"/>
                <w:szCs w:val="20"/>
                <w:lang w:eastAsia="ja-JP"/>
              </w:rPr>
              <w:t xml:space="preserve">mg </w:t>
            </w:r>
            <w:r w:rsidR="0067320E" w:rsidRPr="00C121CC">
              <w:rPr>
                <w:i/>
                <w:sz w:val="20"/>
                <w:szCs w:val="20"/>
                <w:lang w:eastAsia="ja-JP"/>
              </w:rPr>
              <w:t>(2-4</w:t>
            </w:r>
            <w:r w:rsidR="00DD6BE2">
              <w:rPr>
                <w:i/>
                <w:sz w:val="20"/>
                <w:szCs w:val="20"/>
                <w:lang w:eastAsia="ja-JP"/>
              </w:rPr>
              <w:t xml:space="preserve"> </w:t>
            </w:r>
            <w:r w:rsidR="0067320E" w:rsidRPr="00C121CC">
              <w:rPr>
                <w:i/>
                <w:sz w:val="20"/>
                <w:szCs w:val="20"/>
                <w:lang w:eastAsia="ja-JP"/>
              </w:rPr>
              <w:t>mg/k</w:t>
            </w:r>
            <w:r w:rsidRPr="00C121CC">
              <w:rPr>
                <w:i/>
                <w:sz w:val="20"/>
                <w:szCs w:val="20"/>
                <w:lang w:eastAsia="ja-JP"/>
              </w:rPr>
              <w:t>g</w:t>
            </w:r>
            <w:r w:rsidR="0067320E" w:rsidRPr="00C121CC">
              <w:rPr>
                <w:i/>
                <w:sz w:val="20"/>
                <w:szCs w:val="20"/>
                <w:lang w:eastAsia="ja-JP"/>
              </w:rPr>
              <w:t>)</w:t>
            </w:r>
            <w:r w:rsidRPr="00C121CC">
              <w:rPr>
                <w:i/>
                <w:sz w:val="20"/>
                <w:szCs w:val="20"/>
                <w:lang w:eastAsia="ja-JP"/>
              </w:rPr>
              <w:t xml:space="preserve"> </w:t>
            </w:r>
            <w:r w:rsidRPr="00915756">
              <w:rPr>
                <w:sz w:val="20"/>
                <w:szCs w:val="20"/>
                <w:lang w:eastAsia="ja-JP"/>
              </w:rPr>
              <w:t>OD</w:t>
            </w:r>
          </w:p>
        </w:tc>
        <w:tc>
          <w:tcPr>
            <w:tcW w:w="2410" w:type="dxa"/>
            <w:tcBorders>
              <w:top w:val="single" w:sz="4" w:space="0" w:color="auto"/>
              <w:left w:val="single" w:sz="4" w:space="0" w:color="auto"/>
              <w:bottom w:val="single" w:sz="4" w:space="0" w:color="auto"/>
              <w:right w:val="single" w:sz="4" w:space="0" w:color="auto"/>
            </w:tcBorders>
          </w:tcPr>
          <w:p w14:paraId="1D33A59F" w14:textId="77777777" w:rsidR="004A4B8A" w:rsidRPr="00915756" w:rsidRDefault="004A4B8A" w:rsidP="000A53E1">
            <w:pPr>
              <w:rPr>
                <w:sz w:val="20"/>
                <w:szCs w:val="20"/>
                <w:lang w:eastAsia="ja-JP"/>
              </w:rPr>
            </w:pPr>
            <w:r w:rsidRPr="00915756">
              <w:rPr>
                <w:rFonts w:hint="eastAsia"/>
                <w:sz w:val="20"/>
                <w:szCs w:val="20"/>
                <w:lang w:eastAsia="ja-JP"/>
              </w:rPr>
              <w:t>F</w:t>
            </w:r>
            <w:r w:rsidRPr="00915756">
              <w:rPr>
                <w:sz w:val="20"/>
                <w:szCs w:val="20"/>
                <w:lang w:eastAsia="ja-JP"/>
              </w:rPr>
              <w:t>luconazole</w:t>
            </w:r>
          </w:p>
          <w:p w14:paraId="6165814D" w14:textId="6FFCFA99" w:rsidR="004A4B8A" w:rsidRPr="00915756" w:rsidRDefault="0067320E" w:rsidP="000A53E1">
            <w:pPr>
              <w:rPr>
                <w:sz w:val="20"/>
                <w:szCs w:val="20"/>
                <w:lang w:eastAsia="ja-JP"/>
              </w:rPr>
            </w:pPr>
            <w:r w:rsidRPr="00915756">
              <w:rPr>
                <w:sz w:val="20"/>
                <w:szCs w:val="20"/>
                <w:vertAlign w:val="superscript"/>
                <w:lang w:eastAsia="ja-JP"/>
              </w:rPr>
              <w:t>1)</w:t>
            </w:r>
            <w:r w:rsidR="004A4B8A" w:rsidRPr="00915756">
              <w:rPr>
                <w:rFonts w:hint="eastAsia"/>
                <w:sz w:val="20"/>
                <w:szCs w:val="20"/>
                <w:lang w:eastAsia="ja-JP"/>
              </w:rPr>
              <w:t>1</w:t>
            </w:r>
            <w:r w:rsidR="004A4B8A" w:rsidRPr="00915756">
              <w:rPr>
                <w:sz w:val="20"/>
                <w:szCs w:val="20"/>
                <w:lang w:eastAsia="ja-JP"/>
              </w:rPr>
              <w:t>200</w:t>
            </w:r>
            <w:r w:rsidR="00196A10">
              <w:rPr>
                <w:sz w:val="20"/>
                <w:szCs w:val="20"/>
                <w:lang w:eastAsia="ja-JP"/>
              </w:rPr>
              <w:t xml:space="preserve"> </w:t>
            </w:r>
            <w:r w:rsidR="004A4B8A" w:rsidRPr="00915756">
              <w:rPr>
                <w:sz w:val="20"/>
                <w:szCs w:val="20"/>
                <w:lang w:eastAsia="ja-JP"/>
              </w:rPr>
              <w:t xml:space="preserve">mg </w:t>
            </w:r>
            <w:r w:rsidR="004A4B8A" w:rsidRPr="00C121CC">
              <w:rPr>
                <w:i/>
                <w:sz w:val="20"/>
                <w:szCs w:val="20"/>
                <w:lang w:eastAsia="ja-JP"/>
              </w:rPr>
              <w:t>(18</w:t>
            </w:r>
            <w:r w:rsidR="00196A10">
              <w:rPr>
                <w:i/>
                <w:sz w:val="20"/>
                <w:szCs w:val="20"/>
                <w:lang w:eastAsia="ja-JP"/>
              </w:rPr>
              <w:t xml:space="preserve"> </w:t>
            </w:r>
            <w:r w:rsidR="004A4B8A" w:rsidRPr="00C121CC">
              <w:rPr>
                <w:i/>
                <w:sz w:val="20"/>
                <w:szCs w:val="20"/>
                <w:lang w:eastAsia="ja-JP"/>
              </w:rPr>
              <w:t>mg/kg)</w:t>
            </w:r>
            <w:r w:rsidR="004A4B8A" w:rsidRPr="00915756">
              <w:rPr>
                <w:sz w:val="20"/>
                <w:szCs w:val="20"/>
                <w:lang w:eastAsia="ja-JP"/>
              </w:rPr>
              <w:t xml:space="preserve"> </w:t>
            </w:r>
            <w:r w:rsidRPr="00915756">
              <w:rPr>
                <w:sz w:val="20"/>
                <w:szCs w:val="20"/>
                <w:lang w:eastAsia="ja-JP"/>
              </w:rPr>
              <w:t>OD</w:t>
            </w:r>
          </w:p>
          <w:p w14:paraId="0E1E5E30" w14:textId="5726C507" w:rsidR="004A4B8A" w:rsidRPr="00915756" w:rsidRDefault="0067320E" w:rsidP="000A53E1">
            <w:pPr>
              <w:rPr>
                <w:sz w:val="20"/>
                <w:szCs w:val="20"/>
                <w:lang w:eastAsia="ja-JP"/>
              </w:rPr>
            </w:pPr>
            <w:r w:rsidRPr="00915756">
              <w:rPr>
                <w:sz w:val="20"/>
                <w:szCs w:val="20"/>
                <w:vertAlign w:val="superscript"/>
                <w:lang w:eastAsia="ja-JP"/>
              </w:rPr>
              <w:t>2)</w:t>
            </w:r>
            <w:r w:rsidR="004A4B8A" w:rsidRPr="00915756">
              <w:rPr>
                <w:rFonts w:hint="eastAsia"/>
                <w:sz w:val="20"/>
                <w:szCs w:val="20"/>
                <w:lang w:eastAsia="ja-JP"/>
              </w:rPr>
              <w:t>4</w:t>
            </w:r>
            <w:r w:rsidR="004A4B8A" w:rsidRPr="00915756">
              <w:rPr>
                <w:sz w:val="20"/>
                <w:szCs w:val="20"/>
                <w:lang w:eastAsia="ja-JP"/>
              </w:rPr>
              <w:t>00</w:t>
            </w:r>
            <w:r w:rsidR="00196A10">
              <w:rPr>
                <w:sz w:val="20"/>
                <w:szCs w:val="20"/>
                <w:lang w:eastAsia="ja-JP"/>
              </w:rPr>
              <w:t xml:space="preserve"> </w:t>
            </w:r>
            <w:r w:rsidR="004A4B8A" w:rsidRPr="00915756">
              <w:rPr>
                <w:sz w:val="20"/>
                <w:szCs w:val="20"/>
                <w:lang w:eastAsia="ja-JP"/>
              </w:rPr>
              <w:t xml:space="preserve">mg </w:t>
            </w:r>
            <w:r w:rsidR="004A4B8A" w:rsidRPr="00C121CC">
              <w:rPr>
                <w:i/>
                <w:sz w:val="20"/>
                <w:szCs w:val="20"/>
                <w:lang w:eastAsia="ja-JP"/>
              </w:rPr>
              <w:t>(6</w:t>
            </w:r>
            <w:r w:rsidR="00196A10">
              <w:rPr>
                <w:i/>
                <w:sz w:val="20"/>
                <w:szCs w:val="20"/>
                <w:lang w:eastAsia="ja-JP"/>
              </w:rPr>
              <w:t xml:space="preserve"> </w:t>
            </w:r>
            <w:r w:rsidR="004A4B8A" w:rsidRPr="00C121CC">
              <w:rPr>
                <w:i/>
                <w:sz w:val="20"/>
                <w:szCs w:val="20"/>
                <w:lang w:eastAsia="ja-JP"/>
              </w:rPr>
              <w:t>mg/k</w:t>
            </w:r>
            <w:r w:rsidR="004A4B8A" w:rsidRPr="00D1260D">
              <w:rPr>
                <w:sz w:val="20"/>
                <w:szCs w:val="20"/>
                <w:lang w:eastAsia="ja-JP"/>
              </w:rPr>
              <w:t>g)</w:t>
            </w:r>
            <w:r w:rsidRPr="00915756">
              <w:rPr>
                <w:sz w:val="20"/>
                <w:szCs w:val="20"/>
                <w:lang w:eastAsia="ja-JP"/>
              </w:rPr>
              <w:t xml:space="preserve"> OD</w:t>
            </w:r>
          </w:p>
          <w:p w14:paraId="3E100A8A" w14:textId="05618AB8" w:rsidR="004A4B8A" w:rsidRPr="00915756" w:rsidRDefault="0067320E" w:rsidP="000A53E1">
            <w:pPr>
              <w:rPr>
                <w:sz w:val="20"/>
                <w:szCs w:val="20"/>
                <w:lang w:eastAsia="ja-JP"/>
              </w:rPr>
            </w:pPr>
            <w:r w:rsidRPr="00915756">
              <w:rPr>
                <w:sz w:val="20"/>
                <w:szCs w:val="20"/>
                <w:vertAlign w:val="superscript"/>
                <w:lang w:eastAsia="ja-JP"/>
              </w:rPr>
              <w:t>3)</w:t>
            </w:r>
            <w:r w:rsidR="004A4B8A" w:rsidRPr="00915756">
              <w:rPr>
                <w:sz w:val="20"/>
                <w:szCs w:val="20"/>
                <w:lang w:eastAsia="ja-JP"/>
              </w:rPr>
              <w:t>200</w:t>
            </w:r>
            <w:r w:rsidR="00196A10">
              <w:rPr>
                <w:sz w:val="20"/>
                <w:szCs w:val="20"/>
                <w:lang w:eastAsia="ja-JP"/>
              </w:rPr>
              <w:t xml:space="preserve"> </w:t>
            </w:r>
            <w:r w:rsidR="004A4B8A" w:rsidRPr="00915756">
              <w:rPr>
                <w:sz w:val="20"/>
                <w:szCs w:val="20"/>
                <w:lang w:eastAsia="ja-JP"/>
              </w:rPr>
              <w:t xml:space="preserve">mg </w:t>
            </w:r>
            <w:r w:rsidR="004A4B8A" w:rsidRPr="00C121CC">
              <w:rPr>
                <w:i/>
                <w:sz w:val="20"/>
                <w:szCs w:val="20"/>
                <w:lang w:eastAsia="ja-JP"/>
              </w:rPr>
              <w:t>(3</w:t>
            </w:r>
            <w:r w:rsidR="00196A10">
              <w:rPr>
                <w:i/>
                <w:sz w:val="20"/>
                <w:szCs w:val="20"/>
                <w:lang w:eastAsia="ja-JP"/>
              </w:rPr>
              <w:t xml:space="preserve"> </w:t>
            </w:r>
            <w:r w:rsidR="004A4B8A" w:rsidRPr="00C121CC">
              <w:rPr>
                <w:i/>
                <w:sz w:val="20"/>
                <w:szCs w:val="20"/>
                <w:lang w:eastAsia="ja-JP"/>
              </w:rPr>
              <w:t>mg/kg)</w:t>
            </w:r>
            <w:r w:rsidRPr="00915756">
              <w:rPr>
                <w:sz w:val="20"/>
                <w:szCs w:val="20"/>
                <w:lang w:eastAsia="ja-JP"/>
              </w:rPr>
              <w:t xml:space="preserve"> OD</w:t>
            </w:r>
          </w:p>
        </w:tc>
        <w:tc>
          <w:tcPr>
            <w:tcW w:w="1842" w:type="dxa"/>
            <w:tcBorders>
              <w:top w:val="single" w:sz="4" w:space="0" w:color="auto"/>
              <w:left w:val="single" w:sz="4" w:space="0" w:color="auto"/>
              <w:bottom w:val="single" w:sz="4" w:space="0" w:color="auto"/>
              <w:right w:val="single" w:sz="4" w:space="0" w:color="auto"/>
            </w:tcBorders>
          </w:tcPr>
          <w:p w14:paraId="08712554" w14:textId="77777777" w:rsidR="0067320E" w:rsidRPr="00915756" w:rsidRDefault="0067320E" w:rsidP="000A53E1">
            <w:pPr>
              <w:rPr>
                <w:sz w:val="20"/>
                <w:szCs w:val="20"/>
                <w:lang w:eastAsia="ja-JP"/>
              </w:rPr>
            </w:pPr>
            <w:r w:rsidRPr="00915756">
              <w:rPr>
                <w:rFonts w:hint="eastAsia"/>
                <w:sz w:val="20"/>
                <w:szCs w:val="20"/>
                <w:lang w:eastAsia="ja-JP"/>
              </w:rPr>
              <w:t>A</w:t>
            </w:r>
            <w:r w:rsidRPr="00915756">
              <w:rPr>
                <w:sz w:val="20"/>
                <w:szCs w:val="20"/>
                <w:lang w:eastAsia="ja-JP"/>
              </w:rPr>
              <w:t>c</w:t>
            </w:r>
            <w:r w:rsidR="00A70D3F" w:rsidRPr="00915756">
              <w:rPr>
                <w:sz w:val="20"/>
                <w:szCs w:val="20"/>
                <w:lang w:eastAsia="ja-JP"/>
              </w:rPr>
              <w:t>y</w:t>
            </w:r>
            <w:r w:rsidRPr="00915756">
              <w:rPr>
                <w:sz w:val="20"/>
                <w:szCs w:val="20"/>
                <w:lang w:eastAsia="ja-JP"/>
              </w:rPr>
              <w:t xml:space="preserve">clovir </w:t>
            </w:r>
          </w:p>
          <w:p w14:paraId="77B1CF25" w14:textId="0A135AE9" w:rsidR="004A4B8A" w:rsidRPr="00915756" w:rsidRDefault="0067320E" w:rsidP="000A53E1">
            <w:pPr>
              <w:rPr>
                <w:sz w:val="20"/>
                <w:szCs w:val="20"/>
                <w:lang w:eastAsia="ja-JP"/>
              </w:rPr>
            </w:pPr>
            <w:r w:rsidRPr="00915756">
              <w:rPr>
                <w:sz w:val="20"/>
                <w:szCs w:val="20"/>
                <w:lang w:eastAsia="ja-JP"/>
              </w:rPr>
              <w:t>10-15</w:t>
            </w:r>
            <w:r w:rsidR="00196A10">
              <w:rPr>
                <w:sz w:val="20"/>
                <w:szCs w:val="20"/>
                <w:lang w:eastAsia="ja-JP"/>
              </w:rPr>
              <w:t xml:space="preserve"> </w:t>
            </w:r>
            <w:r w:rsidRPr="00915756">
              <w:rPr>
                <w:sz w:val="20"/>
                <w:szCs w:val="20"/>
                <w:lang w:eastAsia="ja-JP"/>
              </w:rPr>
              <w:t>mg/kg TDS</w:t>
            </w:r>
          </w:p>
          <w:p w14:paraId="7B64B127" w14:textId="23935A9D" w:rsidR="00A70D3F" w:rsidRPr="00915756" w:rsidRDefault="00A70D3F" w:rsidP="000A53E1">
            <w:pPr>
              <w:rPr>
                <w:sz w:val="20"/>
                <w:szCs w:val="20"/>
                <w:lang w:eastAsia="ja-JP"/>
              </w:rPr>
            </w:pPr>
            <w:r w:rsidRPr="00C121CC">
              <w:rPr>
                <w:i/>
                <w:sz w:val="20"/>
                <w:szCs w:val="20"/>
                <w:lang w:eastAsia="ja-JP"/>
              </w:rPr>
              <w:t>(neonate: 60</w:t>
            </w:r>
            <w:r w:rsidR="00196A10">
              <w:rPr>
                <w:i/>
                <w:sz w:val="20"/>
                <w:szCs w:val="20"/>
                <w:lang w:eastAsia="ja-JP"/>
              </w:rPr>
              <w:t xml:space="preserve"> </w:t>
            </w:r>
            <w:r w:rsidRPr="00C121CC">
              <w:rPr>
                <w:i/>
                <w:sz w:val="20"/>
                <w:szCs w:val="20"/>
                <w:lang w:eastAsia="ja-JP"/>
              </w:rPr>
              <w:t>mg/kg</w:t>
            </w:r>
            <w:r w:rsidR="00CD7649" w:rsidRPr="00C121CC">
              <w:rPr>
                <w:i/>
                <w:sz w:val="20"/>
                <w:szCs w:val="20"/>
                <w:lang w:eastAsia="ja-JP"/>
              </w:rPr>
              <w:t xml:space="preserve"> </w:t>
            </w:r>
            <w:r w:rsidR="00CD7649" w:rsidRPr="00C121CC">
              <w:rPr>
                <w:i/>
                <w:color w:val="000000"/>
                <w:sz w:val="20"/>
                <w:szCs w:val="20"/>
                <w:shd w:val="clear" w:color="auto" w:fill="FFFFFF"/>
              </w:rPr>
              <w:t>divided every 8 hours</w:t>
            </w:r>
            <w:r w:rsidRPr="00915756">
              <w:rPr>
                <w:sz w:val="20"/>
                <w:szCs w:val="20"/>
                <w:lang w:eastAsia="ja-JP"/>
              </w:rPr>
              <w:t>)</w:t>
            </w:r>
          </w:p>
        </w:tc>
      </w:tr>
      <w:tr w:rsidR="004A4B8A" w:rsidRPr="00915756" w14:paraId="69540621" w14:textId="77777777" w:rsidTr="006D23D5">
        <w:tc>
          <w:tcPr>
            <w:tcW w:w="1271" w:type="dxa"/>
            <w:tcBorders>
              <w:top w:val="single" w:sz="4" w:space="0" w:color="auto"/>
              <w:left w:val="single" w:sz="4" w:space="0" w:color="auto"/>
              <w:bottom w:val="single" w:sz="4" w:space="0" w:color="auto"/>
              <w:right w:val="single" w:sz="4" w:space="0" w:color="auto"/>
            </w:tcBorders>
          </w:tcPr>
          <w:p w14:paraId="0549790E" w14:textId="77777777" w:rsidR="004A4B8A" w:rsidRPr="000A53E1" w:rsidRDefault="004A4B8A" w:rsidP="000A53E1">
            <w:pPr>
              <w:rPr>
                <w:b/>
                <w:sz w:val="20"/>
                <w:szCs w:val="20"/>
                <w:lang w:eastAsia="ja-JP"/>
              </w:rPr>
            </w:pPr>
            <w:r w:rsidRPr="000A53E1">
              <w:rPr>
                <w:b/>
                <w:sz w:val="20"/>
                <w:szCs w:val="20"/>
                <w:lang w:eastAsia="ja-JP"/>
              </w:rPr>
              <w:t>Duration</w:t>
            </w:r>
          </w:p>
          <w:p w14:paraId="6EB5C215" w14:textId="77777777" w:rsidR="00CD7649" w:rsidRPr="000A53E1" w:rsidRDefault="00CD7649" w:rsidP="000A53E1">
            <w:pPr>
              <w:rPr>
                <w:b/>
                <w:sz w:val="20"/>
                <w:szCs w:val="20"/>
                <w:lang w:eastAsia="ja-JP"/>
              </w:rPr>
            </w:pPr>
            <w:r w:rsidRPr="000A53E1">
              <w:rPr>
                <w:rFonts w:hint="eastAsia"/>
                <w:b/>
                <w:sz w:val="20"/>
                <w:szCs w:val="20"/>
                <w:lang w:eastAsia="ja-JP"/>
              </w:rPr>
              <w:t>(</w:t>
            </w:r>
            <w:r w:rsidRPr="000A53E1">
              <w:rPr>
                <w:b/>
                <w:i/>
                <w:sz w:val="20"/>
                <w:szCs w:val="20"/>
                <w:lang w:eastAsia="ja-JP"/>
              </w:rPr>
              <w:t>in children</w:t>
            </w:r>
            <w:r w:rsidRPr="000A53E1">
              <w:rPr>
                <w:b/>
                <w:sz w:val="20"/>
                <w:szCs w:val="20"/>
                <w:lang w:eastAsia="ja-JP"/>
              </w:rPr>
              <w:t>)</w:t>
            </w:r>
          </w:p>
        </w:tc>
        <w:tc>
          <w:tcPr>
            <w:tcW w:w="1701" w:type="dxa"/>
            <w:tcBorders>
              <w:top w:val="single" w:sz="4" w:space="0" w:color="auto"/>
              <w:left w:val="single" w:sz="4" w:space="0" w:color="auto"/>
              <w:bottom w:val="single" w:sz="4" w:space="0" w:color="auto"/>
              <w:right w:val="single" w:sz="4" w:space="0" w:color="auto"/>
            </w:tcBorders>
          </w:tcPr>
          <w:p w14:paraId="4DE3A214" w14:textId="77777777" w:rsidR="004A4B8A" w:rsidRPr="00915756" w:rsidRDefault="006A2C6C" w:rsidP="000A53E1">
            <w:pPr>
              <w:rPr>
                <w:sz w:val="20"/>
                <w:szCs w:val="20"/>
                <w:lang w:eastAsia="ja-JP"/>
              </w:rPr>
            </w:pPr>
            <w:r w:rsidRPr="00915756">
              <w:rPr>
                <w:sz w:val="20"/>
                <w:szCs w:val="20"/>
                <w:lang w:eastAsia="ja-JP"/>
              </w:rPr>
              <w:t>2</w:t>
            </w:r>
            <w:r w:rsidR="0067320E" w:rsidRPr="00915756">
              <w:rPr>
                <w:sz w:val="20"/>
                <w:szCs w:val="20"/>
                <w:lang w:eastAsia="ja-JP"/>
              </w:rPr>
              <w:t xml:space="preserve"> weeks</w:t>
            </w:r>
          </w:p>
          <w:p w14:paraId="30CDBC3F" w14:textId="77777777" w:rsidR="00CD7649" w:rsidRPr="00C121CC" w:rsidRDefault="00CD7649" w:rsidP="000A53E1">
            <w:pPr>
              <w:rPr>
                <w:i/>
                <w:sz w:val="20"/>
                <w:szCs w:val="20"/>
                <w:lang w:eastAsia="ja-JP"/>
              </w:rPr>
            </w:pPr>
            <w:r w:rsidRPr="00C121CC">
              <w:rPr>
                <w:i/>
                <w:sz w:val="20"/>
                <w:szCs w:val="20"/>
                <w:lang w:eastAsia="ja-JP"/>
              </w:rPr>
              <w:t>(3 weeks)</w:t>
            </w:r>
          </w:p>
        </w:tc>
        <w:tc>
          <w:tcPr>
            <w:tcW w:w="1843" w:type="dxa"/>
            <w:tcBorders>
              <w:top w:val="single" w:sz="4" w:space="0" w:color="auto"/>
              <w:left w:val="single" w:sz="4" w:space="0" w:color="auto"/>
              <w:bottom w:val="single" w:sz="4" w:space="0" w:color="auto"/>
              <w:right w:val="single" w:sz="4" w:space="0" w:color="auto"/>
            </w:tcBorders>
          </w:tcPr>
          <w:p w14:paraId="5FBB94B3" w14:textId="77777777" w:rsidR="004A4B8A" w:rsidRPr="00915756" w:rsidRDefault="005E1C4B" w:rsidP="000A53E1">
            <w:pPr>
              <w:rPr>
                <w:sz w:val="20"/>
                <w:szCs w:val="20"/>
                <w:lang w:eastAsia="ja-JP"/>
              </w:rPr>
            </w:pPr>
            <w:r w:rsidRPr="00915756">
              <w:rPr>
                <w:rFonts w:hint="eastAsia"/>
                <w:sz w:val="20"/>
                <w:szCs w:val="20"/>
                <w:vertAlign w:val="superscript"/>
                <w:lang w:eastAsia="ja-JP"/>
              </w:rPr>
              <w:t>1</w:t>
            </w:r>
            <w:r w:rsidRPr="00915756">
              <w:rPr>
                <w:sz w:val="20"/>
                <w:szCs w:val="20"/>
                <w:vertAlign w:val="superscript"/>
                <w:lang w:eastAsia="ja-JP"/>
              </w:rPr>
              <w:t>)</w:t>
            </w:r>
            <w:r w:rsidR="00D1260D">
              <w:rPr>
                <w:sz w:val="20"/>
                <w:szCs w:val="20"/>
                <w:vertAlign w:val="superscript"/>
                <w:lang w:eastAsia="ja-JP"/>
              </w:rPr>
              <w:t xml:space="preserve"> </w:t>
            </w:r>
            <w:r w:rsidR="00D1260D">
              <w:rPr>
                <w:sz w:val="20"/>
                <w:szCs w:val="20"/>
                <w:lang w:eastAsia="ja-JP"/>
              </w:rPr>
              <w:t>12 months</w:t>
            </w:r>
          </w:p>
          <w:p w14:paraId="3A4492BC" w14:textId="77777777" w:rsidR="005E1C4B" w:rsidRPr="00915756" w:rsidRDefault="005E1C4B" w:rsidP="000A53E1">
            <w:pPr>
              <w:rPr>
                <w:sz w:val="20"/>
                <w:szCs w:val="20"/>
                <w:lang w:eastAsia="ja-JP"/>
              </w:rPr>
            </w:pPr>
            <w:r w:rsidRPr="00915756">
              <w:rPr>
                <w:rFonts w:hint="eastAsia"/>
                <w:sz w:val="20"/>
                <w:szCs w:val="20"/>
                <w:vertAlign w:val="superscript"/>
                <w:lang w:eastAsia="ja-JP"/>
              </w:rPr>
              <w:t>2</w:t>
            </w:r>
            <w:r w:rsidRPr="00915756">
              <w:rPr>
                <w:sz w:val="20"/>
                <w:szCs w:val="20"/>
                <w:vertAlign w:val="superscript"/>
                <w:lang w:eastAsia="ja-JP"/>
              </w:rPr>
              <w:t>)</w:t>
            </w:r>
            <w:r w:rsidR="00D1260D">
              <w:rPr>
                <w:sz w:val="20"/>
                <w:szCs w:val="20"/>
                <w:vertAlign w:val="superscript"/>
                <w:lang w:eastAsia="ja-JP"/>
              </w:rPr>
              <w:t xml:space="preserve"> </w:t>
            </w:r>
            <w:r w:rsidRPr="00915756">
              <w:rPr>
                <w:sz w:val="20"/>
                <w:szCs w:val="20"/>
                <w:lang w:eastAsia="ja-JP"/>
              </w:rPr>
              <w:t>2</w:t>
            </w:r>
            <w:r w:rsidR="00D1260D">
              <w:rPr>
                <w:sz w:val="20"/>
                <w:szCs w:val="20"/>
                <w:lang w:eastAsia="ja-JP"/>
              </w:rPr>
              <w:t xml:space="preserve"> </w:t>
            </w:r>
            <w:r w:rsidRPr="00915756">
              <w:rPr>
                <w:sz w:val="20"/>
                <w:szCs w:val="20"/>
                <w:lang w:eastAsia="ja-JP"/>
              </w:rPr>
              <w:t>weeks</w:t>
            </w:r>
            <w:r w:rsidR="00D1260D">
              <w:rPr>
                <w:sz w:val="20"/>
                <w:szCs w:val="20"/>
                <w:lang w:eastAsia="ja-JP"/>
              </w:rPr>
              <w:t>, then t</w:t>
            </w:r>
            <w:r w:rsidRPr="00915756">
              <w:rPr>
                <w:sz w:val="20"/>
                <w:szCs w:val="20"/>
                <w:lang w:eastAsia="ja-JP"/>
              </w:rPr>
              <w:t>aper gradually over the next six weeks</w:t>
            </w:r>
          </w:p>
        </w:tc>
        <w:tc>
          <w:tcPr>
            <w:tcW w:w="2410" w:type="dxa"/>
            <w:tcBorders>
              <w:top w:val="single" w:sz="4" w:space="0" w:color="auto"/>
              <w:left w:val="single" w:sz="4" w:space="0" w:color="auto"/>
              <w:bottom w:val="single" w:sz="4" w:space="0" w:color="auto"/>
              <w:right w:val="single" w:sz="4" w:space="0" w:color="auto"/>
            </w:tcBorders>
          </w:tcPr>
          <w:p w14:paraId="73BE0BDD" w14:textId="77777777" w:rsidR="004A4B8A" w:rsidRPr="00915756" w:rsidRDefault="0067320E" w:rsidP="000A53E1">
            <w:pPr>
              <w:rPr>
                <w:sz w:val="20"/>
                <w:szCs w:val="20"/>
                <w:lang w:eastAsia="ja-JP"/>
              </w:rPr>
            </w:pPr>
            <w:r w:rsidRPr="00915756">
              <w:rPr>
                <w:sz w:val="20"/>
                <w:szCs w:val="20"/>
                <w:vertAlign w:val="superscript"/>
                <w:lang w:eastAsia="ja-JP"/>
              </w:rPr>
              <w:t>1)</w:t>
            </w:r>
            <w:r w:rsidR="006A2C6C" w:rsidRPr="00915756">
              <w:rPr>
                <w:sz w:val="20"/>
                <w:szCs w:val="20"/>
                <w:lang w:eastAsia="ja-JP"/>
              </w:rPr>
              <w:t>10</w:t>
            </w:r>
            <w:r w:rsidRPr="00915756">
              <w:rPr>
                <w:sz w:val="20"/>
                <w:szCs w:val="20"/>
                <w:lang w:eastAsia="ja-JP"/>
              </w:rPr>
              <w:t xml:space="preserve"> weeks</w:t>
            </w:r>
          </w:p>
          <w:p w14:paraId="5CDA07C2" w14:textId="77777777" w:rsidR="0067320E" w:rsidRPr="00915756" w:rsidRDefault="0067320E" w:rsidP="000A53E1">
            <w:pPr>
              <w:rPr>
                <w:sz w:val="20"/>
                <w:szCs w:val="20"/>
                <w:lang w:eastAsia="ja-JP"/>
              </w:rPr>
            </w:pPr>
            <w:r w:rsidRPr="00915756">
              <w:rPr>
                <w:sz w:val="20"/>
                <w:szCs w:val="20"/>
                <w:vertAlign w:val="superscript"/>
                <w:lang w:eastAsia="ja-JP"/>
              </w:rPr>
              <w:t>2)</w:t>
            </w:r>
            <w:r w:rsidRPr="00915756">
              <w:rPr>
                <w:rFonts w:hint="eastAsia"/>
                <w:sz w:val="20"/>
                <w:szCs w:val="20"/>
                <w:lang w:eastAsia="ja-JP"/>
              </w:rPr>
              <w:t>8</w:t>
            </w:r>
            <w:r w:rsidRPr="00915756">
              <w:rPr>
                <w:sz w:val="20"/>
                <w:szCs w:val="20"/>
                <w:lang w:eastAsia="ja-JP"/>
              </w:rPr>
              <w:t xml:space="preserve"> weeks</w:t>
            </w:r>
          </w:p>
          <w:p w14:paraId="33687BAA" w14:textId="6707F4D3" w:rsidR="0067320E" w:rsidRPr="00915756" w:rsidRDefault="0067320E" w:rsidP="000A53E1">
            <w:pPr>
              <w:rPr>
                <w:sz w:val="20"/>
                <w:szCs w:val="20"/>
                <w:lang w:eastAsia="ja-JP"/>
              </w:rPr>
            </w:pPr>
            <w:r w:rsidRPr="00915756">
              <w:rPr>
                <w:sz w:val="20"/>
                <w:szCs w:val="20"/>
                <w:vertAlign w:val="superscript"/>
                <w:lang w:eastAsia="ja-JP"/>
              </w:rPr>
              <w:t>3)</w:t>
            </w:r>
            <w:r w:rsidRPr="00915756">
              <w:rPr>
                <w:sz w:val="20"/>
                <w:szCs w:val="20"/>
              </w:rPr>
              <w:t>until the CD4 count is &gt;200/mm3 for &gt;</w:t>
            </w:r>
            <w:r w:rsidR="00196A10">
              <w:rPr>
                <w:sz w:val="20"/>
                <w:szCs w:val="20"/>
              </w:rPr>
              <w:t xml:space="preserve"> </w:t>
            </w:r>
            <w:r w:rsidRPr="00915756">
              <w:rPr>
                <w:sz w:val="20"/>
                <w:szCs w:val="20"/>
              </w:rPr>
              <w:t>6 months</w:t>
            </w:r>
          </w:p>
        </w:tc>
        <w:tc>
          <w:tcPr>
            <w:tcW w:w="1842" w:type="dxa"/>
            <w:tcBorders>
              <w:top w:val="single" w:sz="4" w:space="0" w:color="auto"/>
              <w:left w:val="single" w:sz="4" w:space="0" w:color="auto"/>
              <w:bottom w:val="single" w:sz="4" w:space="0" w:color="auto"/>
              <w:right w:val="single" w:sz="4" w:space="0" w:color="auto"/>
            </w:tcBorders>
          </w:tcPr>
          <w:p w14:paraId="4A5CE899" w14:textId="77777777" w:rsidR="004A4B8A" w:rsidRPr="00915756" w:rsidRDefault="0067320E" w:rsidP="000A53E1">
            <w:pPr>
              <w:rPr>
                <w:sz w:val="20"/>
                <w:szCs w:val="20"/>
                <w:lang w:eastAsia="ja-JP"/>
              </w:rPr>
            </w:pPr>
            <w:r w:rsidRPr="00915756">
              <w:rPr>
                <w:sz w:val="20"/>
                <w:szCs w:val="20"/>
                <w:lang w:eastAsia="ja-JP"/>
              </w:rPr>
              <w:t>2 weeks</w:t>
            </w:r>
          </w:p>
        </w:tc>
      </w:tr>
    </w:tbl>
    <w:p w14:paraId="577C03F1" w14:textId="77777777" w:rsidR="00C121CC" w:rsidRDefault="00C121CC" w:rsidP="000A53E1">
      <w:pPr>
        <w:ind w:firstLineChars="50" w:firstLine="110"/>
        <w:rPr>
          <w:szCs w:val="22"/>
          <w:lang w:eastAsia="ja-JP"/>
        </w:rPr>
      </w:pPr>
    </w:p>
    <w:p w14:paraId="4BB01A3A" w14:textId="77777777" w:rsidR="00F03F25" w:rsidRPr="003C0800" w:rsidRDefault="00F03F25" w:rsidP="000A53E1">
      <w:pPr>
        <w:pStyle w:val="Heading2"/>
        <w:rPr>
          <w:rFonts w:cs="Arial"/>
          <w:szCs w:val="22"/>
        </w:rPr>
      </w:pPr>
      <w:r w:rsidRPr="003C0800">
        <w:rPr>
          <w:rFonts w:cs="Arial"/>
          <w:szCs w:val="22"/>
        </w:rPr>
        <w:t>Key Issues for Nursing care</w:t>
      </w:r>
    </w:p>
    <w:p w14:paraId="3DEB0F91" w14:textId="77777777" w:rsidR="00080045" w:rsidRPr="00080045" w:rsidRDefault="00080045" w:rsidP="000A53E1">
      <w:pPr>
        <w:pStyle w:val="Heading2"/>
        <w:numPr>
          <w:ilvl w:val="0"/>
          <w:numId w:val="29"/>
        </w:numPr>
        <w:rPr>
          <w:rFonts w:cs="Arial"/>
          <w:b w:val="0"/>
          <w:sz w:val="22"/>
          <w:szCs w:val="24"/>
        </w:rPr>
      </w:pPr>
      <w:r w:rsidRPr="00080045">
        <w:rPr>
          <w:rFonts w:cs="Arial"/>
          <w:b w:val="0"/>
          <w:sz w:val="22"/>
          <w:szCs w:val="24"/>
        </w:rPr>
        <w:t>Deterioration in clinical status can occur rapidly, so frequently assess the patient's neurologic status, especially level of consciousness and vital signs. Report new focal signs immediately.</w:t>
      </w:r>
    </w:p>
    <w:p w14:paraId="7DC1081C" w14:textId="77777777" w:rsidR="00080045" w:rsidRPr="00080045" w:rsidRDefault="00080045" w:rsidP="000A53E1">
      <w:pPr>
        <w:pStyle w:val="Heading2"/>
        <w:numPr>
          <w:ilvl w:val="0"/>
          <w:numId w:val="29"/>
        </w:numPr>
        <w:rPr>
          <w:rFonts w:cs="Arial"/>
          <w:b w:val="0"/>
          <w:sz w:val="22"/>
          <w:szCs w:val="24"/>
        </w:rPr>
      </w:pPr>
      <w:r w:rsidRPr="00080045">
        <w:rPr>
          <w:rFonts w:cs="Arial"/>
          <w:b w:val="0"/>
          <w:sz w:val="22"/>
          <w:szCs w:val="24"/>
        </w:rPr>
        <w:t>Try to minimize increases in the patient's ICP. Appropriate measures may include keeping the patient's head of bed elevated to 30 degrees, keeping the head midline, minimizing suctioning, using sedation, keeping the room quiet and dark, and avoiding hypercapnia.</w:t>
      </w:r>
    </w:p>
    <w:p w14:paraId="71612396" w14:textId="77777777" w:rsidR="00080045" w:rsidRPr="00080045" w:rsidRDefault="00080045" w:rsidP="000A53E1">
      <w:pPr>
        <w:pStyle w:val="Heading2"/>
        <w:numPr>
          <w:ilvl w:val="0"/>
          <w:numId w:val="29"/>
        </w:numPr>
        <w:rPr>
          <w:rFonts w:cs="Arial"/>
          <w:b w:val="0"/>
          <w:sz w:val="22"/>
          <w:szCs w:val="24"/>
        </w:rPr>
      </w:pPr>
      <w:r w:rsidRPr="00080045">
        <w:rPr>
          <w:rFonts w:cs="Arial"/>
          <w:b w:val="0"/>
          <w:sz w:val="22"/>
          <w:szCs w:val="24"/>
        </w:rPr>
        <w:t>Patients with bacterial meningitis may develop dehydration, shock, syndrome of inappropriate secretion of antidiuretic hormone, and/or intracranial hypertension. Closely monitor for fluid and electrolyte imbalances.</w:t>
      </w:r>
    </w:p>
    <w:p w14:paraId="369F36CA" w14:textId="77777777" w:rsidR="00080045" w:rsidRPr="00080045" w:rsidRDefault="00080045" w:rsidP="000A53E1">
      <w:pPr>
        <w:pStyle w:val="Heading2"/>
        <w:numPr>
          <w:ilvl w:val="0"/>
          <w:numId w:val="29"/>
        </w:numPr>
        <w:rPr>
          <w:rFonts w:cs="Arial"/>
          <w:b w:val="0"/>
          <w:sz w:val="22"/>
          <w:szCs w:val="24"/>
        </w:rPr>
      </w:pPr>
      <w:r w:rsidRPr="00080045">
        <w:rPr>
          <w:rFonts w:cs="Arial"/>
          <w:b w:val="0"/>
          <w:sz w:val="22"/>
          <w:szCs w:val="24"/>
        </w:rPr>
        <w:t xml:space="preserve">Analgesics may be required to treat headache. Darkening the room may help if the patient complains of photophobia. </w:t>
      </w:r>
    </w:p>
    <w:p w14:paraId="1505C29F" w14:textId="77777777" w:rsidR="00080045" w:rsidRPr="00080045" w:rsidRDefault="00080045" w:rsidP="000A53E1">
      <w:pPr>
        <w:pStyle w:val="Heading2"/>
        <w:numPr>
          <w:ilvl w:val="0"/>
          <w:numId w:val="29"/>
        </w:numPr>
        <w:rPr>
          <w:rFonts w:cs="Arial"/>
          <w:b w:val="0"/>
          <w:sz w:val="22"/>
          <w:szCs w:val="24"/>
        </w:rPr>
      </w:pPr>
      <w:r w:rsidRPr="00080045">
        <w:rPr>
          <w:rFonts w:cs="Arial"/>
          <w:b w:val="0"/>
          <w:sz w:val="22"/>
          <w:szCs w:val="24"/>
        </w:rPr>
        <w:t>The patient's hearing should be assessed before discharge because hearing loss is a common late complication of bacterial meningitis.</w:t>
      </w:r>
    </w:p>
    <w:p w14:paraId="1907FC12" w14:textId="2319484F" w:rsidR="00080045" w:rsidRPr="00080045" w:rsidRDefault="00080045" w:rsidP="000A53E1">
      <w:pPr>
        <w:pStyle w:val="Heading2"/>
        <w:numPr>
          <w:ilvl w:val="0"/>
          <w:numId w:val="29"/>
        </w:numPr>
        <w:rPr>
          <w:rFonts w:cs="Arial"/>
          <w:b w:val="0"/>
          <w:sz w:val="22"/>
          <w:szCs w:val="24"/>
        </w:rPr>
      </w:pPr>
      <w:r w:rsidRPr="00080045">
        <w:rPr>
          <w:rFonts w:cs="Arial"/>
          <w:b w:val="0"/>
          <w:sz w:val="22"/>
          <w:szCs w:val="24"/>
        </w:rPr>
        <w:t xml:space="preserve">Keep in mind that because </w:t>
      </w:r>
      <w:r w:rsidRPr="00080045">
        <w:rPr>
          <w:rFonts w:cs="Arial"/>
          <w:b w:val="0"/>
          <w:i/>
          <w:sz w:val="22"/>
          <w:szCs w:val="24"/>
        </w:rPr>
        <w:t xml:space="preserve">N. meningitidis </w:t>
      </w:r>
      <w:r w:rsidRPr="00080045">
        <w:rPr>
          <w:rFonts w:cs="Arial"/>
          <w:b w:val="0"/>
          <w:sz w:val="22"/>
          <w:szCs w:val="24"/>
        </w:rPr>
        <w:t>is easily spread from person to person, secondary cases need to be prevented. Suspected meningococcal disease should be reported to the local public health department. People in close contact with an infected person should receive chemoprophylaxis</w:t>
      </w:r>
      <w:r>
        <w:rPr>
          <w:rFonts w:cs="Arial"/>
          <w:b w:val="0"/>
          <w:sz w:val="22"/>
          <w:szCs w:val="24"/>
        </w:rPr>
        <w:t xml:space="preserve"> with </w:t>
      </w:r>
      <w:r w:rsidR="00B14BC2" w:rsidRPr="00080045">
        <w:rPr>
          <w:rFonts w:cs="Arial"/>
          <w:b w:val="0"/>
          <w:sz w:val="22"/>
          <w:szCs w:val="24"/>
        </w:rPr>
        <w:t xml:space="preserve">single dose of </w:t>
      </w:r>
      <w:r w:rsidR="00B14BC2">
        <w:rPr>
          <w:rFonts w:cs="Arial"/>
          <w:b w:val="0"/>
          <w:sz w:val="22"/>
          <w:szCs w:val="24"/>
        </w:rPr>
        <w:t xml:space="preserve">oral </w:t>
      </w:r>
      <w:r w:rsidR="00B14BC2" w:rsidRPr="00080045">
        <w:rPr>
          <w:rFonts w:cs="Arial"/>
          <w:b w:val="0"/>
          <w:sz w:val="22"/>
          <w:szCs w:val="24"/>
        </w:rPr>
        <w:t>ciprofloxacin 500</w:t>
      </w:r>
      <w:r w:rsidR="00F26DC4">
        <w:rPr>
          <w:rFonts w:cs="Arial"/>
          <w:b w:val="0"/>
          <w:sz w:val="22"/>
          <w:szCs w:val="24"/>
        </w:rPr>
        <w:t xml:space="preserve"> </w:t>
      </w:r>
      <w:r w:rsidR="00B14BC2" w:rsidRPr="00080045">
        <w:rPr>
          <w:rFonts w:cs="Arial"/>
          <w:b w:val="0"/>
          <w:sz w:val="22"/>
          <w:szCs w:val="24"/>
        </w:rPr>
        <w:t>mg daily (adults only)</w:t>
      </w:r>
      <w:r w:rsidR="006C2C62" w:rsidRPr="006C2C62">
        <w:rPr>
          <w:rFonts w:cs="Arial"/>
          <w:b w:val="0"/>
          <w:sz w:val="22"/>
          <w:szCs w:val="24"/>
        </w:rPr>
        <w:t xml:space="preserve"> </w:t>
      </w:r>
      <w:r w:rsidR="006C2C62" w:rsidRPr="00080045">
        <w:rPr>
          <w:rFonts w:cs="Arial"/>
          <w:b w:val="0"/>
          <w:sz w:val="22"/>
          <w:szCs w:val="24"/>
        </w:rPr>
        <w:t>or</w:t>
      </w:r>
      <w:r w:rsidR="006C2C62">
        <w:rPr>
          <w:rFonts w:cs="Arial"/>
          <w:b w:val="0"/>
          <w:sz w:val="22"/>
          <w:szCs w:val="24"/>
        </w:rPr>
        <w:t xml:space="preserve"> </w:t>
      </w:r>
      <w:r>
        <w:rPr>
          <w:rFonts w:cs="Arial"/>
          <w:b w:val="0"/>
          <w:sz w:val="22"/>
          <w:szCs w:val="24"/>
        </w:rPr>
        <w:t xml:space="preserve">oral </w:t>
      </w:r>
      <w:r w:rsidRPr="00080045">
        <w:rPr>
          <w:rFonts w:cs="Arial"/>
          <w:b w:val="0"/>
          <w:sz w:val="22"/>
          <w:szCs w:val="24"/>
        </w:rPr>
        <w:t>rifampicin 10 mg/kg twice daily (</w:t>
      </w:r>
      <w:r w:rsidR="00F26DC4">
        <w:rPr>
          <w:rFonts w:cs="Arial"/>
          <w:b w:val="0"/>
          <w:sz w:val="22"/>
          <w:szCs w:val="24"/>
        </w:rPr>
        <w:t>up to</w:t>
      </w:r>
      <w:r w:rsidRPr="00080045">
        <w:rPr>
          <w:rFonts w:cs="Arial"/>
          <w:b w:val="0"/>
          <w:sz w:val="22"/>
          <w:szCs w:val="24"/>
        </w:rPr>
        <w:t xml:space="preserve"> 1200 mg/day) for 4 days </w:t>
      </w:r>
    </w:p>
    <w:p w14:paraId="1E92651D" w14:textId="77777777" w:rsidR="001753C8" w:rsidRDefault="001753C8">
      <w:pPr>
        <w:spacing w:after="0"/>
        <w:outlineLvl w:val="9"/>
        <w:rPr>
          <w:b/>
          <w:sz w:val="24"/>
          <w:szCs w:val="22"/>
        </w:rPr>
      </w:pPr>
      <w:r>
        <w:rPr>
          <w:szCs w:val="22"/>
        </w:rPr>
        <w:br w:type="page"/>
      </w:r>
    </w:p>
    <w:p w14:paraId="625DFBC1" w14:textId="1036BA36" w:rsidR="00F03F25" w:rsidRPr="003C0800" w:rsidRDefault="00F03F25" w:rsidP="000A53E1">
      <w:pPr>
        <w:pStyle w:val="Heading2"/>
        <w:rPr>
          <w:rFonts w:cs="Arial"/>
          <w:szCs w:val="22"/>
        </w:rPr>
      </w:pPr>
      <w:r>
        <w:rPr>
          <w:rFonts w:cs="Arial"/>
          <w:szCs w:val="22"/>
        </w:rPr>
        <w:lastRenderedPageBreak/>
        <w:t>References</w:t>
      </w:r>
    </w:p>
    <w:p w14:paraId="4A900450" w14:textId="77777777" w:rsidR="005E1C4B" w:rsidRPr="00E36A90" w:rsidRDefault="005E1C4B" w:rsidP="000A53E1">
      <w:pPr>
        <w:rPr>
          <w:sz w:val="20"/>
          <w:szCs w:val="20"/>
        </w:rPr>
      </w:pPr>
      <w:r w:rsidRPr="00E36A90">
        <w:rPr>
          <w:sz w:val="20"/>
          <w:szCs w:val="20"/>
        </w:rPr>
        <w:t>NEUROLOGY IN AFRICA; William Howlett</w:t>
      </w:r>
      <w:r w:rsidR="00E36A90" w:rsidRPr="00E36A90">
        <w:rPr>
          <w:sz w:val="20"/>
          <w:szCs w:val="20"/>
        </w:rPr>
        <w:t>:</w:t>
      </w:r>
      <w:r w:rsidR="00873379" w:rsidRPr="00E36A90">
        <w:rPr>
          <w:sz w:val="20"/>
          <w:szCs w:val="20"/>
        </w:rPr>
        <w:t xml:space="preserve"> Updated </w:t>
      </w:r>
      <w:r w:rsidR="00E36A90" w:rsidRPr="00E36A90">
        <w:rPr>
          <w:sz w:val="20"/>
          <w:szCs w:val="20"/>
        </w:rPr>
        <w:t xml:space="preserve">Oct </w:t>
      </w:r>
      <w:r w:rsidR="00873379" w:rsidRPr="00E36A90">
        <w:rPr>
          <w:sz w:val="20"/>
          <w:szCs w:val="20"/>
        </w:rPr>
        <w:t>17</w:t>
      </w:r>
      <w:r w:rsidR="00E36A90" w:rsidRPr="00E36A90">
        <w:rPr>
          <w:sz w:val="20"/>
          <w:szCs w:val="20"/>
        </w:rPr>
        <w:t>,</w:t>
      </w:r>
      <w:r w:rsidR="00873379" w:rsidRPr="00E36A90">
        <w:rPr>
          <w:sz w:val="20"/>
          <w:szCs w:val="20"/>
        </w:rPr>
        <w:t xml:space="preserve">.2018 (First published: </w:t>
      </w:r>
      <w:r w:rsidR="00E36A90" w:rsidRPr="00E36A90">
        <w:rPr>
          <w:sz w:val="20"/>
          <w:szCs w:val="20"/>
        </w:rPr>
        <w:t xml:space="preserve">Aug </w:t>
      </w:r>
      <w:r w:rsidR="00873379" w:rsidRPr="00E36A90">
        <w:rPr>
          <w:sz w:val="20"/>
          <w:szCs w:val="20"/>
        </w:rPr>
        <w:t>16</w:t>
      </w:r>
      <w:r w:rsidR="00E36A90" w:rsidRPr="00E36A90">
        <w:rPr>
          <w:sz w:val="20"/>
          <w:szCs w:val="20"/>
        </w:rPr>
        <w:t xml:space="preserve">, </w:t>
      </w:r>
      <w:r w:rsidR="00873379" w:rsidRPr="00E36A90">
        <w:rPr>
          <w:sz w:val="20"/>
          <w:szCs w:val="20"/>
        </w:rPr>
        <w:t>2012)</w:t>
      </w:r>
    </w:p>
    <w:p w14:paraId="12024BCE" w14:textId="77777777" w:rsidR="00F03F25" w:rsidRDefault="005E1C4B" w:rsidP="000A53E1">
      <w:pPr>
        <w:rPr>
          <w:sz w:val="20"/>
          <w:szCs w:val="20"/>
          <w:lang w:eastAsia="ja-JP"/>
        </w:rPr>
      </w:pPr>
      <w:r>
        <w:rPr>
          <w:rFonts w:hint="eastAsia"/>
          <w:sz w:val="20"/>
          <w:szCs w:val="20"/>
          <w:lang w:eastAsia="ja-JP"/>
        </w:rPr>
        <w:t>U</w:t>
      </w:r>
      <w:r>
        <w:rPr>
          <w:sz w:val="20"/>
          <w:szCs w:val="20"/>
          <w:lang w:eastAsia="ja-JP"/>
        </w:rPr>
        <w:t xml:space="preserve">p To Date: </w:t>
      </w:r>
      <w:r w:rsidRPr="005E1C4B">
        <w:rPr>
          <w:sz w:val="20"/>
          <w:szCs w:val="20"/>
          <w:lang w:eastAsia="ja-JP"/>
        </w:rPr>
        <w:t>Central nervous system tuberculosis</w:t>
      </w:r>
      <w:r>
        <w:rPr>
          <w:sz w:val="20"/>
          <w:szCs w:val="20"/>
          <w:lang w:eastAsia="ja-JP"/>
        </w:rPr>
        <w:t xml:space="preserve">: </w:t>
      </w:r>
      <w:r w:rsidRPr="005E1C4B">
        <w:rPr>
          <w:sz w:val="20"/>
          <w:szCs w:val="20"/>
          <w:lang w:eastAsia="ja-JP"/>
        </w:rPr>
        <w:t>last updated: Oct 26, 2018.</w:t>
      </w:r>
    </w:p>
    <w:p w14:paraId="7D22D009" w14:textId="77777777" w:rsidR="005E1C4B" w:rsidRDefault="005E1C4B" w:rsidP="000A53E1">
      <w:pPr>
        <w:rPr>
          <w:sz w:val="20"/>
          <w:szCs w:val="20"/>
          <w:lang w:eastAsia="ja-JP"/>
        </w:rPr>
      </w:pPr>
      <w:r>
        <w:rPr>
          <w:rFonts w:hint="eastAsia"/>
          <w:sz w:val="20"/>
          <w:szCs w:val="20"/>
          <w:lang w:eastAsia="ja-JP"/>
        </w:rPr>
        <w:t>U</w:t>
      </w:r>
      <w:r>
        <w:rPr>
          <w:sz w:val="20"/>
          <w:szCs w:val="20"/>
          <w:lang w:eastAsia="ja-JP"/>
        </w:rPr>
        <w:t xml:space="preserve">p To Date: </w:t>
      </w:r>
      <w:r w:rsidRPr="005E1C4B">
        <w:rPr>
          <w:sz w:val="20"/>
          <w:szCs w:val="20"/>
          <w:lang w:eastAsia="ja-JP"/>
        </w:rPr>
        <w:t>Epidemiology of bacterial meningitis in adults</w:t>
      </w:r>
      <w:r>
        <w:rPr>
          <w:sz w:val="20"/>
          <w:szCs w:val="20"/>
          <w:lang w:eastAsia="ja-JP"/>
        </w:rPr>
        <w:t xml:space="preserve">: </w:t>
      </w:r>
      <w:r w:rsidRPr="005E1C4B">
        <w:rPr>
          <w:sz w:val="20"/>
          <w:szCs w:val="20"/>
          <w:lang w:eastAsia="ja-JP"/>
        </w:rPr>
        <w:t>last updated: Sep 26, 2018.</w:t>
      </w:r>
    </w:p>
    <w:p w14:paraId="3B93DDEF" w14:textId="77777777" w:rsidR="005E1C4B" w:rsidRDefault="005E1C4B" w:rsidP="000A53E1">
      <w:pPr>
        <w:rPr>
          <w:sz w:val="20"/>
          <w:szCs w:val="20"/>
          <w:lang w:eastAsia="ja-JP"/>
        </w:rPr>
      </w:pPr>
      <w:r>
        <w:rPr>
          <w:rFonts w:hint="eastAsia"/>
          <w:sz w:val="20"/>
          <w:szCs w:val="20"/>
          <w:lang w:eastAsia="ja-JP"/>
        </w:rPr>
        <w:t>U</w:t>
      </w:r>
      <w:r>
        <w:rPr>
          <w:sz w:val="20"/>
          <w:szCs w:val="20"/>
          <w:lang w:eastAsia="ja-JP"/>
        </w:rPr>
        <w:t xml:space="preserve">p To Date: </w:t>
      </w:r>
      <w:r w:rsidRPr="005E1C4B">
        <w:rPr>
          <w:sz w:val="20"/>
          <w:szCs w:val="20"/>
          <w:lang w:eastAsia="ja-JP"/>
        </w:rPr>
        <w:t>Lumbar puncture: Indications, contraindications, technique, and complications</w:t>
      </w:r>
      <w:r>
        <w:rPr>
          <w:sz w:val="20"/>
          <w:szCs w:val="20"/>
          <w:lang w:eastAsia="ja-JP"/>
        </w:rPr>
        <w:t xml:space="preserve">: </w:t>
      </w:r>
      <w:r w:rsidRPr="005E1C4B">
        <w:rPr>
          <w:sz w:val="20"/>
          <w:szCs w:val="20"/>
          <w:lang w:eastAsia="ja-JP"/>
        </w:rPr>
        <w:t>last updated: Sep 26, 2018.</w:t>
      </w:r>
    </w:p>
    <w:p w14:paraId="32B5EC9F" w14:textId="77777777" w:rsidR="005E1C4B" w:rsidRDefault="0051078E" w:rsidP="000A53E1">
      <w:pPr>
        <w:rPr>
          <w:sz w:val="20"/>
          <w:szCs w:val="20"/>
          <w:lang w:eastAsia="ja-JP"/>
        </w:rPr>
      </w:pPr>
      <w:r>
        <w:rPr>
          <w:rFonts w:hint="eastAsia"/>
          <w:sz w:val="20"/>
          <w:szCs w:val="20"/>
          <w:lang w:eastAsia="ja-JP"/>
        </w:rPr>
        <w:t>U</w:t>
      </w:r>
      <w:r>
        <w:rPr>
          <w:sz w:val="20"/>
          <w:szCs w:val="20"/>
          <w:lang w:eastAsia="ja-JP"/>
        </w:rPr>
        <w:t xml:space="preserve">p To Date: </w:t>
      </w:r>
      <w:r w:rsidRPr="0051078E">
        <w:rPr>
          <w:sz w:val="20"/>
          <w:szCs w:val="20"/>
          <w:lang w:eastAsia="ja-JP"/>
        </w:rPr>
        <w:t>Fluconazole: Drug information</w:t>
      </w:r>
    </w:p>
    <w:p w14:paraId="08435E97" w14:textId="77777777" w:rsidR="00E36A90" w:rsidRDefault="00E36A90" w:rsidP="000A53E1">
      <w:pPr>
        <w:rPr>
          <w:sz w:val="20"/>
          <w:szCs w:val="20"/>
          <w:lang w:eastAsia="ja-JP"/>
        </w:rPr>
      </w:pPr>
      <w:r>
        <w:rPr>
          <w:rFonts w:hint="eastAsia"/>
          <w:sz w:val="20"/>
          <w:szCs w:val="20"/>
          <w:lang w:eastAsia="ja-JP"/>
        </w:rPr>
        <w:t>U</w:t>
      </w:r>
      <w:r>
        <w:rPr>
          <w:sz w:val="20"/>
          <w:szCs w:val="20"/>
          <w:lang w:eastAsia="ja-JP"/>
        </w:rPr>
        <w:t xml:space="preserve">p To Date: </w:t>
      </w:r>
      <w:r w:rsidRPr="00E36A90">
        <w:rPr>
          <w:sz w:val="20"/>
          <w:szCs w:val="20"/>
          <w:lang w:eastAsia="ja-JP"/>
        </w:rPr>
        <w:t>Aseptic meningitis in adults</w:t>
      </w:r>
      <w:r>
        <w:rPr>
          <w:sz w:val="20"/>
          <w:szCs w:val="20"/>
          <w:lang w:eastAsia="ja-JP"/>
        </w:rPr>
        <w:t xml:space="preserve">: </w:t>
      </w:r>
      <w:r w:rsidRPr="00E36A90">
        <w:rPr>
          <w:sz w:val="20"/>
          <w:szCs w:val="20"/>
          <w:lang w:eastAsia="ja-JP"/>
        </w:rPr>
        <w:t>last updated: Sep 26, 2018.</w:t>
      </w:r>
    </w:p>
    <w:p w14:paraId="1B907DA1" w14:textId="77777777" w:rsidR="005E1C4B" w:rsidRDefault="005C0454" w:rsidP="000A53E1">
      <w:pPr>
        <w:rPr>
          <w:sz w:val="20"/>
          <w:szCs w:val="20"/>
          <w:lang w:eastAsia="ja-JP"/>
        </w:rPr>
      </w:pPr>
      <w:r>
        <w:rPr>
          <w:rFonts w:hint="eastAsia"/>
          <w:sz w:val="20"/>
          <w:szCs w:val="20"/>
          <w:lang w:eastAsia="ja-JP"/>
        </w:rPr>
        <w:t>U</w:t>
      </w:r>
      <w:r>
        <w:rPr>
          <w:sz w:val="20"/>
          <w:szCs w:val="20"/>
          <w:lang w:eastAsia="ja-JP"/>
        </w:rPr>
        <w:t xml:space="preserve">p To Date: </w:t>
      </w:r>
      <w:r w:rsidRPr="005C0454">
        <w:rPr>
          <w:sz w:val="20"/>
          <w:szCs w:val="20"/>
          <w:lang w:eastAsia="ja-JP"/>
        </w:rPr>
        <w:t>Clinical features and diagnosis of acute bacterial meningitis</w:t>
      </w:r>
      <w:r>
        <w:rPr>
          <w:sz w:val="20"/>
          <w:szCs w:val="20"/>
          <w:lang w:eastAsia="ja-JP"/>
        </w:rPr>
        <w:t xml:space="preserve">: </w:t>
      </w:r>
      <w:r w:rsidRPr="005C0454">
        <w:rPr>
          <w:sz w:val="20"/>
          <w:szCs w:val="20"/>
          <w:lang w:eastAsia="ja-JP"/>
        </w:rPr>
        <w:t>This topic last updated: Aug 30, 2018</w:t>
      </w:r>
    </w:p>
    <w:p w14:paraId="11305ADD" w14:textId="77777777" w:rsidR="005C0454" w:rsidRPr="005638D0" w:rsidRDefault="006F6BD7" w:rsidP="000A53E1">
      <w:pPr>
        <w:rPr>
          <w:sz w:val="20"/>
          <w:szCs w:val="20"/>
        </w:rPr>
      </w:pPr>
      <w:r w:rsidRPr="006F6BD7">
        <w:rPr>
          <w:sz w:val="20"/>
          <w:szCs w:val="20"/>
          <w:lang w:eastAsia="ja-JP"/>
        </w:rPr>
        <w:t>Fire up to beat the threat of bacterial meningitis</w:t>
      </w:r>
      <w:r>
        <w:rPr>
          <w:sz w:val="20"/>
          <w:szCs w:val="20"/>
          <w:lang w:eastAsia="ja-JP"/>
        </w:rPr>
        <w:t xml:space="preserve">; </w:t>
      </w:r>
      <w:r>
        <w:rPr>
          <w:color w:val="333333"/>
          <w:sz w:val="21"/>
          <w:szCs w:val="21"/>
          <w:shd w:val="clear" w:color="auto" w:fill="FFFFFF"/>
        </w:rPr>
        <w:t xml:space="preserve">Miller A, </w:t>
      </w:r>
      <w:r w:rsidRPr="006F6BD7">
        <w:rPr>
          <w:sz w:val="20"/>
          <w:szCs w:val="20"/>
          <w:lang w:eastAsia="ja-JP"/>
        </w:rPr>
        <w:t>Nursing2013: December 2013 - Volume 43 - Issue 12 - p 52,58–58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284D2195" w14:textId="77777777" w:rsidTr="00515546">
        <w:trPr>
          <w:trHeight w:val="20"/>
        </w:trPr>
        <w:tc>
          <w:tcPr>
            <w:tcW w:w="2139" w:type="dxa"/>
            <w:shd w:val="clear" w:color="auto" w:fill="auto"/>
            <w:vAlign w:val="bottom"/>
          </w:tcPr>
          <w:p w14:paraId="071A8DCE" w14:textId="77777777" w:rsidR="004C4442" w:rsidRPr="00515546" w:rsidRDefault="004C4442" w:rsidP="000A53E1">
            <w:pPr>
              <w:spacing w:after="0"/>
              <w:rPr>
                <w:b/>
                <w:szCs w:val="22"/>
              </w:rPr>
            </w:pPr>
            <w:r w:rsidRPr="00515546">
              <w:rPr>
                <w:b/>
                <w:szCs w:val="22"/>
              </w:rPr>
              <w:t>Written by:</w:t>
            </w:r>
          </w:p>
        </w:tc>
        <w:tc>
          <w:tcPr>
            <w:tcW w:w="3622" w:type="dxa"/>
            <w:shd w:val="clear" w:color="auto" w:fill="auto"/>
            <w:vAlign w:val="bottom"/>
          </w:tcPr>
          <w:p w14:paraId="20BED02F" w14:textId="77777777" w:rsidR="004C4442" w:rsidRPr="00515546" w:rsidRDefault="004C4442" w:rsidP="000A53E1">
            <w:pPr>
              <w:spacing w:after="0"/>
              <w:rPr>
                <w:szCs w:val="22"/>
              </w:rPr>
            </w:pPr>
            <w:r w:rsidRPr="00515546">
              <w:rPr>
                <w:szCs w:val="22"/>
              </w:rPr>
              <w:t>Name</w:t>
            </w:r>
            <w:r w:rsidR="005638D0">
              <w:rPr>
                <w:szCs w:val="22"/>
              </w:rPr>
              <w:t xml:space="preserve">: </w:t>
            </w:r>
            <w:r w:rsidR="003E4588">
              <w:rPr>
                <w:szCs w:val="22"/>
              </w:rPr>
              <w:t>Eriko Ikeda</w:t>
            </w:r>
          </w:p>
        </w:tc>
        <w:tc>
          <w:tcPr>
            <w:tcW w:w="2869" w:type="dxa"/>
            <w:shd w:val="clear" w:color="auto" w:fill="auto"/>
            <w:vAlign w:val="bottom"/>
          </w:tcPr>
          <w:p w14:paraId="53456554" w14:textId="77777777" w:rsidR="004C4442" w:rsidRPr="00515546" w:rsidRDefault="004C4442" w:rsidP="000A53E1">
            <w:pPr>
              <w:spacing w:after="0"/>
              <w:rPr>
                <w:szCs w:val="22"/>
              </w:rPr>
            </w:pPr>
            <w:r w:rsidRPr="00515546">
              <w:rPr>
                <w:szCs w:val="22"/>
              </w:rPr>
              <w:t xml:space="preserve">Date: </w:t>
            </w:r>
            <w:r w:rsidR="00F312BE">
              <w:rPr>
                <w:szCs w:val="22"/>
              </w:rPr>
              <w:t>29 Oct</w:t>
            </w:r>
            <w:r w:rsidR="00613ADC">
              <w:rPr>
                <w:szCs w:val="22"/>
              </w:rPr>
              <w:t>ober</w:t>
            </w:r>
            <w:r w:rsidR="00F312BE">
              <w:rPr>
                <w:szCs w:val="22"/>
              </w:rPr>
              <w:t xml:space="preserve"> 2018</w:t>
            </w:r>
          </w:p>
        </w:tc>
      </w:tr>
      <w:tr w:rsidR="004C4442" w:rsidRPr="00515546" w14:paraId="047AAD1A" w14:textId="77777777" w:rsidTr="00515546">
        <w:trPr>
          <w:trHeight w:val="20"/>
        </w:trPr>
        <w:tc>
          <w:tcPr>
            <w:tcW w:w="2139" w:type="dxa"/>
            <w:shd w:val="clear" w:color="auto" w:fill="auto"/>
            <w:vAlign w:val="bottom"/>
          </w:tcPr>
          <w:p w14:paraId="320E1158" w14:textId="77777777" w:rsidR="004C4442" w:rsidRPr="00515546" w:rsidRDefault="004C4442" w:rsidP="000A53E1">
            <w:pPr>
              <w:spacing w:after="0"/>
              <w:rPr>
                <w:b/>
                <w:szCs w:val="22"/>
              </w:rPr>
            </w:pPr>
            <w:r w:rsidRPr="00515546">
              <w:rPr>
                <w:b/>
                <w:szCs w:val="22"/>
              </w:rPr>
              <w:t>Reviewed by:</w:t>
            </w:r>
          </w:p>
        </w:tc>
        <w:tc>
          <w:tcPr>
            <w:tcW w:w="3622" w:type="dxa"/>
            <w:shd w:val="clear" w:color="auto" w:fill="auto"/>
            <w:vAlign w:val="bottom"/>
          </w:tcPr>
          <w:p w14:paraId="60BC29FE" w14:textId="77777777" w:rsidR="004C4442" w:rsidRPr="00515546" w:rsidRDefault="004C4442" w:rsidP="000A53E1">
            <w:pPr>
              <w:spacing w:after="0"/>
              <w:rPr>
                <w:szCs w:val="22"/>
              </w:rPr>
            </w:pPr>
            <w:r w:rsidRPr="00515546">
              <w:rPr>
                <w:szCs w:val="22"/>
              </w:rPr>
              <w:t xml:space="preserve">Name: </w:t>
            </w:r>
            <w:r w:rsidR="00B14BC2">
              <w:rPr>
                <w:szCs w:val="22"/>
              </w:rPr>
              <w:t>Fatai Akemokwe</w:t>
            </w:r>
          </w:p>
        </w:tc>
        <w:tc>
          <w:tcPr>
            <w:tcW w:w="2869" w:type="dxa"/>
            <w:shd w:val="clear" w:color="auto" w:fill="auto"/>
            <w:vAlign w:val="bottom"/>
          </w:tcPr>
          <w:p w14:paraId="2DA3EAFD" w14:textId="77777777" w:rsidR="004C4442" w:rsidRPr="00515546" w:rsidRDefault="004C4442" w:rsidP="000A53E1">
            <w:pPr>
              <w:spacing w:after="0"/>
              <w:rPr>
                <w:szCs w:val="22"/>
              </w:rPr>
            </w:pPr>
            <w:r w:rsidRPr="00515546">
              <w:rPr>
                <w:szCs w:val="22"/>
              </w:rPr>
              <w:t xml:space="preserve">Date: </w:t>
            </w:r>
            <w:r w:rsidR="00CF6947">
              <w:rPr>
                <w:szCs w:val="22"/>
              </w:rPr>
              <w:t>07</w:t>
            </w:r>
            <w:r w:rsidR="00B14BC2">
              <w:rPr>
                <w:szCs w:val="22"/>
              </w:rPr>
              <w:t xml:space="preserve"> N</w:t>
            </w:r>
            <w:r w:rsidR="00613ADC">
              <w:rPr>
                <w:szCs w:val="22"/>
              </w:rPr>
              <w:t>ovember</w:t>
            </w:r>
            <w:r w:rsidR="00B14BC2">
              <w:rPr>
                <w:szCs w:val="22"/>
              </w:rPr>
              <w:t xml:space="preserve"> 2018</w:t>
            </w:r>
          </w:p>
        </w:tc>
      </w:tr>
      <w:tr w:rsidR="004C4442" w:rsidRPr="00515546" w14:paraId="416B380C" w14:textId="77777777" w:rsidTr="00515546">
        <w:trPr>
          <w:trHeight w:val="20"/>
        </w:trPr>
        <w:tc>
          <w:tcPr>
            <w:tcW w:w="2139" w:type="dxa"/>
            <w:shd w:val="clear" w:color="auto" w:fill="auto"/>
            <w:vAlign w:val="bottom"/>
          </w:tcPr>
          <w:p w14:paraId="714F72F8" w14:textId="77777777" w:rsidR="004C4442" w:rsidRPr="00515546" w:rsidRDefault="004C4442" w:rsidP="000A53E1">
            <w:pPr>
              <w:spacing w:after="0"/>
              <w:rPr>
                <w:szCs w:val="22"/>
              </w:rPr>
            </w:pPr>
            <w:r w:rsidRPr="00515546">
              <w:rPr>
                <w:b/>
                <w:szCs w:val="22"/>
              </w:rPr>
              <w:t>Version:</w:t>
            </w:r>
          </w:p>
        </w:tc>
        <w:tc>
          <w:tcPr>
            <w:tcW w:w="3622" w:type="dxa"/>
            <w:shd w:val="clear" w:color="auto" w:fill="auto"/>
            <w:vAlign w:val="bottom"/>
          </w:tcPr>
          <w:p w14:paraId="0FFA7A99" w14:textId="77777777" w:rsidR="004C4442" w:rsidRPr="00515546" w:rsidRDefault="004C4442" w:rsidP="000A53E1">
            <w:pPr>
              <w:spacing w:after="0"/>
              <w:rPr>
                <w:szCs w:val="22"/>
              </w:rPr>
            </w:pPr>
            <w:r w:rsidRPr="00515546">
              <w:rPr>
                <w:b/>
                <w:szCs w:val="22"/>
              </w:rPr>
              <w:t>Change history:</w:t>
            </w:r>
          </w:p>
        </w:tc>
        <w:tc>
          <w:tcPr>
            <w:tcW w:w="2869" w:type="dxa"/>
            <w:shd w:val="clear" w:color="auto" w:fill="auto"/>
            <w:vAlign w:val="bottom"/>
          </w:tcPr>
          <w:p w14:paraId="173E05A5" w14:textId="77777777" w:rsidR="004C4442" w:rsidRPr="00515546" w:rsidRDefault="004C4442" w:rsidP="000A53E1">
            <w:pPr>
              <w:spacing w:after="0"/>
              <w:rPr>
                <w:b/>
                <w:szCs w:val="22"/>
              </w:rPr>
            </w:pPr>
            <w:r w:rsidRPr="00515546">
              <w:rPr>
                <w:b/>
                <w:szCs w:val="22"/>
              </w:rPr>
              <w:t>Review due date:</w:t>
            </w:r>
          </w:p>
        </w:tc>
      </w:tr>
      <w:tr w:rsidR="004C4442" w:rsidRPr="00515546" w14:paraId="0677CEC4" w14:textId="77777777" w:rsidTr="00515546">
        <w:trPr>
          <w:trHeight w:val="20"/>
        </w:trPr>
        <w:tc>
          <w:tcPr>
            <w:tcW w:w="2139" w:type="dxa"/>
            <w:shd w:val="clear" w:color="auto" w:fill="auto"/>
            <w:vAlign w:val="bottom"/>
          </w:tcPr>
          <w:p w14:paraId="49520B89" w14:textId="74FEE22C" w:rsidR="004C4442" w:rsidRPr="00515546" w:rsidRDefault="00CC05B2" w:rsidP="000A53E1">
            <w:pPr>
              <w:spacing w:after="0"/>
              <w:rPr>
                <w:szCs w:val="22"/>
              </w:rPr>
            </w:pPr>
            <w:r>
              <w:rPr>
                <w:szCs w:val="22"/>
              </w:rPr>
              <w:t>1.0</w:t>
            </w:r>
          </w:p>
        </w:tc>
        <w:tc>
          <w:tcPr>
            <w:tcW w:w="3622" w:type="dxa"/>
            <w:shd w:val="clear" w:color="auto" w:fill="auto"/>
            <w:vAlign w:val="bottom"/>
          </w:tcPr>
          <w:p w14:paraId="6B91652D" w14:textId="77777777" w:rsidR="004C4442" w:rsidRPr="00515546" w:rsidRDefault="004C4442" w:rsidP="000A53E1">
            <w:pPr>
              <w:spacing w:after="0"/>
              <w:rPr>
                <w:szCs w:val="22"/>
              </w:rPr>
            </w:pPr>
            <w:r w:rsidRPr="00515546">
              <w:rPr>
                <w:szCs w:val="22"/>
              </w:rPr>
              <w:t>New document</w:t>
            </w:r>
          </w:p>
        </w:tc>
        <w:tc>
          <w:tcPr>
            <w:tcW w:w="2869" w:type="dxa"/>
            <w:shd w:val="clear" w:color="auto" w:fill="auto"/>
            <w:vAlign w:val="bottom"/>
          </w:tcPr>
          <w:p w14:paraId="43E36A74" w14:textId="3FDDFB1A" w:rsidR="004C4442" w:rsidRPr="00515546" w:rsidRDefault="004C4442" w:rsidP="000A53E1">
            <w:pPr>
              <w:spacing w:after="0"/>
              <w:rPr>
                <w:szCs w:val="22"/>
              </w:rPr>
            </w:pPr>
          </w:p>
        </w:tc>
      </w:tr>
      <w:tr w:rsidR="005638D0" w:rsidRPr="00515546" w14:paraId="2722D846" w14:textId="77777777" w:rsidTr="00515546">
        <w:trPr>
          <w:trHeight w:val="20"/>
        </w:trPr>
        <w:tc>
          <w:tcPr>
            <w:tcW w:w="2139" w:type="dxa"/>
            <w:shd w:val="clear" w:color="auto" w:fill="auto"/>
            <w:vAlign w:val="bottom"/>
          </w:tcPr>
          <w:p w14:paraId="3D43FAE3" w14:textId="6FFB4D19" w:rsidR="005638D0" w:rsidRPr="00515546" w:rsidRDefault="00CC05B2" w:rsidP="000A53E1">
            <w:pPr>
              <w:spacing w:after="0"/>
              <w:rPr>
                <w:szCs w:val="22"/>
              </w:rPr>
            </w:pPr>
            <w:r>
              <w:rPr>
                <w:szCs w:val="22"/>
              </w:rPr>
              <w:t>2.0</w:t>
            </w:r>
          </w:p>
        </w:tc>
        <w:tc>
          <w:tcPr>
            <w:tcW w:w="3622" w:type="dxa"/>
            <w:shd w:val="clear" w:color="auto" w:fill="auto"/>
            <w:vAlign w:val="bottom"/>
          </w:tcPr>
          <w:p w14:paraId="73FCAD74" w14:textId="6C209E26" w:rsidR="005638D0" w:rsidRPr="00515546" w:rsidRDefault="00CC05B2" w:rsidP="000A53E1">
            <w:pPr>
              <w:spacing w:after="0"/>
              <w:rPr>
                <w:szCs w:val="22"/>
              </w:rPr>
            </w:pPr>
            <w:r>
              <w:rPr>
                <w:szCs w:val="22"/>
              </w:rPr>
              <w:t xml:space="preserve">Rewritten to include </w:t>
            </w:r>
            <w:r w:rsidR="00EB2054">
              <w:rPr>
                <w:szCs w:val="22"/>
              </w:rPr>
              <w:t>the management of chronic meningitis</w:t>
            </w:r>
            <w:r>
              <w:rPr>
                <w:szCs w:val="22"/>
              </w:rPr>
              <w:t xml:space="preserve"> and adapted to the new template</w:t>
            </w:r>
            <w:r w:rsidR="00EB2054">
              <w:rPr>
                <w:szCs w:val="22"/>
              </w:rPr>
              <w:t xml:space="preserve"> </w:t>
            </w:r>
          </w:p>
        </w:tc>
        <w:tc>
          <w:tcPr>
            <w:tcW w:w="2869" w:type="dxa"/>
            <w:shd w:val="clear" w:color="auto" w:fill="auto"/>
            <w:vAlign w:val="bottom"/>
          </w:tcPr>
          <w:p w14:paraId="3F9736EC" w14:textId="655EB90E" w:rsidR="005638D0" w:rsidRPr="00CC05B2" w:rsidRDefault="00CC05B2" w:rsidP="000A53E1">
            <w:pPr>
              <w:spacing w:after="0"/>
              <w:rPr>
                <w:szCs w:val="22"/>
              </w:rPr>
            </w:pPr>
            <w:r w:rsidRPr="00CC05B2">
              <w:rPr>
                <w:szCs w:val="22"/>
              </w:rPr>
              <w:t>31 January 2021</w:t>
            </w:r>
          </w:p>
        </w:tc>
      </w:tr>
      <w:tr w:rsidR="001753C8" w:rsidRPr="00515546" w14:paraId="4A397F25" w14:textId="77777777" w:rsidTr="00515546">
        <w:trPr>
          <w:trHeight w:val="20"/>
        </w:trPr>
        <w:tc>
          <w:tcPr>
            <w:tcW w:w="2139" w:type="dxa"/>
            <w:shd w:val="clear" w:color="auto" w:fill="auto"/>
            <w:vAlign w:val="bottom"/>
          </w:tcPr>
          <w:p w14:paraId="2D80FBC7" w14:textId="2931EDA3" w:rsidR="001753C8" w:rsidRDefault="001753C8" w:rsidP="000A53E1">
            <w:pPr>
              <w:spacing w:after="0"/>
              <w:rPr>
                <w:szCs w:val="22"/>
              </w:rPr>
            </w:pPr>
            <w:r>
              <w:rPr>
                <w:szCs w:val="22"/>
              </w:rPr>
              <w:t>2.1</w:t>
            </w:r>
          </w:p>
        </w:tc>
        <w:tc>
          <w:tcPr>
            <w:tcW w:w="3622" w:type="dxa"/>
            <w:shd w:val="clear" w:color="auto" w:fill="auto"/>
            <w:vAlign w:val="bottom"/>
          </w:tcPr>
          <w:p w14:paraId="4847BB36" w14:textId="67CB99E5" w:rsidR="001753C8" w:rsidRDefault="001753C8" w:rsidP="000A53E1">
            <w:pPr>
              <w:spacing w:after="0"/>
              <w:rPr>
                <w:szCs w:val="22"/>
              </w:rPr>
            </w:pPr>
            <w:r>
              <w:rPr>
                <w:szCs w:val="22"/>
              </w:rPr>
              <w:t>Executive summary added</w:t>
            </w:r>
          </w:p>
        </w:tc>
        <w:tc>
          <w:tcPr>
            <w:tcW w:w="2869" w:type="dxa"/>
            <w:shd w:val="clear" w:color="auto" w:fill="auto"/>
            <w:vAlign w:val="bottom"/>
          </w:tcPr>
          <w:p w14:paraId="02E5F01F" w14:textId="04343E90" w:rsidR="001753C8" w:rsidRPr="00CC05B2" w:rsidRDefault="001753C8" w:rsidP="000A53E1">
            <w:pPr>
              <w:spacing w:after="0"/>
              <w:rPr>
                <w:szCs w:val="22"/>
              </w:rPr>
            </w:pPr>
            <w:r w:rsidRPr="00CC05B2">
              <w:rPr>
                <w:szCs w:val="22"/>
              </w:rPr>
              <w:t>31 January 2021</w:t>
            </w:r>
          </w:p>
        </w:tc>
      </w:tr>
      <w:tr w:rsidR="00CC05B2" w:rsidRPr="00515546" w14:paraId="0C8CB06F" w14:textId="77777777" w:rsidTr="00515546">
        <w:trPr>
          <w:trHeight w:val="20"/>
        </w:trPr>
        <w:tc>
          <w:tcPr>
            <w:tcW w:w="2139" w:type="dxa"/>
            <w:shd w:val="clear" w:color="auto" w:fill="auto"/>
            <w:vAlign w:val="bottom"/>
          </w:tcPr>
          <w:p w14:paraId="3890BDAD" w14:textId="03C5CB4D" w:rsidR="00CC05B2" w:rsidRPr="00515546" w:rsidRDefault="00CC05B2" w:rsidP="000A53E1">
            <w:pPr>
              <w:spacing w:after="0"/>
              <w:rPr>
                <w:szCs w:val="22"/>
              </w:rPr>
            </w:pPr>
            <w:r w:rsidRPr="00CC05B2">
              <w:rPr>
                <w:szCs w:val="22"/>
              </w:rPr>
              <w:t>Review Comments (if applicable)</w:t>
            </w:r>
          </w:p>
        </w:tc>
        <w:tc>
          <w:tcPr>
            <w:tcW w:w="3622" w:type="dxa"/>
            <w:shd w:val="clear" w:color="auto" w:fill="auto"/>
            <w:vAlign w:val="bottom"/>
          </w:tcPr>
          <w:p w14:paraId="23C9631A" w14:textId="77777777" w:rsidR="00CC05B2" w:rsidRDefault="00CC05B2" w:rsidP="000A53E1">
            <w:pPr>
              <w:spacing w:after="0"/>
              <w:rPr>
                <w:szCs w:val="22"/>
              </w:rPr>
            </w:pPr>
          </w:p>
        </w:tc>
        <w:tc>
          <w:tcPr>
            <w:tcW w:w="2869" w:type="dxa"/>
            <w:shd w:val="clear" w:color="auto" w:fill="auto"/>
            <w:vAlign w:val="bottom"/>
          </w:tcPr>
          <w:p w14:paraId="7FEB9A55" w14:textId="77777777" w:rsidR="00CC05B2" w:rsidRPr="00515546" w:rsidRDefault="00CC05B2" w:rsidP="000A53E1">
            <w:pPr>
              <w:spacing w:after="0"/>
              <w:rPr>
                <w:b/>
                <w:szCs w:val="22"/>
              </w:rPr>
            </w:pPr>
          </w:p>
        </w:tc>
      </w:tr>
    </w:tbl>
    <w:p w14:paraId="7ECFB56A" w14:textId="77777777" w:rsidR="00975A60" w:rsidRPr="00CC3CF5" w:rsidRDefault="00975A60" w:rsidP="000A53E1">
      <w:pPr>
        <w:rPr>
          <w:szCs w:val="22"/>
        </w:rPr>
      </w:pPr>
    </w:p>
    <w:sectPr w:rsidR="00975A60" w:rsidRPr="00CC3CF5" w:rsidSect="00D1382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F64D0" w14:textId="77777777" w:rsidR="00011142" w:rsidRDefault="00011142" w:rsidP="00975A60">
      <w:pPr>
        <w:spacing w:after="0"/>
      </w:pPr>
      <w:r>
        <w:separator/>
      </w:r>
    </w:p>
  </w:endnote>
  <w:endnote w:type="continuationSeparator" w:id="0">
    <w:p w14:paraId="6ED2EA1E" w14:textId="77777777" w:rsidR="00011142" w:rsidRDefault="00011142"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58CE5"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7AE970"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09758"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07030A">
      <w:rPr>
        <w:rStyle w:val="PageNumber"/>
        <w:noProof/>
      </w:rPr>
      <w:t>6</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07030A">
      <w:rPr>
        <w:rStyle w:val="PageNumber"/>
        <w:noProof/>
      </w:rPr>
      <w:t>6</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737C9"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07030A">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07030A">
      <w:rPr>
        <w:rStyle w:val="PageNumber"/>
        <w:noProof/>
      </w:rPr>
      <w:t>1</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F4F4D" w14:textId="77777777" w:rsidR="00011142" w:rsidRDefault="00011142" w:rsidP="00975A60">
      <w:pPr>
        <w:spacing w:after="0"/>
      </w:pPr>
      <w:r>
        <w:separator/>
      </w:r>
    </w:p>
  </w:footnote>
  <w:footnote w:type="continuationSeparator" w:id="0">
    <w:p w14:paraId="1AFFD80F" w14:textId="77777777" w:rsidR="00011142" w:rsidRDefault="00011142"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E063A" w14:textId="77777777" w:rsidR="001753C8" w:rsidRDefault="001753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4EDFE" w14:textId="77777777" w:rsidR="00D13825" w:rsidRPr="00F87812" w:rsidRDefault="00D13825" w:rsidP="00D13825">
    <w:pPr>
      <w:pStyle w:val="Header"/>
    </w:pPr>
    <w:r w:rsidRPr="00F87812">
      <w:t>Identification code: MeG-CLS-</w:t>
    </w:r>
    <w:r w:rsidR="00613ADC">
      <w:t>028</w:t>
    </w:r>
    <w:r w:rsidRPr="00F87812">
      <w:tab/>
    </w:r>
  </w:p>
  <w:p w14:paraId="47DAFF84" w14:textId="4DF2ADFA" w:rsidR="005D1877" w:rsidRPr="00D13825" w:rsidRDefault="00D13825" w:rsidP="00D13825">
    <w:pPr>
      <w:pStyle w:val="Header"/>
    </w:pPr>
    <w:r w:rsidRPr="001753C8">
      <w:t xml:space="preserve">Version: </w:t>
    </w:r>
    <w:r w:rsidR="00EB2054" w:rsidRPr="001753C8">
      <w:t>2</w:t>
    </w:r>
    <w:r w:rsidRPr="001753C8">
      <w:t>.</w:t>
    </w:r>
    <w:r w:rsidR="001753C8" w:rsidRPr="001753C8">
      <w:t>1</w:t>
    </w:r>
    <w:r w:rsidRPr="001753C8">
      <w:t xml:space="preserve"> – </w:t>
    </w:r>
    <w:r w:rsidR="00EB2054" w:rsidRPr="001753C8">
      <w:t>31 January</w:t>
    </w:r>
    <w:r w:rsidR="00EB2054" w:rsidRPr="00EB2054">
      <w:t xml:space="preserve">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CF579"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57216" behindDoc="1" locked="0" layoutInCell="1" allowOverlap="1" wp14:anchorId="1B86D829" wp14:editId="1F1F5ADD">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70121B5D"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01B0BB18" w14:textId="77777777" w:rsidR="00D13825" w:rsidRPr="003C0800" w:rsidRDefault="00D13825" w:rsidP="00D13825">
    <w:pPr>
      <w:pStyle w:val="Header"/>
      <w:ind w:firstLine="2880"/>
      <w:rPr>
        <w:rFonts w:cs="Arial"/>
        <w:b/>
      </w:rPr>
    </w:pPr>
  </w:p>
  <w:p w14:paraId="74064861" w14:textId="77777777" w:rsidR="00D13825" w:rsidRPr="00F87812" w:rsidRDefault="00D13825" w:rsidP="00D13825">
    <w:pPr>
      <w:pStyle w:val="Header"/>
    </w:pPr>
    <w:r w:rsidRPr="00F87812">
      <w:t>Identification code: MeG-CLS-</w:t>
    </w:r>
    <w:r w:rsidR="000A53E1">
      <w:t>028</w:t>
    </w:r>
    <w:r w:rsidRPr="00F87812">
      <w:tab/>
    </w:r>
  </w:p>
  <w:p w14:paraId="3013A814" w14:textId="65002505" w:rsidR="00D13825" w:rsidRPr="00F87812" w:rsidRDefault="00D13825" w:rsidP="00D13825">
    <w:pPr>
      <w:pStyle w:val="Header"/>
    </w:pPr>
    <w:r w:rsidRPr="00F87812">
      <w:t xml:space="preserve">Version: </w:t>
    </w:r>
    <w:r w:rsidR="00EB2054" w:rsidRPr="00EB2054">
      <w:t>2</w:t>
    </w:r>
    <w:r w:rsidRPr="00EB2054">
      <w:t>.</w:t>
    </w:r>
    <w:r w:rsidR="001753C8">
      <w:t>1</w:t>
    </w:r>
    <w:r w:rsidRPr="00D13825">
      <w:rPr>
        <w:i/>
      </w:rPr>
      <w:t xml:space="preserve"> – </w:t>
    </w:r>
    <w:r w:rsidR="00EB2054" w:rsidRPr="00EB2054">
      <w:t>31 January 2019</w:t>
    </w:r>
  </w:p>
  <w:p w14:paraId="7D23D4F6"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29D4674"/>
    <w:multiLevelType w:val="hybridMultilevel"/>
    <w:tmpl w:val="3CC4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518A8"/>
    <w:multiLevelType w:val="hybridMultilevel"/>
    <w:tmpl w:val="5318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081691"/>
    <w:multiLevelType w:val="hybridMultilevel"/>
    <w:tmpl w:val="E67264E0"/>
    <w:lvl w:ilvl="0" w:tplc="04090001">
      <w:start w:val="1"/>
      <w:numFmt w:val="bullet"/>
      <w:lvlText w:val=""/>
      <w:lvlJc w:val="left"/>
      <w:pPr>
        <w:ind w:left="530" w:hanging="420"/>
      </w:pPr>
      <w:rPr>
        <w:rFonts w:ascii="Wingdings" w:hAnsi="Wingdings" w:hint="default"/>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12" w15:restartNumberingAfterBreak="0">
    <w:nsid w:val="4062406C"/>
    <w:multiLevelType w:val="hybridMultilevel"/>
    <w:tmpl w:val="6A3CF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start w:val="1"/>
      <w:numFmt w:val="bullet"/>
      <w:lvlText w:val=""/>
      <w:lvlJc w:val="left"/>
      <w:pPr>
        <w:ind w:left="2940" w:hanging="360"/>
      </w:pPr>
      <w:rPr>
        <w:rFonts w:ascii="Symbol" w:hAnsi="Symbol" w:hint="default"/>
      </w:rPr>
    </w:lvl>
    <w:lvl w:ilvl="4" w:tplc="08090003">
      <w:start w:val="1"/>
      <w:numFmt w:val="bullet"/>
      <w:lvlText w:val="o"/>
      <w:lvlJc w:val="left"/>
      <w:pPr>
        <w:ind w:left="3660" w:hanging="360"/>
      </w:pPr>
      <w:rPr>
        <w:rFonts w:ascii="Courier New" w:hAnsi="Courier New" w:cs="Courier New" w:hint="default"/>
      </w:rPr>
    </w:lvl>
    <w:lvl w:ilvl="5" w:tplc="08090005">
      <w:start w:val="1"/>
      <w:numFmt w:val="bullet"/>
      <w:lvlText w:val=""/>
      <w:lvlJc w:val="left"/>
      <w:pPr>
        <w:ind w:left="4380" w:hanging="360"/>
      </w:pPr>
      <w:rPr>
        <w:rFonts w:ascii="Wingdings" w:hAnsi="Wingdings" w:hint="default"/>
      </w:rPr>
    </w:lvl>
    <w:lvl w:ilvl="6" w:tplc="08090001">
      <w:start w:val="1"/>
      <w:numFmt w:val="bullet"/>
      <w:lvlText w:val=""/>
      <w:lvlJc w:val="left"/>
      <w:pPr>
        <w:ind w:left="5100" w:hanging="360"/>
      </w:pPr>
      <w:rPr>
        <w:rFonts w:ascii="Symbol" w:hAnsi="Symbol" w:hint="default"/>
      </w:rPr>
    </w:lvl>
    <w:lvl w:ilvl="7" w:tplc="08090003">
      <w:start w:val="1"/>
      <w:numFmt w:val="bullet"/>
      <w:lvlText w:val="o"/>
      <w:lvlJc w:val="left"/>
      <w:pPr>
        <w:ind w:left="5820" w:hanging="360"/>
      </w:pPr>
      <w:rPr>
        <w:rFonts w:ascii="Courier New" w:hAnsi="Courier New" w:cs="Courier New" w:hint="default"/>
      </w:rPr>
    </w:lvl>
    <w:lvl w:ilvl="8" w:tplc="08090005">
      <w:start w:val="1"/>
      <w:numFmt w:val="bullet"/>
      <w:lvlText w:val=""/>
      <w:lvlJc w:val="left"/>
      <w:pPr>
        <w:ind w:left="6540" w:hanging="360"/>
      </w:pPr>
      <w:rPr>
        <w:rFonts w:ascii="Wingdings" w:hAnsi="Wingdings" w:hint="default"/>
      </w:rPr>
    </w:lvl>
  </w:abstractNum>
  <w:abstractNum w:abstractNumId="19" w15:restartNumberingAfterBreak="0">
    <w:nsid w:val="5EDA2E06"/>
    <w:multiLevelType w:val="hybridMultilevel"/>
    <w:tmpl w:val="03ECD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C570474"/>
    <w:multiLevelType w:val="hybridMultilevel"/>
    <w:tmpl w:val="F93C1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9"/>
  </w:num>
  <w:num w:numId="4">
    <w:abstractNumId w:val="1"/>
  </w:num>
  <w:num w:numId="5">
    <w:abstractNumId w:val="0"/>
  </w:num>
  <w:num w:numId="6">
    <w:abstractNumId w:val="4"/>
  </w:num>
  <w:num w:numId="7">
    <w:abstractNumId w:val="17"/>
  </w:num>
  <w:num w:numId="8">
    <w:abstractNumId w:val="2"/>
  </w:num>
  <w:num w:numId="9">
    <w:abstractNumId w:val="30"/>
  </w:num>
  <w:num w:numId="10">
    <w:abstractNumId w:val="3"/>
  </w:num>
  <w:num w:numId="11">
    <w:abstractNumId w:val="10"/>
  </w:num>
  <w:num w:numId="12">
    <w:abstractNumId w:val="21"/>
  </w:num>
  <w:num w:numId="13">
    <w:abstractNumId w:val="27"/>
  </w:num>
  <w:num w:numId="14">
    <w:abstractNumId w:val="24"/>
  </w:num>
  <w:num w:numId="15">
    <w:abstractNumId w:val="29"/>
  </w:num>
  <w:num w:numId="16">
    <w:abstractNumId w:val="13"/>
  </w:num>
  <w:num w:numId="17">
    <w:abstractNumId w:val="7"/>
  </w:num>
  <w:num w:numId="18">
    <w:abstractNumId w:val="25"/>
  </w:num>
  <w:num w:numId="19">
    <w:abstractNumId w:val="14"/>
  </w:num>
  <w:num w:numId="20">
    <w:abstractNumId w:val="28"/>
  </w:num>
  <w:num w:numId="21">
    <w:abstractNumId w:val="16"/>
  </w:num>
  <w:num w:numId="22">
    <w:abstractNumId w:val="8"/>
  </w:num>
  <w:num w:numId="23">
    <w:abstractNumId w:val="20"/>
  </w:num>
  <w:num w:numId="24">
    <w:abstractNumId w:val="23"/>
  </w:num>
  <w:num w:numId="25">
    <w:abstractNumId w:val="11"/>
  </w:num>
  <w:num w:numId="26">
    <w:abstractNumId w:val="5"/>
  </w:num>
  <w:num w:numId="27">
    <w:abstractNumId w:val="6"/>
  </w:num>
  <w:num w:numId="28">
    <w:abstractNumId w:val="12"/>
  </w:num>
  <w:num w:numId="29">
    <w:abstractNumId w:val="26"/>
  </w:num>
  <w:num w:numId="30">
    <w:abstractNumId w:val="18"/>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ja-JP" w:vendorID="64" w:dllVersion="0" w:nlCheck="1" w:checkStyle="1"/>
  <w:activeWritingStyle w:appName="MSWord" w:lang="en-CA" w:vendorID="64" w:dllVersion="6" w:nlCheck="1" w:checkStyle="1"/>
  <w:proofState w:spelling="clean" w:grammar="clean"/>
  <w:attachedTemplate r:id="rId1"/>
  <w:defaultTabStop w:val="72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SwMDU2MzQ3sDQ3tTBT0lEKTi0uzszPAykwqgUA6RAjyywAAAA="/>
  </w:docVars>
  <w:rsids>
    <w:rsidRoot w:val="00AA5079"/>
    <w:rsid w:val="000039D9"/>
    <w:rsid w:val="00011142"/>
    <w:rsid w:val="00034CA2"/>
    <w:rsid w:val="0007030A"/>
    <w:rsid w:val="0007147C"/>
    <w:rsid w:val="000749B4"/>
    <w:rsid w:val="00080045"/>
    <w:rsid w:val="00081642"/>
    <w:rsid w:val="000A53E1"/>
    <w:rsid w:val="000C75DE"/>
    <w:rsid w:val="000E6111"/>
    <w:rsid w:val="00114AAF"/>
    <w:rsid w:val="001203AE"/>
    <w:rsid w:val="001425FF"/>
    <w:rsid w:val="00146597"/>
    <w:rsid w:val="00175153"/>
    <w:rsid w:val="001753C8"/>
    <w:rsid w:val="00196A10"/>
    <w:rsid w:val="001C1450"/>
    <w:rsid w:val="001F0A60"/>
    <w:rsid w:val="00223920"/>
    <w:rsid w:val="00252A11"/>
    <w:rsid w:val="00252AC9"/>
    <w:rsid w:val="00272365"/>
    <w:rsid w:val="0029357D"/>
    <w:rsid w:val="002A2856"/>
    <w:rsid w:val="002C1A34"/>
    <w:rsid w:val="002C7DCE"/>
    <w:rsid w:val="003020A2"/>
    <w:rsid w:val="003038D3"/>
    <w:rsid w:val="003225CD"/>
    <w:rsid w:val="00324DC0"/>
    <w:rsid w:val="003A67A2"/>
    <w:rsid w:val="003C0800"/>
    <w:rsid w:val="003E4588"/>
    <w:rsid w:val="003F63BA"/>
    <w:rsid w:val="003F70CA"/>
    <w:rsid w:val="0041103C"/>
    <w:rsid w:val="004204EC"/>
    <w:rsid w:val="00466A00"/>
    <w:rsid w:val="004944AB"/>
    <w:rsid w:val="0049667F"/>
    <w:rsid w:val="004A25F0"/>
    <w:rsid w:val="004A4B8A"/>
    <w:rsid w:val="004A4C93"/>
    <w:rsid w:val="004C4442"/>
    <w:rsid w:val="004D1BF4"/>
    <w:rsid w:val="004D23FF"/>
    <w:rsid w:val="0051078E"/>
    <w:rsid w:val="005151D8"/>
    <w:rsid w:val="00515546"/>
    <w:rsid w:val="0052525B"/>
    <w:rsid w:val="00556657"/>
    <w:rsid w:val="005638D0"/>
    <w:rsid w:val="005C0454"/>
    <w:rsid w:val="005D1877"/>
    <w:rsid w:val="005E1C4B"/>
    <w:rsid w:val="00613ADC"/>
    <w:rsid w:val="00633320"/>
    <w:rsid w:val="0067320E"/>
    <w:rsid w:val="00697CBA"/>
    <w:rsid w:val="006A2C6C"/>
    <w:rsid w:val="006B773D"/>
    <w:rsid w:val="006C2C62"/>
    <w:rsid w:val="006D23D5"/>
    <w:rsid w:val="006F6BD7"/>
    <w:rsid w:val="007067BE"/>
    <w:rsid w:val="00720434"/>
    <w:rsid w:val="00755349"/>
    <w:rsid w:val="0076439F"/>
    <w:rsid w:val="007B26B1"/>
    <w:rsid w:val="0082749A"/>
    <w:rsid w:val="008401A3"/>
    <w:rsid w:val="008549BF"/>
    <w:rsid w:val="00854EE5"/>
    <w:rsid w:val="00857027"/>
    <w:rsid w:val="00873379"/>
    <w:rsid w:val="008741AB"/>
    <w:rsid w:val="008A44CC"/>
    <w:rsid w:val="008B2A94"/>
    <w:rsid w:val="008E7324"/>
    <w:rsid w:val="00915756"/>
    <w:rsid w:val="009165E9"/>
    <w:rsid w:val="0092251D"/>
    <w:rsid w:val="009325A7"/>
    <w:rsid w:val="00946CD5"/>
    <w:rsid w:val="00954B70"/>
    <w:rsid w:val="00975A60"/>
    <w:rsid w:val="0098588E"/>
    <w:rsid w:val="009956F9"/>
    <w:rsid w:val="009B44BE"/>
    <w:rsid w:val="009E3BFD"/>
    <w:rsid w:val="009F1E8D"/>
    <w:rsid w:val="009F5B1B"/>
    <w:rsid w:val="00A312D8"/>
    <w:rsid w:val="00A41080"/>
    <w:rsid w:val="00A70D3F"/>
    <w:rsid w:val="00A8215F"/>
    <w:rsid w:val="00AA5079"/>
    <w:rsid w:val="00AB1704"/>
    <w:rsid w:val="00AC183F"/>
    <w:rsid w:val="00B14BC2"/>
    <w:rsid w:val="00B31AC4"/>
    <w:rsid w:val="00B77AAE"/>
    <w:rsid w:val="00B844E8"/>
    <w:rsid w:val="00BA31C0"/>
    <w:rsid w:val="00BD02D8"/>
    <w:rsid w:val="00BD08AB"/>
    <w:rsid w:val="00BD50E2"/>
    <w:rsid w:val="00BF7AFF"/>
    <w:rsid w:val="00C121CC"/>
    <w:rsid w:val="00C431AF"/>
    <w:rsid w:val="00C45102"/>
    <w:rsid w:val="00C5553C"/>
    <w:rsid w:val="00C67021"/>
    <w:rsid w:val="00CC05B2"/>
    <w:rsid w:val="00CC3CF5"/>
    <w:rsid w:val="00CD4A1D"/>
    <w:rsid w:val="00CD7649"/>
    <w:rsid w:val="00CE7CDB"/>
    <w:rsid w:val="00CF6947"/>
    <w:rsid w:val="00D03AB2"/>
    <w:rsid w:val="00D1260D"/>
    <w:rsid w:val="00D13825"/>
    <w:rsid w:val="00D60CF5"/>
    <w:rsid w:val="00D949CE"/>
    <w:rsid w:val="00DA20ED"/>
    <w:rsid w:val="00DC1CC5"/>
    <w:rsid w:val="00DC590C"/>
    <w:rsid w:val="00DD6BE2"/>
    <w:rsid w:val="00DE3D6D"/>
    <w:rsid w:val="00DF345F"/>
    <w:rsid w:val="00E162DA"/>
    <w:rsid w:val="00E30D7D"/>
    <w:rsid w:val="00E36A90"/>
    <w:rsid w:val="00EB2054"/>
    <w:rsid w:val="00EB205E"/>
    <w:rsid w:val="00EF12C7"/>
    <w:rsid w:val="00F03F25"/>
    <w:rsid w:val="00F07574"/>
    <w:rsid w:val="00F24F6D"/>
    <w:rsid w:val="00F26DC4"/>
    <w:rsid w:val="00F312BE"/>
    <w:rsid w:val="00F53968"/>
    <w:rsid w:val="00F60981"/>
    <w:rsid w:val="00F71F11"/>
    <w:rsid w:val="00F962C3"/>
    <w:rsid w:val="00FA516A"/>
    <w:rsid w:val="00FF218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423B329"/>
  <w15:docId w15:val="{4DB1F6E0-542C-4F40-85C8-E253DF64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heading 3" w:unhideWhenUsed="1"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qFormat/>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uiPriority w:val="99"/>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character" w:customStyle="1" w:styleId="nowrap">
    <w:name w:val="nowrap"/>
    <w:basedOn w:val="DefaultParagraphFont"/>
    <w:rsid w:val="00C5553C"/>
  </w:style>
  <w:style w:type="character" w:styleId="Emphasis">
    <w:name w:val="Emphasis"/>
    <w:basedOn w:val="DefaultParagraphFont"/>
    <w:uiPriority w:val="20"/>
    <w:qFormat/>
    <w:rsid w:val="004966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861526">
      <w:bodyDiv w:val="1"/>
      <w:marLeft w:val="0"/>
      <w:marRight w:val="0"/>
      <w:marTop w:val="0"/>
      <w:marBottom w:val="0"/>
      <w:divBdr>
        <w:top w:val="none" w:sz="0" w:space="0" w:color="auto"/>
        <w:left w:val="none" w:sz="0" w:space="0" w:color="auto"/>
        <w:bottom w:val="none" w:sz="0" w:space="0" w:color="auto"/>
        <w:right w:val="none" w:sz="0" w:space="0" w:color="auto"/>
      </w:divBdr>
    </w:div>
    <w:div w:id="1275138671">
      <w:bodyDiv w:val="1"/>
      <w:marLeft w:val="0"/>
      <w:marRight w:val="0"/>
      <w:marTop w:val="0"/>
      <w:marBottom w:val="0"/>
      <w:divBdr>
        <w:top w:val="none" w:sz="0" w:space="0" w:color="auto"/>
        <w:left w:val="none" w:sz="0" w:space="0" w:color="auto"/>
        <w:bottom w:val="none" w:sz="0" w:space="0" w:color="auto"/>
        <w:right w:val="none" w:sz="0" w:space="0" w:color="auto"/>
      </w:divBdr>
    </w:div>
    <w:div w:id="1785079852">
      <w:bodyDiv w:val="1"/>
      <w:marLeft w:val="0"/>
      <w:marRight w:val="0"/>
      <w:marTop w:val="0"/>
      <w:marBottom w:val="0"/>
      <w:divBdr>
        <w:top w:val="none" w:sz="0" w:space="0" w:color="auto"/>
        <w:left w:val="none" w:sz="0" w:space="0" w:color="auto"/>
        <w:bottom w:val="none" w:sz="0" w:space="0" w:color="auto"/>
        <w:right w:val="none" w:sz="0" w:space="0" w:color="auto"/>
      </w:divBdr>
    </w:div>
    <w:div w:id="1932544606">
      <w:bodyDiv w:val="1"/>
      <w:marLeft w:val="0"/>
      <w:marRight w:val="0"/>
      <w:marTop w:val="0"/>
      <w:marBottom w:val="0"/>
      <w:divBdr>
        <w:top w:val="none" w:sz="0" w:space="0" w:color="auto"/>
        <w:left w:val="none" w:sz="0" w:space="0" w:color="auto"/>
        <w:bottom w:val="none" w:sz="0" w:space="0" w:color="auto"/>
        <w:right w:val="none" w:sz="0" w:space="0" w:color="auto"/>
      </w:divBdr>
    </w:div>
    <w:div w:id="19337779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ko\Documents\Gambia\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90D63-3372-4180-868E-E88BC8049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Clinical guideline template 2018</Template>
  <TotalTime>2</TotalTime>
  <Pages>6</Pages>
  <Words>1737</Words>
  <Characters>9905</Characters>
  <Application>Microsoft Office Word</Application>
  <DocSecurity>0</DocSecurity>
  <Lines>82</Lines>
  <Paragraphs>23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MRC</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Eriko</dc:creator>
  <cp:lastModifiedBy>Karen Forrest</cp:lastModifiedBy>
  <cp:revision>8</cp:revision>
  <cp:lastPrinted>2019-05-09T14:41:00Z</cp:lastPrinted>
  <dcterms:created xsi:type="dcterms:W3CDTF">2019-04-05T10:57:00Z</dcterms:created>
  <dcterms:modified xsi:type="dcterms:W3CDTF">2019-05-09T14:41:00Z</dcterms:modified>
</cp:coreProperties>
</file>