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70182" w14:textId="170C2221" w:rsidR="001203AE" w:rsidRPr="003C0800" w:rsidRDefault="00092764" w:rsidP="001203AE">
      <w:pPr>
        <w:pStyle w:val="Heading1"/>
        <w:rPr>
          <w:rFonts w:cs="Arial"/>
          <w:szCs w:val="22"/>
        </w:rPr>
      </w:pPr>
      <w:r>
        <w:rPr>
          <w:rFonts w:cs="Arial"/>
          <w:szCs w:val="22"/>
        </w:rPr>
        <w:t xml:space="preserve">Nephrotic syndrome </w:t>
      </w:r>
    </w:p>
    <w:p w14:paraId="7FE0C273" w14:textId="6B5855C3" w:rsidR="007363ED" w:rsidRPr="007363ED" w:rsidRDefault="007363ED" w:rsidP="00975A60">
      <w:pPr>
        <w:pStyle w:val="Heading2"/>
        <w:rPr>
          <w:rFonts w:cs="Arial"/>
          <w:i/>
          <w:szCs w:val="22"/>
        </w:rPr>
      </w:pPr>
      <w:r w:rsidRPr="007363ED">
        <w:rPr>
          <w:rFonts w:cs="Arial"/>
          <w:i/>
          <w:szCs w:val="22"/>
        </w:rPr>
        <w:t>Executive summary</w:t>
      </w:r>
    </w:p>
    <w:p w14:paraId="7441B762" w14:textId="75CACB28" w:rsidR="00975A60" w:rsidRPr="00DC590C" w:rsidRDefault="00975A60" w:rsidP="00975A60">
      <w:pPr>
        <w:pStyle w:val="Heading2"/>
        <w:rPr>
          <w:rFonts w:cs="Arial"/>
          <w:szCs w:val="22"/>
        </w:rPr>
      </w:pPr>
      <w:r w:rsidRPr="00DC590C">
        <w:rPr>
          <w:rFonts w:cs="Arial"/>
          <w:szCs w:val="22"/>
        </w:rPr>
        <w:t>Introduction</w:t>
      </w:r>
    </w:p>
    <w:p w14:paraId="7B980F1E" w14:textId="77777777" w:rsidR="007D7BBC" w:rsidRDefault="00092764" w:rsidP="007D7BBC">
      <w:pPr>
        <w:pStyle w:val="Heading2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>Nephrotic syndrome</w:t>
      </w:r>
      <w:r w:rsidR="00A725A2">
        <w:rPr>
          <w:rFonts w:cs="Arial"/>
          <w:b w:val="0"/>
          <w:sz w:val="22"/>
          <w:szCs w:val="22"/>
        </w:rPr>
        <w:t xml:space="preserve"> </w:t>
      </w:r>
      <w:r>
        <w:rPr>
          <w:rFonts w:cs="Arial"/>
          <w:b w:val="0"/>
          <w:sz w:val="22"/>
          <w:szCs w:val="22"/>
        </w:rPr>
        <w:t xml:space="preserve">(NS) is a clinical disorder characterized by the presence of massive proteinuria, </w:t>
      </w:r>
      <w:proofErr w:type="spellStart"/>
      <w:r>
        <w:rPr>
          <w:rFonts w:cs="Arial"/>
          <w:b w:val="0"/>
          <w:sz w:val="22"/>
          <w:szCs w:val="22"/>
        </w:rPr>
        <w:t>hypoalbuminaemia</w:t>
      </w:r>
      <w:proofErr w:type="spellEnd"/>
      <w:r>
        <w:rPr>
          <w:rFonts w:cs="Arial"/>
          <w:b w:val="0"/>
          <w:sz w:val="22"/>
          <w:szCs w:val="22"/>
        </w:rPr>
        <w:t xml:space="preserve"> and </w:t>
      </w:r>
      <w:proofErr w:type="spellStart"/>
      <w:r>
        <w:rPr>
          <w:rFonts w:cs="Arial"/>
          <w:b w:val="0"/>
          <w:sz w:val="22"/>
          <w:szCs w:val="22"/>
        </w:rPr>
        <w:t>oedema</w:t>
      </w:r>
      <w:proofErr w:type="spellEnd"/>
      <w:r>
        <w:rPr>
          <w:rFonts w:cs="Arial"/>
          <w:b w:val="0"/>
          <w:sz w:val="22"/>
          <w:szCs w:val="22"/>
        </w:rPr>
        <w:t>. It may be idiopathic or secondary</w:t>
      </w:r>
      <w:r w:rsidR="00E518C0">
        <w:rPr>
          <w:rFonts w:cs="Arial"/>
          <w:b w:val="0"/>
          <w:sz w:val="22"/>
          <w:szCs w:val="22"/>
        </w:rPr>
        <w:t>.</w:t>
      </w:r>
      <w:r w:rsidR="007D7BBC">
        <w:rPr>
          <w:rFonts w:cs="Arial"/>
          <w:b w:val="0"/>
          <w:sz w:val="22"/>
          <w:szCs w:val="22"/>
        </w:rPr>
        <w:t xml:space="preserve"> A secondary cause must be sought for before commencement </w:t>
      </w:r>
      <w:proofErr w:type="gramStart"/>
      <w:r w:rsidR="007D7BBC">
        <w:rPr>
          <w:rFonts w:cs="Arial"/>
          <w:b w:val="0"/>
          <w:sz w:val="22"/>
          <w:szCs w:val="22"/>
        </w:rPr>
        <w:t>of  treatment</w:t>
      </w:r>
      <w:proofErr w:type="gramEnd"/>
      <w:r w:rsidR="007D7BBC">
        <w:rPr>
          <w:rFonts w:cs="Arial"/>
          <w:b w:val="0"/>
          <w:sz w:val="22"/>
          <w:szCs w:val="22"/>
        </w:rPr>
        <w:t xml:space="preserve"> .</w:t>
      </w:r>
    </w:p>
    <w:p w14:paraId="5FDC5448" w14:textId="34DE586D" w:rsidR="00A725A2" w:rsidRDefault="00E518C0" w:rsidP="001203AE">
      <w:pPr>
        <w:pStyle w:val="Heading2"/>
        <w:rPr>
          <w:rFonts w:cs="Arial"/>
          <w:b w:val="0"/>
          <w:sz w:val="22"/>
          <w:szCs w:val="22"/>
        </w:rPr>
      </w:pPr>
      <w:r w:rsidRPr="00A725A2">
        <w:rPr>
          <w:rFonts w:cs="Arial"/>
          <w:sz w:val="22"/>
          <w:szCs w:val="22"/>
        </w:rPr>
        <w:t>Idiopathic</w:t>
      </w:r>
      <w:r w:rsidR="00A725A2" w:rsidRPr="00A725A2">
        <w:rPr>
          <w:rFonts w:cs="Arial"/>
          <w:sz w:val="22"/>
          <w:szCs w:val="22"/>
        </w:rPr>
        <w:t xml:space="preserve"> NS</w:t>
      </w:r>
      <w:r>
        <w:rPr>
          <w:rFonts w:cs="Arial"/>
          <w:b w:val="0"/>
          <w:sz w:val="22"/>
          <w:szCs w:val="22"/>
        </w:rPr>
        <w:t xml:space="preserve">: </w:t>
      </w:r>
      <w:r w:rsidR="00A725A2">
        <w:rPr>
          <w:rFonts w:cs="Arial"/>
          <w:b w:val="0"/>
          <w:sz w:val="22"/>
          <w:szCs w:val="22"/>
        </w:rPr>
        <w:t xml:space="preserve">The cause is usually unknown but histologic findings include </w:t>
      </w:r>
      <w:r>
        <w:rPr>
          <w:rFonts w:cs="Arial"/>
          <w:b w:val="0"/>
          <w:sz w:val="22"/>
          <w:szCs w:val="22"/>
        </w:rPr>
        <w:t>minimal change disease</w:t>
      </w:r>
      <w:r w:rsidR="000D0FD3">
        <w:rPr>
          <w:rFonts w:cs="Arial"/>
          <w:b w:val="0"/>
          <w:sz w:val="22"/>
          <w:szCs w:val="22"/>
        </w:rPr>
        <w:t xml:space="preserve"> </w:t>
      </w:r>
      <w:r w:rsidR="00A725A2">
        <w:rPr>
          <w:rFonts w:cs="Arial"/>
          <w:b w:val="0"/>
          <w:sz w:val="22"/>
          <w:szCs w:val="22"/>
        </w:rPr>
        <w:t>(MCD)</w:t>
      </w:r>
      <w:r>
        <w:rPr>
          <w:rFonts w:cs="Arial"/>
          <w:b w:val="0"/>
          <w:sz w:val="22"/>
          <w:szCs w:val="22"/>
        </w:rPr>
        <w:t xml:space="preserve">, membranous </w:t>
      </w:r>
      <w:r w:rsidR="00A725A2">
        <w:rPr>
          <w:rFonts w:cs="Arial"/>
          <w:b w:val="0"/>
          <w:sz w:val="22"/>
          <w:szCs w:val="22"/>
        </w:rPr>
        <w:t>nephropathy (MN) and focal segmental glomerulosclerosis</w:t>
      </w:r>
      <w:r w:rsidR="000D0FD3">
        <w:rPr>
          <w:rFonts w:cs="Arial"/>
          <w:b w:val="0"/>
          <w:sz w:val="22"/>
          <w:szCs w:val="22"/>
        </w:rPr>
        <w:t xml:space="preserve"> </w:t>
      </w:r>
      <w:r w:rsidR="00A725A2">
        <w:rPr>
          <w:rFonts w:cs="Arial"/>
          <w:b w:val="0"/>
          <w:sz w:val="22"/>
          <w:szCs w:val="22"/>
        </w:rPr>
        <w:t xml:space="preserve">(FSGS). These are very common in children and responsive to steroid </w:t>
      </w:r>
      <w:proofErr w:type="gramStart"/>
      <w:r w:rsidR="00A725A2">
        <w:rPr>
          <w:rFonts w:cs="Arial"/>
          <w:b w:val="0"/>
          <w:sz w:val="22"/>
          <w:szCs w:val="22"/>
        </w:rPr>
        <w:t>therapy .</w:t>
      </w:r>
      <w:proofErr w:type="gramEnd"/>
      <w:r w:rsidR="00A725A2">
        <w:rPr>
          <w:rFonts w:cs="Arial"/>
          <w:b w:val="0"/>
          <w:sz w:val="22"/>
          <w:szCs w:val="22"/>
        </w:rPr>
        <w:t xml:space="preserve"> </w:t>
      </w:r>
      <w:r w:rsidR="00567DCC">
        <w:rPr>
          <w:rFonts w:cs="Arial"/>
          <w:b w:val="0"/>
          <w:sz w:val="22"/>
          <w:szCs w:val="22"/>
        </w:rPr>
        <w:t>T</w:t>
      </w:r>
      <w:r w:rsidR="00A725A2">
        <w:rPr>
          <w:rFonts w:cs="Arial"/>
          <w:b w:val="0"/>
          <w:sz w:val="22"/>
          <w:szCs w:val="22"/>
        </w:rPr>
        <w:t>hey may also be seen in adults</w:t>
      </w:r>
      <w:r w:rsidR="00567DCC">
        <w:rPr>
          <w:rFonts w:cs="Arial"/>
          <w:b w:val="0"/>
          <w:sz w:val="22"/>
          <w:szCs w:val="22"/>
        </w:rPr>
        <w:t>.</w:t>
      </w:r>
    </w:p>
    <w:p w14:paraId="18252D0E" w14:textId="55FCB54F" w:rsidR="001203AE" w:rsidRDefault="00A725A2" w:rsidP="001203AE">
      <w:pPr>
        <w:pStyle w:val="Heading2"/>
        <w:rPr>
          <w:rFonts w:cs="Arial"/>
          <w:b w:val="0"/>
          <w:sz w:val="22"/>
          <w:szCs w:val="22"/>
        </w:rPr>
      </w:pPr>
      <w:r w:rsidRPr="00A725A2">
        <w:rPr>
          <w:rFonts w:cs="Arial"/>
          <w:sz w:val="22"/>
          <w:szCs w:val="22"/>
        </w:rPr>
        <w:t>Secondary NS</w:t>
      </w:r>
      <w:r>
        <w:rPr>
          <w:rFonts w:cs="Arial"/>
          <w:b w:val="0"/>
          <w:sz w:val="22"/>
          <w:szCs w:val="22"/>
        </w:rPr>
        <w:t xml:space="preserve">: These may have similar histologic features as idiopathic NS but are due to known causes such </w:t>
      </w:r>
      <w:proofErr w:type="gramStart"/>
      <w:r>
        <w:rPr>
          <w:rFonts w:cs="Arial"/>
          <w:b w:val="0"/>
          <w:sz w:val="22"/>
          <w:szCs w:val="22"/>
        </w:rPr>
        <w:t xml:space="preserve">as </w:t>
      </w:r>
      <w:r w:rsidR="00092764">
        <w:rPr>
          <w:rFonts w:cs="Arial"/>
          <w:b w:val="0"/>
          <w:sz w:val="22"/>
          <w:szCs w:val="22"/>
        </w:rPr>
        <w:t xml:space="preserve"> viral</w:t>
      </w:r>
      <w:proofErr w:type="gramEnd"/>
      <w:r w:rsidR="00092764">
        <w:rPr>
          <w:rFonts w:cs="Arial"/>
          <w:b w:val="0"/>
          <w:sz w:val="22"/>
          <w:szCs w:val="22"/>
        </w:rPr>
        <w:t xml:space="preserve"> infections</w:t>
      </w:r>
      <w:r>
        <w:rPr>
          <w:rFonts w:cs="Arial"/>
          <w:b w:val="0"/>
          <w:sz w:val="22"/>
          <w:szCs w:val="22"/>
        </w:rPr>
        <w:t xml:space="preserve"> </w:t>
      </w:r>
      <w:r w:rsidR="00F44860">
        <w:rPr>
          <w:rFonts w:cs="Arial"/>
          <w:b w:val="0"/>
          <w:sz w:val="22"/>
          <w:szCs w:val="22"/>
        </w:rPr>
        <w:t>e.g.</w:t>
      </w:r>
      <w:r>
        <w:rPr>
          <w:rFonts w:cs="Arial"/>
          <w:b w:val="0"/>
          <w:sz w:val="22"/>
          <w:szCs w:val="22"/>
        </w:rPr>
        <w:t xml:space="preserve"> </w:t>
      </w:r>
      <w:r w:rsidR="00092764">
        <w:rPr>
          <w:rFonts w:cs="Arial"/>
          <w:b w:val="0"/>
          <w:sz w:val="22"/>
          <w:szCs w:val="22"/>
        </w:rPr>
        <w:t xml:space="preserve">HIV, HBV </w:t>
      </w:r>
      <w:r w:rsidR="00587E8D">
        <w:rPr>
          <w:rFonts w:cs="Arial"/>
          <w:b w:val="0"/>
          <w:sz w:val="22"/>
          <w:szCs w:val="22"/>
        </w:rPr>
        <w:t>and</w:t>
      </w:r>
      <w:r w:rsidR="00092764">
        <w:rPr>
          <w:rFonts w:cs="Arial"/>
          <w:b w:val="0"/>
          <w:sz w:val="22"/>
          <w:szCs w:val="22"/>
        </w:rPr>
        <w:t xml:space="preserve"> HCV </w:t>
      </w:r>
      <w:r>
        <w:rPr>
          <w:rFonts w:cs="Arial"/>
          <w:b w:val="0"/>
          <w:sz w:val="22"/>
          <w:szCs w:val="22"/>
        </w:rPr>
        <w:t xml:space="preserve">, </w:t>
      </w:r>
      <w:r w:rsidR="00092764">
        <w:rPr>
          <w:rFonts w:cs="Arial"/>
          <w:b w:val="0"/>
          <w:sz w:val="22"/>
          <w:szCs w:val="22"/>
        </w:rPr>
        <w:t>non-communicable diseases such as diabetes mellitus</w:t>
      </w:r>
      <w:r>
        <w:rPr>
          <w:rFonts w:cs="Arial"/>
          <w:b w:val="0"/>
          <w:sz w:val="22"/>
          <w:szCs w:val="22"/>
        </w:rPr>
        <w:t>, multiple myeloma and</w:t>
      </w:r>
      <w:r w:rsidR="00D97F13">
        <w:rPr>
          <w:rFonts w:cs="Arial"/>
          <w:b w:val="0"/>
          <w:sz w:val="22"/>
          <w:szCs w:val="22"/>
        </w:rPr>
        <w:t xml:space="preserve"> </w:t>
      </w:r>
      <w:r w:rsidR="00092764">
        <w:rPr>
          <w:rFonts w:cs="Arial"/>
          <w:b w:val="0"/>
          <w:sz w:val="22"/>
          <w:szCs w:val="22"/>
        </w:rPr>
        <w:t>amyloidosis</w:t>
      </w:r>
      <w:r>
        <w:rPr>
          <w:rFonts w:cs="Arial"/>
          <w:b w:val="0"/>
          <w:sz w:val="22"/>
          <w:szCs w:val="22"/>
        </w:rPr>
        <w:t>;</w:t>
      </w:r>
      <w:r w:rsidR="003E22B7">
        <w:rPr>
          <w:rFonts w:cs="Arial"/>
          <w:b w:val="0"/>
          <w:sz w:val="22"/>
          <w:szCs w:val="22"/>
        </w:rPr>
        <w:t xml:space="preserve"> and</w:t>
      </w:r>
      <w:r>
        <w:rPr>
          <w:rFonts w:cs="Arial"/>
          <w:b w:val="0"/>
          <w:sz w:val="22"/>
          <w:szCs w:val="22"/>
        </w:rPr>
        <w:t xml:space="preserve"> auto-immune disorders such as</w:t>
      </w:r>
      <w:r w:rsidR="003E22B7">
        <w:rPr>
          <w:rFonts w:cs="Arial"/>
          <w:b w:val="0"/>
          <w:sz w:val="22"/>
          <w:szCs w:val="22"/>
        </w:rPr>
        <w:t xml:space="preserve"> systemic lupus </w:t>
      </w:r>
      <w:r w:rsidR="00F44860">
        <w:rPr>
          <w:rFonts w:cs="Arial"/>
          <w:b w:val="0"/>
          <w:sz w:val="22"/>
          <w:szCs w:val="22"/>
        </w:rPr>
        <w:t>erythematosus. Secondary</w:t>
      </w:r>
      <w:r w:rsidR="00092764">
        <w:rPr>
          <w:rFonts w:cs="Arial"/>
          <w:b w:val="0"/>
          <w:sz w:val="22"/>
          <w:szCs w:val="22"/>
        </w:rPr>
        <w:t xml:space="preserve"> NS </w:t>
      </w:r>
      <w:r w:rsidR="003E22B7">
        <w:rPr>
          <w:rFonts w:cs="Arial"/>
          <w:b w:val="0"/>
          <w:sz w:val="22"/>
          <w:szCs w:val="22"/>
        </w:rPr>
        <w:t xml:space="preserve">makes up a small fraction of NS </w:t>
      </w:r>
      <w:r>
        <w:rPr>
          <w:rFonts w:cs="Arial"/>
          <w:b w:val="0"/>
          <w:sz w:val="22"/>
          <w:szCs w:val="22"/>
        </w:rPr>
        <w:t xml:space="preserve">and </w:t>
      </w:r>
      <w:r w:rsidR="00092764">
        <w:rPr>
          <w:rFonts w:cs="Arial"/>
          <w:b w:val="0"/>
          <w:sz w:val="22"/>
          <w:szCs w:val="22"/>
        </w:rPr>
        <w:t>requires treatment of the underlying cause.</w:t>
      </w:r>
    </w:p>
    <w:p w14:paraId="4C70B1C8" w14:textId="28E4D540" w:rsidR="00980E06" w:rsidRDefault="00980E06" w:rsidP="00980E06">
      <w:pPr>
        <w:pStyle w:val="Heading3"/>
        <w:rPr>
          <w:rFonts w:eastAsia="MS Mincho" w:cs="Arial"/>
          <w:bCs w:val="0"/>
          <w:sz w:val="24"/>
          <w:szCs w:val="22"/>
          <w:u w:val="none"/>
        </w:rPr>
      </w:pPr>
      <w:r w:rsidRPr="00612AEE">
        <w:rPr>
          <w:rFonts w:eastAsia="MS Mincho" w:cs="Arial"/>
          <w:bCs w:val="0"/>
          <w:sz w:val="24"/>
          <w:szCs w:val="22"/>
          <w:u w:val="none"/>
        </w:rPr>
        <w:t xml:space="preserve">Target </w:t>
      </w:r>
      <w:r>
        <w:rPr>
          <w:rFonts w:eastAsia="MS Mincho" w:cs="Arial"/>
          <w:bCs w:val="0"/>
          <w:sz w:val="24"/>
          <w:szCs w:val="22"/>
          <w:u w:val="none"/>
        </w:rPr>
        <w:t>u</w:t>
      </w:r>
      <w:r w:rsidRPr="00612AEE">
        <w:rPr>
          <w:rFonts w:eastAsia="MS Mincho" w:cs="Arial"/>
          <w:bCs w:val="0"/>
          <w:sz w:val="24"/>
          <w:szCs w:val="22"/>
          <w:u w:val="none"/>
        </w:rPr>
        <w:t>ser</w:t>
      </w:r>
      <w:r>
        <w:rPr>
          <w:rFonts w:eastAsia="MS Mincho" w:cs="Arial"/>
          <w:bCs w:val="0"/>
          <w:sz w:val="24"/>
          <w:szCs w:val="22"/>
          <w:u w:val="none"/>
        </w:rPr>
        <w:t>s</w:t>
      </w:r>
    </w:p>
    <w:p w14:paraId="1A612275" w14:textId="77777777" w:rsidR="00980E06" w:rsidRPr="00612AEE" w:rsidRDefault="00980E06" w:rsidP="00980E06">
      <w:pPr>
        <w:pStyle w:val="ListParagraph"/>
        <w:numPr>
          <w:ilvl w:val="0"/>
          <w:numId w:val="38"/>
        </w:numPr>
      </w:pPr>
      <w:r>
        <w:t xml:space="preserve">Doctors </w:t>
      </w:r>
    </w:p>
    <w:p w14:paraId="1B73A7BD" w14:textId="77777777" w:rsidR="00980E06" w:rsidRDefault="00980E06" w:rsidP="00980E06">
      <w:pPr>
        <w:pStyle w:val="Heading3"/>
        <w:rPr>
          <w:rFonts w:eastAsia="MS Mincho" w:cs="Arial"/>
          <w:bCs w:val="0"/>
          <w:sz w:val="24"/>
          <w:szCs w:val="22"/>
          <w:u w:val="none"/>
        </w:rPr>
      </w:pPr>
      <w:r w:rsidRPr="00612AEE">
        <w:rPr>
          <w:rFonts w:eastAsia="MS Mincho" w:cs="Arial"/>
          <w:bCs w:val="0"/>
          <w:sz w:val="24"/>
          <w:szCs w:val="22"/>
          <w:u w:val="none"/>
        </w:rPr>
        <w:t xml:space="preserve">Target area of use </w:t>
      </w:r>
    </w:p>
    <w:p w14:paraId="3EF6D135" w14:textId="28930E04" w:rsidR="00980E06" w:rsidRDefault="00980E06" w:rsidP="00980E06">
      <w:pPr>
        <w:pStyle w:val="ListParagraph"/>
        <w:numPr>
          <w:ilvl w:val="0"/>
          <w:numId w:val="37"/>
        </w:numPr>
      </w:pPr>
      <w:r>
        <w:t>Ward</w:t>
      </w:r>
    </w:p>
    <w:p w14:paraId="1DC4A60A" w14:textId="0B53CAAD" w:rsidR="00980E06" w:rsidRPr="00612AEE" w:rsidRDefault="00980E06" w:rsidP="00980E06">
      <w:pPr>
        <w:pStyle w:val="ListParagraph"/>
        <w:numPr>
          <w:ilvl w:val="0"/>
          <w:numId w:val="36"/>
        </w:numPr>
      </w:pPr>
      <w:r>
        <w:t xml:space="preserve">Outpatient department </w:t>
      </w:r>
    </w:p>
    <w:p w14:paraId="5FF4F004" w14:textId="77777777" w:rsidR="00587E8D" w:rsidRDefault="00587E8D" w:rsidP="00587E8D">
      <w:pPr>
        <w:pStyle w:val="Heading3"/>
        <w:rPr>
          <w:rFonts w:eastAsia="MS Mincho" w:cs="Arial"/>
          <w:bCs w:val="0"/>
          <w:sz w:val="24"/>
          <w:szCs w:val="22"/>
          <w:u w:val="none"/>
        </w:rPr>
      </w:pPr>
      <w:r>
        <w:rPr>
          <w:rFonts w:eastAsia="MS Mincho" w:cs="Arial"/>
          <w:bCs w:val="0"/>
          <w:sz w:val="24"/>
          <w:szCs w:val="22"/>
          <w:u w:val="none"/>
        </w:rPr>
        <w:t xml:space="preserve">Key areas of focus / </w:t>
      </w:r>
      <w:r w:rsidRPr="00612AEE">
        <w:rPr>
          <w:rFonts w:eastAsia="MS Mincho" w:cs="Arial"/>
          <w:bCs w:val="0"/>
          <w:sz w:val="24"/>
          <w:szCs w:val="22"/>
          <w:u w:val="none"/>
        </w:rPr>
        <w:t xml:space="preserve">New additions / </w:t>
      </w:r>
      <w:r>
        <w:rPr>
          <w:rFonts w:eastAsia="MS Mincho" w:cs="Arial"/>
          <w:bCs w:val="0"/>
          <w:sz w:val="24"/>
          <w:szCs w:val="22"/>
          <w:u w:val="none"/>
        </w:rPr>
        <w:t>C</w:t>
      </w:r>
      <w:r w:rsidRPr="00612AEE">
        <w:rPr>
          <w:rFonts w:eastAsia="MS Mincho" w:cs="Arial"/>
          <w:bCs w:val="0"/>
          <w:sz w:val="24"/>
          <w:szCs w:val="22"/>
          <w:u w:val="none"/>
        </w:rPr>
        <w:t xml:space="preserve">hanges </w:t>
      </w:r>
    </w:p>
    <w:p w14:paraId="72D12011" w14:textId="07CD406F" w:rsidR="00980E06" w:rsidRDefault="00980E06" w:rsidP="00980E06">
      <w:r>
        <w:t>This guideline focuses on the diagnosis and treatment of idiopathic nephrotic syndrome in adults and children. Treatment of secondary nephrotic syndrome requires treatment of the underlying cause.</w:t>
      </w:r>
      <w:r w:rsidR="00223177">
        <w:t xml:space="preserve"> </w:t>
      </w:r>
      <w:proofErr w:type="gramStart"/>
      <w:r>
        <w:t>These</w:t>
      </w:r>
      <w:proofErr w:type="gramEnd"/>
      <w:r>
        <w:t xml:space="preserve"> can be found in the related specific guideline . </w:t>
      </w:r>
    </w:p>
    <w:p w14:paraId="25958271" w14:textId="6C63031E" w:rsidR="00980E06" w:rsidRPr="00FE5271" w:rsidRDefault="00980E06" w:rsidP="00980E06">
      <w:r>
        <w:t>Treatment of nephrotic syndrome may take up to 3 months in children and 7 months in adults.</w:t>
      </w:r>
    </w:p>
    <w:p w14:paraId="73B9E6A4" w14:textId="77777777" w:rsidR="00980E06" w:rsidRDefault="00980E06" w:rsidP="00980E06">
      <w:pPr>
        <w:pStyle w:val="Heading3"/>
        <w:rPr>
          <w:rFonts w:eastAsia="MS Mincho" w:cs="Arial"/>
          <w:bCs w:val="0"/>
          <w:sz w:val="24"/>
          <w:szCs w:val="22"/>
          <w:u w:val="none"/>
        </w:rPr>
      </w:pPr>
      <w:r w:rsidRPr="00612AEE">
        <w:rPr>
          <w:rFonts w:eastAsia="MS Mincho" w:cs="Arial"/>
          <w:bCs w:val="0"/>
          <w:sz w:val="24"/>
          <w:szCs w:val="22"/>
          <w:u w:val="none"/>
        </w:rPr>
        <w:t xml:space="preserve">Limitations </w:t>
      </w:r>
    </w:p>
    <w:p w14:paraId="3DD20742" w14:textId="77777777" w:rsidR="00980E06" w:rsidRPr="00FE5271" w:rsidRDefault="00980E06" w:rsidP="00980E06">
      <w:r>
        <w:t xml:space="preserve">Cases of relapse and steroid resistance require referral to nephrologist </w:t>
      </w:r>
    </w:p>
    <w:p w14:paraId="33F801FA" w14:textId="77777777" w:rsidR="00980E06" w:rsidRPr="00980E06" w:rsidRDefault="00980E06" w:rsidP="00980E06"/>
    <w:p w14:paraId="06EE7370" w14:textId="77777777" w:rsidR="00984816" w:rsidRDefault="00984816">
      <w:pPr>
        <w:spacing w:after="0"/>
        <w:outlineLvl w:val="9"/>
        <w:rPr>
          <w:b/>
          <w:sz w:val="24"/>
          <w:szCs w:val="22"/>
        </w:rPr>
      </w:pPr>
      <w:r>
        <w:rPr>
          <w:szCs w:val="22"/>
        </w:rPr>
        <w:br w:type="page"/>
      </w:r>
    </w:p>
    <w:p w14:paraId="653E2EB3" w14:textId="2DC8AF01" w:rsidR="00975A60" w:rsidRDefault="00975A60" w:rsidP="00975A60">
      <w:pPr>
        <w:pStyle w:val="Heading2"/>
        <w:rPr>
          <w:rFonts w:cs="Arial"/>
          <w:szCs w:val="22"/>
        </w:rPr>
      </w:pPr>
      <w:r w:rsidRPr="00DC590C">
        <w:rPr>
          <w:rFonts w:cs="Arial"/>
          <w:szCs w:val="22"/>
        </w:rPr>
        <w:lastRenderedPageBreak/>
        <w:t>Presenting symptoms and signs</w:t>
      </w:r>
    </w:p>
    <w:p w14:paraId="75DBC473" w14:textId="302C7702" w:rsidR="00092764" w:rsidRDefault="00092764" w:rsidP="00092764">
      <w:r>
        <w:t xml:space="preserve">These include: </w:t>
      </w:r>
    </w:p>
    <w:p w14:paraId="22977DBD" w14:textId="312D9FCA" w:rsidR="00092764" w:rsidRDefault="00092764" w:rsidP="00DC128C">
      <w:pPr>
        <w:pStyle w:val="ListParagraph"/>
        <w:numPr>
          <w:ilvl w:val="0"/>
          <w:numId w:val="28"/>
        </w:numPr>
      </w:pPr>
      <w:r>
        <w:t xml:space="preserve">Passage of frothy urine </w:t>
      </w:r>
    </w:p>
    <w:p w14:paraId="3E57CD78" w14:textId="798A0B43" w:rsidR="00092764" w:rsidRDefault="00092764" w:rsidP="00DC128C">
      <w:pPr>
        <w:pStyle w:val="ListParagraph"/>
        <w:numPr>
          <w:ilvl w:val="0"/>
          <w:numId w:val="28"/>
        </w:numPr>
      </w:pPr>
      <w:r>
        <w:t xml:space="preserve">Leg swelling </w:t>
      </w:r>
    </w:p>
    <w:p w14:paraId="3FDEF65C" w14:textId="71EC521D" w:rsidR="00092764" w:rsidRDefault="00092764" w:rsidP="00DC128C">
      <w:pPr>
        <w:pStyle w:val="ListParagraph"/>
        <w:numPr>
          <w:ilvl w:val="0"/>
          <w:numId w:val="28"/>
        </w:numPr>
      </w:pPr>
      <w:r>
        <w:t xml:space="preserve">Facial swelling </w:t>
      </w:r>
    </w:p>
    <w:p w14:paraId="121715DA" w14:textId="06711776" w:rsidR="003E22B7" w:rsidRDefault="003E22B7" w:rsidP="00DC128C">
      <w:pPr>
        <w:pStyle w:val="ListParagraph"/>
        <w:numPr>
          <w:ilvl w:val="0"/>
          <w:numId w:val="28"/>
        </w:numPr>
      </w:pPr>
      <w:r>
        <w:t xml:space="preserve">Abdominal swelling </w:t>
      </w:r>
    </w:p>
    <w:p w14:paraId="3B9DCD27" w14:textId="3638FD68" w:rsidR="00584549" w:rsidRDefault="00584549" w:rsidP="00DC128C">
      <w:pPr>
        <w:pStyle w:val="ListParagraph"/>
        <w:numPr>
          <w:ilvl w:val="0"/>
          <w:numId w:val="28"/>
        </w:numPr>
      </w:pPr>
      <w:r>
        <w:t xml:space="preserve">Breathlessness </w:t>
      </w:r>
    </w:p>
    <w:p w14:paraId="0B3E959A" w14:textId="4B336C6D" w:rsidR="003E22B7" w:rsidRDefault="003E22B7" w:rsidP="00DC128C">
      <w:pPr>
        <w:pStyle w:val="ListParagraph"/>
        <w:numPr>
          <w:ilvl w:val="0"/>
          <w:numId w:val="28"/>
        </w:numPr>
      </w:pPr>
      <w:r>
        <w:t xml:space="preserve">Dizziness </w:t>
      </w:r>
    </w:p>
    <w:p w14:paraId="0ED3654C" w14:textId="1A486FE2" w:rsidR="003E22B7" w:rsidRPr="00092764" w:rsidRDefault="003E22B7" w:rsidP="00DC128C">
      <w:pPr>
        <w:pStyle w:val="ListParagraph"/>
        <w:numPr>
          <w:ilvl w:val="0"/>
          <w:numId w:val="28"/>
        </w:numPr>
      </w:pPr>
      <w:r>
        <w:t xml:space="preserve">Reduction in urine output </w:t>
      </w:r>
    </w:p>
    <w:p w14:paraId="1D928736" w14:textId="1EFEC9AE" w:rsidR="001203AE" w:rsidRDefault="003E22B7" w:rsidP="001203AE">
      <w:pPr>
        <w:pStyle w:val="Heading3"/>
      </w:pPr>
      <w:r>
        <w:t xml:space="preserve">Important warning </w:t>
      </w:r>
      <w:proofErr w:type="gramStart"/>
      <w:r w:rsidR="00430A24">
        <w:t>features</w:t>
      </w:r>
      <w:r>
        <w:t xml:space="preserve"> </w:t>
      </w:r>
      <w:r w:rsidR="001203AE" w:rsidRPr="00445CFE">
        <w:t>:</w:t>
      </w:r>
      <w:proofErr w:type="gramEnd"/>
    </w:p>
    <w:p w14:paraId="51410CE8" w14:textId="081F7013" w:rsidR="003E22B7" w:rsidRPr="003E22B7" w:rsidRDefault="003E22B7" w:rsidP="003E22B7">
      <w:r>
        <w:t xml:space="preserve">These </w:t>
      </w:r>
      <w:r w:rsidR="00F44860">
        <w:t>findings</w:t>
      </w:r>
      <w:r>
        <w:t xml:space="preserve"> may indicate a diagnosis other than </w:t>
      </w:r>
      <w:proofErr w:type="gramStart"/>
      <w:r>
        <w:t>NS :</w:t>
      </w:r>
      <w:proofErr w:type="gramEnd"/>
    </w:p>
    <w:p w14:paraId="1959D19A" w14:textId="38C0D8C0" w:rsidR="001203AE" w:rsidRPr="00DC128C" w:rsidRDefault="00F44860" w:rsidP="00DC128C">
      <w:pPr>
        <w:pStyle w:val="ListParagraph"/>
        <w:numPr>
          <w:ilvl w:val="0"/>
          <w:numId w:val="27"/>
        </w:numPr>
        <w:rPr>
          <w:szCs w:val="22"/>
        </w:rPr>
      </w:pPr>
      <w:r>
        <w:rPr>
          <w:szCs w:val="22"/>
        </w:rPr>
        <w:t xml:space="preserve">Macroscopic </w:t>
      </w:r>
      <w:proofErr w:type="spellStart"/>
      <w:r>
        <w:rPr>
          <w:szCs w:val="22"/>
        </w:rPr>
        <w:t>ha</w:t>
      </w:r>
      <w:r w:rsidR="003E22B7" w:rsidRPr="00DC128C">
        <w:rPr>
          <w:szCs w:val="22"/>
        </w:rPr>
        <w:t>ematuria</w:t>
      </w:r>
      <w:proofErr w:type="spellEnd"/>
      <w:r w:rsidR="003E22B7" w:rsidRPr="00DC128C">
        <w:rPr>
          <w:szCs w:val="22"/>
        </w:rPr>
        <w:t xml:space="preserve"> </w:t>
      </w:r>
      <w:r w:rsidR="00CC06F0">
        <w:rPr>
          <w:szCs w:val="22"/>
        </w:rPr>
        <w:t>– coke-colored</w:t>
      </w:r>
      <w:r w:rsidR="00184493">
        <w:rPr>
          <w:szCs w:val="22"/>
        </w:rPr>
        <w:t xml:space="preserve"> urine</w:t>
      </w:r>
      <w:r w:rsidR="00CC06F0">
        <w:rPr>
          <w:szCs w:val="22"/>
        </w:rPr>
        <w:t xml:space="preserve"> or </w:t>
      </w:r>
      <w:r w:rsidR="00184493">
        <w:rPr>
          <w:szCs w:val="22"/>
        </w:rPr>
        <w:t xml:space="preserve">blood in </w:t>
      </w:r>
      <w:r w:rsidR="00CC06F0">
        <w:rPr>
          <w:szCs w:val="22"/>
        </w:rPr>
        <w:t xml:space="preserve">urine </w:t>
      </w:r>
    </w:p>
    <w:p w14:paraId="143F047F" w14:textId="7AA09438" w:rsidR="003E22B7" w:rsidRPr="00DC128C" w:rsidRDefault="003E22B7" w:rsidP="00DC128C">
      <w:pPr>
        <w:pStyle w:val="ListParagraph"/>
        <w:numPr>
          <w:ilvl w:val="0"/>
          <w:numId w:val="27"/>
        </w:numPr>
        <w:rPr>
          <w:szCs w:val="22"/>
        </w:rPr>
      </w:pPr>
      <w:r w:rsidRPr="00DC128C">
        <w:rPr>
          <w:szCs w:val="22"/>
        </w:rPr>
        <w:t xml:space="preserve">Elevated blood pressure </w:t>
      </w:r>
    </w:p>
    <w:p w14:paraId="7D6330B6" w14:textId="63BCF08B" w:rsidR="003E22B7" w:rsidRPr="00DC128C" w:rsidRDefault="003E22B7" w:rsidP="00DC128C">
      <w:pPr>
        <w:pStyle w:val="ListParagraph"/>
        <w:numPr>
          <w:ilvl w:val="0"/>
          <w:numId w:val="27"/>
        </w:numPr>
        <w:rPr>
          <w:szCs w:val="22"/>
        </w:rPr>
      </w:pPr>
      <w:r w:rsidRPr="00DC128C">
        <w:rPr>
          <w:szCs w:val="22"/>
        </w:rPr>
        <w:t xml:space="preserve">Jaundice </w:t>
      </w:r>
    </w:p>
    <w:p w14:paraId="24594AD9" w14:textId="6025313E" w:rsidR="00430A24" w:rsidRDefault="003E22B7" w:rsidP="00DC128C">
      <w:pPr>
        <w:pStyle w:val="ListParagraph"/>
        <w:numPr>
          <w:ilvl w:val="0"/>
          <w:numId w:val="27"/>
        </w:numPr>
        <w:rPr>
          <w:szCs w:val="22"/>
        </w:rPr>
      </w:pPr>
      <w:r w:rsidRPr="00DC128C">
        <w:rPr>
          <w:szCs w:val="22"/>
        </w:rPr>
        <w:t xml:space="preserve">Paroxysmal nocturnal </w:t>
      </w:r>
      <w:r w:rsidR="00430A24">
        <w:rPr>
          <w:szCs w:val="22"/>
        </w:rPr>
        <w:t>dyspnea</w:t>
      </w:r>
    </w:p>
    <w:p w14:paraId="6264E00F" w14:textId="574BE4D6" w:rsidR="003E22B7" w:rsidRDefault="00430A24" w:rsidP="00DC128C">
      <w:pPr>
        <w:pStyle w:val="ListParagraph"/>
        <w:numPr>
          <w:ilvl w:val="0"/>
          <w:numId w:val="27"/>
        </w:numPr>
        <w:rPr>
          <w:szCs w:val="22"/>
        </w:rPr>
      </w:pPr>
      <w:r>
        <w:rPr>
          <w:szCs w:val="22"/>
        </w:rPr>
        <w:t>Raised jugular venous pressure</w:t>
      </w:r>
      <w:r w:rsidR="003E22B7" w:rsidRPr="00DC128C">
        <w:rPr>
          <w:szCs w:val="22"/>
        </w:rPr>
        <w:t xml:space="preserve"> </w:t>
      </w:r>
    </w:p>
    <w:p w14:paraId="71FE3B4A" w14:textId="77777777" w:rsidR="00AF36BD" w:rsidRPr="00AF36BD" w:rsidRDefault="00AF36BD" w:rsidP="00AF36BD">
      <w:pPr>
        <w:rPr>
          <w:b/>
        </w:rPr>
      </w:pPr>
      <w:r w:rsidRPr="00AF36BD">
        <w:rPr>
          <w:b/>
        </w:rPr>
        <w:t>Diagnosis</w:t>
      </w:r>
    </w:p>
    <w:p w14:paraId="754E13FC" w14:textId="19AE3E50" w:rsidR="00F5481C" w:rsidRDefault="00AF36BD" w:rsidP="00AF36BD">
      <w:r>
        <w:t xml:space="preserve">Diagnosis </w:t>
      </w:r>
      <w:r w:rsidR="00F5481C">
        <w:t xml:space="preserve">of NS </w:t>
      </w:r>
      <w:r>
        <w:t xml:space="preserve">is made </w:t>
      </w:r>
      <w:r w:rsidR="00F5481C">
        <w:t>when</w:t>
      </w:r>
      <w:r w:rsidR="00AA60AB">
        <w:t xml:space="preserve"> the</w:t>
      </w:r>
      <w:r>
        <w:t xml:space="preserve"> following</w:t>
      </w:r>
      <w:r w:rsidR="00F5481C">
        <w:t xml:space="preserve"> are present:</w:t>
      </w:r>
    </w:p>
    <w:p w14:paraId="31AD7C89" w14:textId="59E127F4" w:rsidR="00F5481C" w:rsidRDefault="00F5481C" w:rsidP="00F5481C">
      <w:pPr>
        <w:pStyle w:val="ListParagraph"/>
        <w:numPr>
          <w:ilvl w:val="0"/>
          <w:numId w:val="31"/>
        </w:numPr>
      </w:pPr>
      <w:proofErr w:type="spellStart"/>
      <w:r>
        <w:t>Oedema</w:t>
      </w:r>
      <w:proofErr w:type="spellEnd"/>
      <w:r>
        <w:t xml:space="preserve"> </w:t>
      </w:r>
    </w:p>
    <w:p w14:paraId="3D884A30" w14:textId="16A7A6D7" w:rsidR="00AF36BD" w:rsidRDefault="00AF36BD" w:rsidP="00AF36BD">
      <w:pPr>
        <w:pStyle w:val="ListParagraph"/>
        <w:numPr>
          <w:ilvl w:val="0"/>
          <w:numId w:val="31"/>
        </w:numPr>
      </w:pPr>
      <w:r>
        <w:t xml:space="preserve">Urine dipstick </w:t>
      </w:r>
      <w:proofErr w:type="gramStart"/>
      <w:r>
        <w:t>showing  3</w:t>
      </w:r>
      <w:proofErr w:type="gramEnd"/>
      <w:r>
        <w:t>-4+</w:t>
      </w:r>
      <w:r w:rsidR="00184493">
        <w:t xml:space="preserve"> protein</w:t>
      </w:r>
      <w:r>
        <w:t xml:space="preserve"> OR urine protein/creatinine ratio ≥ </w:t>
      </w:r>
      <w:r w:rsidR="00584549">
        <w:t>2</w:t>
      </w:r>
      <w:r w:rsidR="00223177">
        <w:t xml:space="preserve"> </w:t>
      </w:r>
      <w:r w:rsidR="00584549">
        <w:t>g</w:t>
      </w:r>
      <w:r>
        <w:t xml:space="preserve">/g OR </w:t>
      </w:r>
      <w:bookmarkStart w:id="0" w:name="_GoBack"/>
      <w:bookmarkEnd w:id="0"/>
      <w:r>
        <w:t>protein in 24-hour urine of ≥ 3.</w:t>
      </w:r>
      <w:r w:rsidR="00584549">
        <w:t>0</w:t>
      </w:r>
      <w:r w:rsidR="00223177">
        <w:t xml:space="preserve"> </w:t>
      </w:r>
      <w:r>
        <w:t>g</w:t>
      </w:r>
    </w:p>
    <w:p w14:paraId="0EF6365B" w14:textId="577EABE0" w:rsidR="00AF36BD" w:rsidRDefault="00AF36BD" w:rsidP="00AF36BD">
      <w:pPr>
        <w:pStyle w:val="ListParagraph"/>
        <w:numPr>
          <w:ilvl w:val="0"/>
          <w:numId w:val="31"/>
        </w:numPr>
      </w:pPr>
      <w:proofErr w:type="spellStart"/>
      <w:r>
        <w:t>Hypoalbuminaemia</w:t>
      </w:r>
      <w:proofErr w:type="spellEnd"/>
      <w:r>
        <w:t xml:space="preserve"> (&lt;</w:t>
      </w:r>
      <w:r w:rsidR="00223177">
        <w:t xml:space="preserve"> </w:t>
      </w:r>
      <w:r w:rsidR="00584549">
        <w:t>25</w:t>
      </w:r>
      <w:r w:rsidR="00223177">
        <w:t xml:space="preserve"> </w:t>
      </w:r>
      <w:r>
        <w:t>g/L).</w:t>
      </w:r>
    </w:p>
    <w:p w14:paraId="2FD7B8D7" w14:textId="70DE8D14" w:rsidR="00F44860" w:rsidRDefault="00AF36BD" w:rsidP="00153886">
      <w:r>
        <w:t xml:space="preserve">Hyperlipidaemia (high LDL cholesterol levels) may be present but is not necessary for diagnosis. </w:t>
      </w:r>
      <w:r w:rsidR="000D0FD3">
        <w:t>In view of this, there is no indication to check the lipid profile.</w:t>
      </w:r>
    </w:p>
    <w:p w14:paraId="25CAB027" w14:textId="780696E5" w:rsidR="00975A60" w:rsidRPr="00DC590C" w:rsidRDefault="00975A60" w:rsidP="00975A60">
      <w:pPr>
        <w:pStyle w:val="Heading2"/>
        <w:rPr>
          <w:rFonts w:cs="Arial"/>
          <w:szCs w:val="22"/>
        </w:rPr>
      </w:pPr>
      <w:r w:rsidRPr="00DC590C">
        <w:rPr>
          <w:rFonts w:cs="Arial"/>
          <w:szCs w:val="22"/>
        </w:rPr>
        <w:t>Examination findings</w:t>
      </w:r>
    </w:p>
    <w:p w14:paraId="1BFE9F2F" w14:textId="77777777" w:rsidR="00DC128C" w:rsidRDefault="00DC128C" w:rsidP="002A2856">
      <w:r>
        <w:t xml:space="preserve"> The most common examination findings include </w:t>
      </w:r>
    </w:p>
    <w:p w14:paraId="6BD48C47" w14:textId="4097D622" w:rsidR="001203AE" w:rsidRDefault="003E22B7" w:rsidP="00DC128C">
      <w:pPr>
        <w:pStyle w:val="ListParagraph"/>
        <w:numPr>
          <w:ilvl w:val="0"/>
          <w:numId w:val="26"/>
        </w:numPr>
      </w:pPr>
      <w:r>
        <w:t>Peripheral o</w:t>
      </w:r>
      <w:r w:rsidR="00412AED">
        <w:t>e</w:t>
      </w:r>
      <w:r>
        <w:t xml:space="preserve">dema </w:t>
      </w:r>
    </w:p>
    <w:p w14:paraId="4AEC2F00" w14:textId="6087371B" w:rsidR="003E22B7" w:rsidRDefault="003E22B7" w:rsidP="00DC128C">
      <w:pPr>
        <w:pStyle w:val="ListParagraph"/>
        <w:numPr>
          <w:ilvl w:val="0"/>
          <w:numId w:val="26"/>
        </w:numPr>
      </w:pPr>
      <w:r>
        <w:t>Periorbital oede</w:t>
      </w:r>
      <w:r w:rsidR="00412AED">
        <w:t>ma</w:t>
      </w:r>
    </w:p>
    <w:p w14:paraId="7384D687" w14:textId="77777777" w:rsidR="00DC128C" w:rsidRDefault="00412AED" w:rsidP="00DC128C">
      <w:pPr>
        <w:pStyle w:val="ListParagraph"/>
        <w:numPr>
          <w:ilvl w:val="0"/>
          <w:numId w:val="26"/>
        </w:numPr>
      </w:pPr>
      <w:r>
        <w:t>Ascites</w:t>
      </w:r>
    </w:p>
    <w:p w14:paraId="3E59DEDA" w14:textId="3F447CAB" w:rsidR="00412AED" w:rsidRPr="00DC128C" w:rsidRDefault="00DC128C" w:rsidP="002A2856">
      <w:pPr>
        <w:rPr>
          <w:b/>
          <w:sz w:val="24"/>
        </w:rPr>
      </w:pPr>
      <w:r w:rsidRPr="00DC128C">
        <w:rPr>
          <w:b/>
          <w:sz w:val="24"/>
        </w:rPr>
        <w:t xml:space="preserve">Investigations </w:t>
      </w:r>
      <w:r w:rsidR="00412AED" w:rsidRPr="00DC128C">
        <w:rPr>
          <w:b/>
          <w:sz w:val="24"/>
        </w:rPr>
        <w:t xml:space="preserve"> </w:t>
      </w:r>
    </w:p>
    <w:p w14:paraId="7FB4C396" w14:textId="39E9DB9D" w:rsidR="00DC128C" w:rsidRPr="00DC128C" w:rsidRDefault="00DC128C" w:rsidP="00DC128C">
      <w:pPr>
        <w:pStyle w:val="ListParagraph"/>
        <w:numPr>
          <w:ilvl w:val="0"/>
          <w:numId w:val="25"/>
        </w:numPr>
      </w:pPr>
      <w:r w:rsidRPr="00DC128C">
        <w:t>Urine dipstick</w:t>
      </w:r>
    </w:p>
    <w:p w14:paraId="72E05FC5" w14:textId="260964B8" w:rsidR="00DC128C" w:rsidRPr="00DC128C" w:rsidRDefault="00DC128C" w:rsidP="00DC128C">
      <w:pPr>
        <w:pStyle w:val="ListParagraph"/>
        <w:numPr>
          <w:ilvl w:val="0"/>
          <w:numId w:val="25"/>
        </w:numPr>
      </w:pPr>
      <w:r w:rsidRPr="00DC128C">
        <w:t>Early morning urine protein/creatinine ratio</w:t>
      </w:r>
    </w:p>
    <w:p w14:paraId="53451A54" w14:textId="2A2E37D7" w:rsidR="00DC128C" w:rsidRPr="00DC128C" w:rsidRDefault="00DC128C" w:rsidP="00DC128C">
      <w:pPr>
        <w:pStyle w:val="ListParagraph"/>
        <w:numPr>
          <w:ilvl w:val="0"/>
          <w:numId w:val="25"/>
        </w:numPr>
      </w:pPr>
      <w:r w:rsidRPr="00DC128C">
        <w:t>Serum creatinine</w:t>
      </w:r>
    </w:p>
    <w:p w14:paraId="0C229162" w14:textId="1A030615" w:rsidR="00DC128C" w:rsidRPr="00DC128C" w:rsidRDefault="00DC128C" w:rsidP="00DC128C">
      <w:pPr>
        <w:pStyle w:val="ListParagraph"/>
        <w:numPr>
          <w:ilvl w:val="0"/>
          <w:numId w:val="25"/>
        </w:numPr>
      </w:pPr>
      <w:r w:rsidRPr="00DC128C">
        <w:t>Serum albumin</w:t>
      </w:r>
    </w:p>
    <w:p w14:paraId="14162D79" w14:textId="77777777" w:rsidR="00584549" w:rsidRPr="00584549" w:rsidRDefault="00DC128C" w:rsidP="00DC128C">
      <w:pPr>
        <w:pStyle w:val="ListParagraph"/>
        <w:numPr>
          <w:ilvl w:val="0"/>
          <w:numId w:val="25"/>
        </w:numPr>
        <w:rPr>
          <w:b/>
        </w:rPr>
      </w:pPr>
      <w:r>
        <w:t>Serum lipid profile</w:t>
      </w:r>
    </w:p>
    <w:p w14:paraId="416F78A0" w14:textId="6155B844" w:rsidR="00DC128C" w:rsidRPr="00F5481C" w:rsidRDefault="00584549" w:rsidP="00DC128C">
      <w:pPr>
        <w:pStyle w:val="ListParagraph"/>
        <w:numPr>
          <w:ilvl w:val="0"/>
          <w:numId w:val="25"/>
        </w:numPr>
        <w:rPr>
          <w:b/>
        </w:rPr>
      </w:pPr>
      <w:r>
        <w:t>Plain chest X-ray</w:t>
      </w:r>
      <w:r w:rsidR="00DC128C">
        <w:t xml:space="preserve"> </w:t>
      </w:r>
    </w:p>
    <w:p w14:paraId="308AE6BD" w14:textId="6D4A3E5B" w:rsidR="00F5481C" w:rsidRDefault="00F5481C" w:rsidP="00DC128C">
      <w:pPr>
        <w:pStyle w:val="ListParagraph"/>
        <w:numPr>
          <w:ilvl w:val="0"/>
          <w:numId w:val="25"/>
        </w:numPr>
      </w:pPr>
      <w:r w:rsidRPr="00F5481C">
        <w:t>FBC</w:t>
      </w:r>
    </w:p>
    <w:p w14:paraId="54471A0D" w14:textId="3525C020" w:rsidR="00567DCC" w:rsidRPr="00F5481C" w:rsidRDefault="00567DCC" w:rsidP="00DC128C">
      <w:pPr>
        <w:pStyle w:val="ListParagraph"/>
        <w:numPr>
          <w:ilvl w:val="0"/>
          <w:numId w:val="25"/>
        </w:numPr>
      </w:pPr>
      <w:r>
        <w:t xml:space="preserve">Renal biopsy </w:t>
      </w:r>
    </w:p>
    <w:p w14:paraId="1D002310" w14:textId="77777777" w:rsidR="00984816" w:rsidRDefault="00984816">
      <w:pPr>
        <w:spacing w:after="0"/>
        <w:outlineLvl w:val="9"/>
      </w:pPr>
      <w:r>
        <w:br w:type="page"/>
      </w:r>
    </w:p>
    <w:p w14:paraId="3688F192" w14:textId="5D791615" w:rsidR="00DC128C" w:rsidRDefault="00DC128C" w:rsidP="00DC128C">
      <w:pPr>
        <w:ind w:left="360"/>
      </w:pPr>
      <w:r w:rsidRPr="00DC128C">
        <w:lastRenderedPageBreak/>
        <w:t>Other tests to rule out secondary causes of NS</w:t>
      </w:r>
      <w:r>
        <w:t>:</w:t>
      </w:r>
      <w:r w:rsidRPr="00DC128C">
        <w:t xml:space="preserve"> </w:t>
      </w:r>
    </w:p>
    <w:p w14:paraId="07B04FC9" w14:textId="2767B9C3" w:rsidR="00DC128C" w:rsidRDefault="00DC128C" w:rsidP="00DC128C">
      <w:pPr>
        <w:pStyle w:val="ListParagraph"/>
        <w:numPr>
          <w:ilvl w:val="0"/>
          <w:numId w:val="29"/>
        </w:numPr>
      </w:pPr>
      <w:r>
        <w:t xml:space="preserve">HIV Serology </w:t>
      </w:r>
    </w:p>
    <w:p w14:paraId="2E430DE7" w14:textId="77777777" w:rsidR="00E75FF1" w:rsidRDefault="00DC128C" w:rsidP="00DC128C">
      <w:pPr>
        <w:pStyle w:val="ListParagraph"/>
        <w:numPr>
          <w:ilvl w:val="0"/>
          <w:numId w:val="29"/>
        </w:numPr>
      </w:pPr>
      <w:r>
        <w:t xml:space="preserve">Hepatitis serology </w:t>
      </w:r>
    </w:p>
    <w:p w14:paraId="09456991" w14:textId="6C164ADE" w:rsidR="00DC128C" w:rsidRDefault="00DC128C" w:rsidP="00DC128C">
      <w:pPr>
        <w:pStyle w:val="ListParagraph"/>
        <w:numPr>
          <w:ilvl w:val="0"/>
          <w:numId w:val="29"/>
        </w:numPr>
      </w:pPr>
      <w:r>
        <w:t>Serum or urine protein electrophoresis</w:t>
      </w:r>
    </w:p>
    <w:p w14:paraId="6D9F4B75" w14:textId="7756D776" w:rsidR="00DC128C" w:rsidRDefault="00DC128C" w:rsidP="00DC128C">
      <w:pPr>
        <w:pStyle w:val="ListParagraph"/>
        <w:numPr>
          <w:ilvl w:val="0"/>
          <w:numId w:val="29"/>
        </w:numPr>
      </w:pPr>
      <w:r>
        <w:t xml:space="preserve">Blood glucose </w:t>
      </w:r>
    </w:p>
    <w:p w14:paraId="4E0B83D6" w14:textId="098E71E9" w:rsidR="003A1041" w:rsidRPr="001D6D93" w:rsidRDefault="001203AE" w:rsidP="001D6D93">
      <w:pPr>
        <w:pStyle w:val="Heading2"/>
        <w:rPr>
          <w:rFonts w:cs="Arial"/>
          <w:szCs w:val="22"/>
        </w:rPr>
      </w:pPr>
      <w:r w:rsidRPr="003C0800">
        <w:rPr>
          <w:rFonts w:cs="Arial"/>
          <w:szCs w:val="22"/>
        </w:rPr>
        <w:t>Management</w:t>
      </w:r>
      <w:r>
        <w:rPr>
          <w:rFonts w:cs="Arial"/>
          <w:szCs w:val="22"/>
        </w:rPr>
        <w:t xml:space="preserve"> </w:t>
      </w:r>
    </w:p>
    <w:p w14:paraId="53C5E059" w14:textId="4F842EC5" w:rsidR="00AF36BD" w:rsidRPr="00FF43F0" w:rsidRDefault="00654C40" w:rsidP="00153886">
      <w:pPr>
        <w:pStyle w:val="Heading3"/>
      </w:pPr>
      <w:r>
        <w:t xml:space="preserve">For </w:t>
      </w:r>
      <w:r w:rsidR="001D6D93" w:rsidRPr="00FF43F0">
        <w:t xml:space="preserve">children with NS </w:t>
      </w:r>
    </w:p>
    <w:p w14:paraId="0FEC1098" w14:textId="2E4C986E" w:rsidR="001D6D93" w:rsidRDefault="001D6D93" w:rsidP="00FF43F0">
      <w:pPr>
        <w:pStyle w:val="ListParagraph"/>
        <w:numPr>
          <w:ilvl w:val="0"/>
          <w:numId w:val="32"/>
        </w:numPr>
      </w:pPr>
      <w:r>
        <w:t>Admit child with first presentation of NS</w:t>
      </w:r>
      <w:r w:rsidR="00463BAC">
        <w:t>.</w:t>
      </w:r>
    </w:p>
    <w:p w14:paraId="74EA745C" w14:textId="2E782443" w:rsidR="001D6D93" w:rsidRDefault="001D6D93" w:rsidP="00FF43F0">
      <w:pPr>
        <w:pStyle w:val="ListParagraph"/>
        <w:numPr>
          <w:ilvl w:val="0"/>
          <w:numId w:val="32"/>
        </w:numPr>
      </w:pPr>
      <w:r>
        <w:t xml:space="preserve">Oedema: Reduce salt intake and maintain strict fluid balance. If oedema is symptomatic there may be need to give </w:t>
      </w:r>
      <w:proofErr w:type="gramStart"/>
      <w:r>
        <w:t>IV  frusemide</w:t>
      </w:r>
      <w:proofErr w:type="gramEnd"/>
      <w:r>
        <w:t xml:space="preserve"> 1</w:t>
      </w:r>
      <w:r w:rsidR="00AA60AB">
        <w:t xml:space="preserve"> </w:t>
      </w:r>
      <w:r>
        <w:t xml:space="preserve">mg/kg </w:t>
      </w:r>
      <w:r w:rsidR="00B02916">
        <w:t>OD</w:t>
      </w:r>
      <w:r w:rsidR="00223177">
        <w:t xml:space="preserve"> </w:t>
      </w:r>
      <w:r>
        <w:t>(not more than 40</w:t>
      </w:r>
      <w:r w:rsidR="00223177">
        <w:t xml:space="preserve"> </w:t>
      </w:r>
      <w:r>
        <w:t>mg per dose)</w:t>
      </w:r>
      <w:r w:rsidR="00463BAC">
        <w:t>.</w:t>
      </w:r>
    </w:p>
    <w:p w14:paraId="3DFD8172" w14:textId="4B808389" w:rsidR="00FF43F0" w:rsidRDefault="00FF43F0" w:rsidP="00FF43F0">
      <w:pPr>
        <w:pStyle w:val="ListParagraph"/>
        <w:numPr>
          <w:ilvl w:val="0"/>
          <w:numId w:val="32"/>
        </w:numPr>
      </w:pPr>
      <w:r>
        <w:t>Prophylaxis against complications:</w:t>
      </w:r>
    </w:p>
    <w:p w14:paraId="7930778D" w14:textId="71B9C605" w:rsidR="00FF43F0" w:rsidRDefault="00654C40" w:rsidP="00FF43F0">
      <w:pPr>
        <w:pStyle w:val="ListParagraph"/>
        <w:numPr>
          <w:ilvl w:val="1"/>
          <w:numId w:val="32"/>
        </w:numPr>
      </w:pPr>
      <w:r>
        <w:t>Infections: Oral</w:t>
      </w:r>
      <w:r w:rsidR="00FF43F0">
        <w:t xml:space="preserve"> penicillin V at 125</w:t>
      </w:r>
      <w:r w:rsidR="000D0FD3">
        <w:t xml:space="preserve"> </w:t>
      </w:r>
      <w:r w:rsidR="00FF43F0">
        <w:t xml:space="preserve">mg </w:t>
      </w:r>
      <w:r w:rsidR="000D0FD3">
        <w:t>BD</w:t>
      </w:r>
      <w:r w:rsidR="00FF43F0">
        <w:t xml:space="preserve"> if under 5 years, or 250</w:t>
      </w:r>
      <w:r w:rsidR="000D0FD3">
        <w:t xml:space="preserve"> </w:t>
      </w:r>
      <w:r w:rsidR="00FF43F0">
        <w:t xml:space="preserve">mg </w:t>
      </w:r>
      <w:r w:rsidR="000D0FD3">
        <w:t xml:space="preserve">BD </w:t>
      </w:r>
      <w:r w:rsidR="00FF43F0">
        <w:t xml:space="preserve">if over 5 years. This should continue until </w:t>
      </w:r>
      <w:proofErr w:type="spellStart"/>
      <w:r w:rsidR="00FF43F0">
        <w:t>oedema</w:t>
      </w:r>
      <w:proofErr w:type="spellEnd"/>
      <w:r w:rsidR="00FF43F0">
        <w:t xml:space="preserve"> </w:t>
      </w:r>
      <w:r>
        <w:t>subsides. If</w:t>
      </w:r>
      <w:r w:rsidR="00FF43F0">
        <w:t xml:space="preserve"> the child is profoundly ill or appears to have sepsis use IV Ceftriaxone 50 mg/kg </w:t>
      </w:r>
      <w:r w:rsidR="000D0FD3">
        <w:t>OD</w:t>
      </w:r>
      <w:r w:rsidR="00FF43F0">
        <w:t xml:space="preserve"> (max 2g)</w:t>
      </w:r>
    </w:p>
    <w:p w14:paraId="00A3D7D6" w14:textId="1C42F4DD" w:rsidR="00FF43F0" w:rsidRDefault="00FF43F0" w:rsidP="00FF43F0">
      <w:pPr>
        <w:pStyle w:val="ListParagraph"/>
        <w:numPr>
          <w:ilvl w:val="1"/>
          <w:numId w:val="32"/>
        </w:numPr>
      </w:pPr>
      <w:r>
        <w:t>Pre</w:t>
      </w:r>
      <w:r w:rsidRPr="00FF43F0">
        <w:t>dnisolone</w:t>
      </w:r>
      <w:r w:rsidR="00AA60AB">
        <w:t xml:space="preserve"> -</w:t>
      </w:r>
      <w:r w:rsidRPr="00FF43F0">
        <w:t xml:space="preserve"> induced gastritis</w:t>
      </w:r>
      <w:r>
        <w:t>:</w:t>
      </w:r>
      <w:r w:rsidR="00AA60AB">
        <w:t xml:space="preserve"> </w:t>
      </w:r>
      <w:r w:rsidR="00153886">
        <w:t>Oral omeprazole 0</w:t>
      </w:r>
      <w:r w:rsidR="00B02916">
        <w:t>.5</w:t>
      </w:r>
      <w:r w:rsidR="00AA60AB">
        <w:t xml:space="preserve"> </w:t>
      </w:r>
      <w:r w:rsidR="005961C6">
        <w:t xml:space="preserve">- </w:t>
      </w:r>
      <w:r w:rsidR="00B02916">
        <w:t>1.5</w:t>
      </w:r>
      <w:r w:rsidR="00AA60AB">
        <w:t xml:space="preserve"> </w:t>
      </w:r>
      <w:r w:rsidR="00153886">
        <w:t>mg OD (</w:t>
      </w:r>
      <w:r w:rsidR="00B02916">
        <w:t>max 4</w:t>
      </w:r>
      <w:r w:rsidR="00153886">
        <w:t xml:space="preserve">0 mg </w:t>
      </w:r>
      <w:proofErr w:type="gramStart"/>
      <w:r w:rsidR="00153886">
        <w:t>OD )</w:t>
      </w:r>
      <w:proofErr w:type="gramEnd"/>
    </w:p>
    <w:p w14:paraId="6C9182D8" w14:textId="632B7EAD" w:rsidR="00FF43F0" w:rsidRDefault="00B02916" w:rsidP="00FF43F0">
      <w:pPr>
        <w:pStyle w:val="ListParagraph"/>
        <w:numPr>
          <w:ilvl w:val="0"/>
          <w:numId w:val="32"/>
        </w:numPr>
      </w:pPr>
      <w:r>
        <w:t>Immunosuppressive therapy</w:t>
      </w:r>
      <w:r w:rsidR="00FF43F0">
        <w:t xml:space="preserve">: </w:t>
      </w:r>
      <w:r w:rsidR="00E7401D">
        <w:t>T</w:t>
      </w:r>
      <w:r w:rsidR="00FF43F0">
        <w:t>o induce remission, followed by a slow wean to reduce risk of relapse:</w:t>
      </w:r>
      <w:r>
        <w:t xml:space="preserve"> Oral prednisolone </w:t>
      </w:r>
      <w:r w:rsidR="00FF43F0">
        <w:t>60 mg/m</w:t>
      </w:r>
      <w:r w:rsidR="00E7401D">
        <w:rPr>
          <w:vertAlign w:val="superscript"/>
        </w:rPr>
        <w:t>2</w:t>
      </w:r>
      <w:r w:rsidR="00FF43F0">
        <w:t>/day</w:t>
      </w:r>
      <w:r>
        <w:t xml:space="preserve"> or 2mg /kg</w:t>
      </w:r>
      <w:r w:rsidR="00FF43F0">
        <w:t xml:space="preserve"> (max 80 mg) </w:t>
      </w:r>
      <w:r>
        <w:t xml:space="preserve">OD </w:t>
      </w:r>
      <w:r w:rsidR="00FF43F0">
        <w:t xml:space="preserve">for 4 </w:t>
      </w:r>
      <w:r w:rsidR="00654C40">
        <w:t>weeks, then</w:t>
      </w:r>
      <w:r w:rsidR="00FF43F0">
        <w:t xml:space="preserve"> 40 mg/m</w:t>
      </w:r>
      <w:r w:rsidR="00FF43F0" w:rsidRPr="00E7401D">
        <w:rPr>
          <w:vertAlign w:val="superscript"/>
        </w:rPr>
        <w:t>2</w:t>
      </w:r>
      <w:r w:rsidR="00FF43F0">
        <w:t>/alternate days (max 60</w:t>
      </w:r>
      <w:r w:rsidR="00613F5A">
        <w:t xml:space="preserve"> </w:t>
      </w:r>
      <w:r w:rsidR="00FF43F0">
        <w:t>mg) for 4 weeks</w:t>
      </w:r>
      <w:r w:rsidR="00654C40">
        <w:t>, t</w:t>
      </w:r>
      <w:r w:rsidR="00FF43F0">
        <w:t>hen 20 mg/m</w:t>
      </w:r>
      <w:r w:rsidR="00FF43F0" w:rsidRPr="00E7401D">
        <w:rPr>
          <w:vertAlign w:val="superscript"/>
        </w:rPr>
        <w:t>2</w:t>
      </w:r>
      <w:r w:rsidR="00FF43F0">
        <w:t>/alternate days for 10 days</w:t>
      </w:r>
      <w:r w:rsidR="00654C40">
        <w:t xml:space="preserve">, </w:t>
      </w:r>
      <w:r w:rsidR="00FF43F0">
        <w:t>then 10 mg/m</w:t>
      </w:r>
      <w:r w:rsidR="00FF43F0" w:rsidRPr="00E7401D">
        <w:rPr>
          <w:vertAlign w:val="superscript"/>
        </w:rPr>
        <w:t>2</w:t>
      </w:r>
      <w:r w:rsidR="00FF43F0">
        <w:t>/on alternate days for 10 days</w:t>
      </w:r>
      <w:r w:rsidR="00654C40">
        <w:t xml:space="preserve">, </w:t>
      </w:r>
      <w:r w:rsidR="00FF43F0">
        <w:t>then 5 mg/m</w:t>
      </w:r>
      <w:r w:rsidR="00FF43F0" w:rsidRPr="00E7401D">
        <w:rPr>
          <w:vertAlign w:val="superscript"/>
        </w:rPr>
        <w:t>2</w:t>
      </w:r>
      <w:r w:rsidR="00FF43F0">
        <w:t>/alternate days for 10 days</w:t>
      </w:r>
      <w:r w:rsidR="00654C40">
        <w:t xml:space="preserve">, </w:t>
      </w:r>
      <w:r w:rsidR="00FF43F0">
        <w:t>then cease</w:t>
      </w:r>
      <w:r w:rsidR="00654C40">
        <w:t xml:space="preserve">. </w:t>
      </w:r>
    </w:p>
    <w:p w14:paraId="1777A4EA" w14:textId="1A01D40A" w:rsidR="001D6D93" w:rsidRPr="00E518C0" w:rsidRDefault="00654C40" w:rsidP="00B02916">
      <w:pPr>
        <w:pStyle w:val="Heading3"/>
      </w:pPr>
      <w:r w:rsidRPr="00E518C0">
        <w:t xml:space="preserve">For adults with NS </w:t>
      </w:r>
    </w:p>
    <w:p w14:paraId="31E40672" w14:textId="12AA6760" w:rsidR="00654C40" w:rsidRDefault="00E7401D" w:rsidP="00E518C0">
      <w:pPr>
        <w:pStyle w:val="ListParagraph"/>
        <w:numPr>
          <w:ilvl w:val="0"/>
          <w:numId w:val="33"/>
        </w:numPr>
      </w:pPr>
      <w:proofErr w:type="spellStart"/>
      <w:r>
        <w:t>Oedema</w:t>
      </w:r>
      <w:proofErr w:type="spellEnd"/>
      <w:r>
        <w:t xml:space="preserve">: Restrict dietary </w:t>
      </w:r>
      <w:r w:rsidR="00654C40">
        <w:t>sodium to less than 3</w:t>
      </w:r>
      <w:r w:rsidR="000D0FD3">
        <w:t xml:space="preserve"> </w:t>
      </w:r>
      <w:r w:rsidR="00654C40">
        <w:t>g per day</w:t>
      </w:r>
      <w:r>
        <w:t xml:space="preserve"> and fluid to</w:t>
      </w:r>
      <w:r w:rsidR="00654C40">
        <w:t xml:space="preserve"> less than 1,500 mL per day.</w:t>
      </w:r>
      <w:r>
        <w:t xml:space="preserve"> Strict fluid balance. </w:t>
      </w:r>
    </w:p>
    <w:p w14:paraId="13D8171D" w14:textId="7E9D6C8D" w:rsidR="00654C40" w:rsidRDefault="00654C40" w:rsidP="00E518C0">
      <w:pPr>
        <w:pStyle w:val="ListParagraph"/>
        <w:numPr>
          <w:ilvl w:val="0"/>
          <w:numId w:val="33"/>
        </w:numPr>
      </w:pPr>
      <w:r>
        <w:t xml:space="preserve">Treat </w:t>
      </w:r>
      <w:proofErr w:type="spellStart"/>
      <w:r>
        <w:t>oedema</w:t>
      </w:r>
      <w:proofErr w:type="spellEnd"/>
      <w:r>
        <w:t xml:space="preserve"> with loop diuretics</w:t>
      </w:r>
      <w:r w:rsidR="000D0FD3">
        <w:t xml:space="preserve"> –</w:t>
      </w:r>
      <w:r>
        <w:t xml:space="preserve"> oral or IV</w:t>
      </w:r>
      <w:r w:rsidR="000D0FD3">
        <w:t xml:space="preserve"> –</w:t>
      </w:r>
      <w:r>
        <w:t xml:space="preserve"> depending on degree of oedema</w:t>
      </w:r>
      <w:r w:rsidR="00E518C0">
        <w:t>. The aim is to reduce patient’s weight by 0.5-1</w:t>
      </w:r>
      <w:r w:rsidR="000D0FD3">
        <w:t xml:space="preserve"> </w:t>
      </w:r>
      <w:r w:rsidR="00E518C0">
        <w:t xml:space="preserve">kg /day. </w:t>
      </w:r>
    </w:p>
    <w:p w14:paraId="3E0D96E0" w14:textId="49624C82" w:rsidR="00654C40" w:rsidRDefault="00E7401D" w:rsidP="00E518C0">
      <w:pPr>
        <w:pStyle w:val="ListParagraph"/>
        <w:numPr>
          <w:ilvl w:val="0"/>
          <w:numId w:val="33"/>
        </w:numPr>
      </w:pPr>
      <w:r>
        <w:t>Proteinuria:</w:t>
      </w:r>
      <w:r w:rsidR="00463BAC">
        <w:t xml:space="preserve"> </w:t>
      </w:r>
      <w:r>
        <w:t>Give ACE</w:t>
      </w:r>
      <w:r w:rsidR="000D0FD3">
        <w:t xml:space="preserve"> i</w:t>
      </w:r>
      <w:r>
        <w:t xml:space="preserve">nhibitors regardless of blood pressure. Start </w:t>
      </w:r>
      <w:r w:rsidR="00F44860">
        <w:t xml:space="preserve">at </w:t>
      </w:r>
      <w:r>
        <w:t xml:space="preserve">low dose. </w:t>
      </w:r>
      <w:r w:rsidR="00654C40">
        <w:t xml:space="preserve"> </w:t>
      </w:r>
    </w:p>
    <w:p w14:paraId="533037B5" w14:textId="24BF8A5B" w:rsidR="00654C40" w:rsidRDefault="00E518C0" w:rsidP="00E518C0">
      <w:pPr>
        <w:pStyle w:val="ListParagraph"/>
        <w:numPr>
          <w:ilvl w:val="0"/>
          <w:numId w:val="33"/>
        </w:numPr>
      </w:pPr>
      <w:r>
        <w:t>There is no evidence to support the use of corticosteroids in adult NS</w:t>
      </w:r>
      <w:r w:rsidR="000D0FD3">
        <w:t>.</w:t>
      </w:r>
      <w:r>
        <w:t xml:space="preserve"> </w:t>
      </w:r>
      <w:r w:rsidR="00CC06F0">
        <w:t>H</w:t>
      </w:r>
      <w:r>
        <w:t xml:space="preserve">owever, it is recommended based on histological reports. Patients with Idiopathic NS from MCD and FSGS may be placed on prednisolone </w:t>
      </w:r>
      <w:r w:rsidR="00CC06F0">
        <w:t>1</w:t>
      </w:r>
      <w:r w:rsidR="00223177">
        <w:t xml:space="preserve"> </w:t>
      </w:r>
      <w:r>
        <w:t>mg/kg/day</w:t>
      </w:r>
      <w:r w:rsidR="00613F5A">
        <w:t xml:space="preserve"> </w:t>
      </w:r>
      <w:r w:rsidR="00CC06F0">
        <w:t>(max 80</w:t>
      </w:r>
      <w:r w:rsidR="00223177">
        <w:t xml:space="preserve"> </w:t>
      </w:r>
      <w:r w:rsidR="00CC06F0">
        <w:t>mg/</w:t>
      </w:r>
      <w:r w:rsidR="00223177">
        <w:t>d</w:t>
      </w:r>
      <w:r w:rsidR="00CC06F0">
        <w:t>ay)</w:t>
      </w:r>
      <w:r>
        <w:t xml:space="preserve"> for 4 weeks</w:t>
      </w:r>
      <w:r w:rsidR="00613F5A">
        <w:t xml:space="preserve"> </w:t>
      </w:r>
      <w:r w:rsidR="00CC06F0">
        <w:t xml:space="preserve">(or continued over </w:t>
      </w:r>
      <w:r w:rsidR="00F40142">
        <w:t>16 weeks</w:t>
      </w:r>
      <w:r w:rsidR="00CC06F0">
        <w:t>)</w:t>
      </w:r>
      <w:r>
        <w:t xml:space="preserve"> with treatment tapered off</w:t>
      </w:r>
      <w:r w:rsidR="00CC06F0">
        <w:t xml:space="preserve"> over 6 months</w:t>
      </w:r>
      <w:r w:rsidR="00F40142">
        <w:t xml:space="preserve">. </w:t>
      </w:r>
      <w:r w:rsidR="00CC06F0">
        <w:t xml:space="preserve"> </w:t>
      </w:r>
    </w:p>
    <w:p w14:paraId="5AC44ABF" w14:textId="5D865CAD" w:rsidR="00D97F13" w:rsidRDefault="00D97F13" w:rsidP="00E518C0">
      <w:pPr>
        <w:pStyle w:val="ListParagraph"/>
        <w:numPr>
          <w:ilvl w:val="0"/>
          <w:numId w:val="33"/>
        </w:numPr>
      </w:pPr>
      <w:r>
        <w:t>Treat secondary cause of NS if present</w:t>
      </w:r>
      <w:r w:rsidR="000D0FD3">
        <w:t>.</w:t>
      </w:r>
      <w:r>
        <w:t xml:space="preserve"> </w:t>
      </w:r>
    </w:p>
    <w:p w14:paraId="421453CC" w14:textId="76983CD2" w:rsidR="00D97F13" w:rsidRDefault="00F5481C" w:rsidP="00E518C0">
      <w:pPr>
        <w:pStyle w:val="ListParagraph"/>
        <w:numPr>
          <w:ilvl w:val="0"/>
          <w:numId w:val="33"/>
        </w:numPr>
      </w:pPr>
      <w:r>
        <w:t>Anticoagulation, statin</w:t>
      </w:r>
      <w:r w:rsidR="00D97F13">
        <w:t xml:space="preserve"> therapy and infection prophylaxis are not recommended for adults. However</w:t>
      </w:r>
      <w:r>
        <w:t>,</w:t>
      </w:r>
      <w:r w:rsidR="00D97F13">
        <w:t xml:space="preserve"> treat </w:t>
      </w:r>
      <w:r>
        <w:t>infections, if they occur</w:t>
      </w:r>
      <w:r w:rsidR="00D97F13">
        <w:t xml:space="preserve"> and </w:t>
      </w:r>
      <w:r>
        <w:t xml:space="preserve">provide prophylaxis for </w:t>
      </w:r>
      <w:r w:rsidR="00D97F13">
        <w:t>patients at high risk of thromboembolic events.</w:t>
      </w:r>
    </w:p>
    <w:p w14:paraId="29D74FD4" w14:textId="4D83E1C7" w:rsidR="00E518C0" w:rsidRDefault="00E518C0" w:rsidP="00E518C0">
      <w:pPr>
        <w:pStyle w:val="ListParagraph"/>
        <w:numPr>
          <w:ilvl w:val="0"/>
          <w:numId w:val="33"/>
        </w:numPr>
      </w:pPr>
      <w:r>
        <w:t>Refer patients who still have proteinuria after treatment to nephrologist for expert management.</w:t>
      </w:r>
    </w:p>
    <w:p w14:paraId="5779684F" w14:textId="4B2AF37F" w:rsidR="00D97F13" w:rsidRPr="00D97F13" w:rsidRDefault="00D97F13" w:rsidP="00AA60AB">
      <w:pPr>
        <w:pStyle w:val="Heading3"/>
      </w:pPr>
      <w:r w:rsidRPr="00D97F13">
        <w:t xml:space="preserve">Special issues and complications </w:t>
      </w:r>
    </w:p>
    <w:p w14:paraId="107F12E5" w14:textId="62A157E1" w:rsidR="000D0FD3" w:rsidRDefault="00381B68" w:rsidP="00381B68">
      <w:r w:rsidRPr="00AA60AB">
        <w:rPr>
          <w:b/>
        </w:rPr>
        <w:t>Remission</w:t>
      </w:r>
      <w:r w:rsidR="000D0FD3">
        <w:t xml:space="preserve"> is present when the urine dipstick protein ≤ 1+ on 3 consecutive days after completion of treatment course.</w:t>
      </w:r>
    </w:p>
    <w:p w14:paraId="43CED266" w14:textId="73E4CFB2" w:rsidR="000D0FD3" w:rsidRDefault="000D0FD3" w:rsidP="00381B68">
      <w:r w:rsidRPr="00AA60AB">
        <w:rPr>
          <w:b/>
        </w:rPr>
        <w:lastRenderedPageBreak/>
        <w:t>R</w:t>
      </w:r>
      <w:r w:rsidR="00381B68" w:rsidRPr="00AA60AB">
        <w:rPr>
          <w:b/>
        </w:rPr>
        <w:t>elapse</w:t>
      </w:r>
      <w:r>
        <w:rPr>
          <w:b/>
        </w:rPr>
        <w:t xml:space="preserve"> </w:t>
      </w:r>
      <w:r>
        <w:t>is defined as the presence of</w:t>
      </w:r>
      <w:r w:rsidR="00AA60AB">
        <w:t xml:space="preserve"> </w:t>
      </w:r>
      <w:proofErr w:type="spellStart"/>
      <w:r w:rsidR="00AA60AB">
        <w:t>oedema</w:t>
      </w:r>
      <w:proofErr w:type="spellEnd"/>
      <w:r>
        <w:t xml:space="preserve"> plus urine dipstick protein of ≥</w:t>
      </w:r>
      <w:r w:rsidR="005961C6">
        <w:t xml:space="preserve"> </w:t>
      </w:r>
      <w:r>
        <w:t xml:space="preserve">3+ for 3 consecutive days after remission. </w:t>
      </w:r>
      <w:proofErr w:type="gramStart"/>
      <w:r>
        <w:t>This requirements</w:t>
      </w:r>
      <w:proofErr w:type="gramEnd"/>
      <w:r>
        <w:t xml:space="preserve"> the re-commencement of steroid therapy</w:t>
      </w:r>
      <w:r w:rsidR="0078400D">
        <w:t>.</w:t>
      </w:r>
    </w:p>
    <w:p w14:paraId="1465AF54" w14:textId="174C3D21" w:rsidR="00381B68" w:rsidRDefault="000D0FD3" w:rsidP="00381B68">
      <w:r w:rsidRPr="00AA60AB">
        <w:rPr>
          <w:b/>
        </w:rPr>
        <w:t>S</w:t>
      </w:r>
      <w:r w:rsidR="00430A24" w:rsidRPr="00AA60AB">
        <w:rPr>
          <w:b/>
        </w:rPr>
        <w:t>teroid resistance</w:t>
      </w:r>
      <w:r w:rsidR="0078400D">
        <w:t xml:space="preserve"> exists when urine dipstick protein ≥</w:t>
      </w:r>
      <w:r w:rsidR="00613F5A">
        <w:t xml:space="preserve"> </w:t>
      </w:r>
      <w:r w:rsidR="0078400D">
        <w:t xml:space="preserve">3+ for 3 consecutive days with </w:t>
      </w:r>
      <w:proofErr w:type="spellStart"/>
      <w:r w:rsidR="0078400D">
        <w:t>oedema</w:t>
      </w:r>
      <w:proofErr w:type="spellEnd"/>
      <w:r w:rsidR="0078400D">
        <w:t xml:space="preserve">, after a 4-week course of treatment with steroids in adults and </w:t>
      </w:r>
      <w:proofErr w:type="gramStart"/>
      <w:r w:rsidR="0078400D">
        <w:t>3 month</w:t>
      </w:r>
      <w:proofErr w:type="gramEnd"/>
      <w:r w:rsidR="0078400D">
        <w:t xml:space="preserve"> course in children.</w:t>
      </w:r>
    </w:p>
    <w:p w14:paraId="410BD9D9" w14:textId="1C9901AC" w:rsidR="001C2D3B" w:rsidRDefault="00F44860" w:rsidP="00F5481C">
      <w:r>
        <w:t xml:space="preserve">In the case of relapse or steroid </w:t>
      </w:r>
      <w:r w:rsidR="00F5481C">
        <w:t>resistance</w:t>
      </w:r>
      <w:r>
        <w:t>,</w:t>
      </w:r>
      <w:r w:rsidR="0078400D">
        <w:t xml:space="preserve"> consider</w:t>
      </w:r>
      <w:r>
        <w:t xml:space="preserve"> refer</w:t>
      </w:r>
      <w:r w:rsidR="0078400D">
        <w:t>ring</w:t>
      </w:r>
      <w:r>
        <w:t xml:space="preserve"> patient to nephrologist</w:t>
      </w:r>
      <w:r w:rsidR="00430A24">
        <w:t xml:space="preserve"> for </w:t>
      </w:r>
      <w:r w:rsidR="0078400D">
        <w:t>specialist</w:t>
      </w:r>
      <w:r w:rsidR="00430A24">
        <w:t xml:space="preserve"> care. </w:t>
      </w:r>
    </w:p>
    <w:p w14:paraId="51007B4D" w14:textId="730877D4" w:rsidR="00F03F25" w:rsidRPr="00F03F25" w:rsidRDefault="00F44860" w:rsidP="00F03F25">
      <w:pPr>
        <w:rPr>
          <w:szCs w:val="22"/>
        </w:rPr>
      </w:pPr>
      <w:r>
        <w:t xml:space="preserve">Complications include </w:t>
      </w:r>
      <w:r w:rsidR="00F40142">
        <w:t>hy</w:t>
      </w:r>
      <w:r w:rsidR="00F40142" w:rsidRPr="00F44860">
        <w:t>povol</w:t>
      </w:r>
      <w:r w:rsidR="0078400D">
        <w:t>a</w:t>
      </w:r>
      <w:r w:rsidR="00F40142" w:rsidRPr="00F44860">
        <w:t>emia</w:t>
      </w:r>
      <w:r w:rsidRPr="00F44860">
        <w:t>, infection and thrombosis</w:t>
      </w:r>
      <w:r>
        <w:t xml:space="preserve"> and acute kidney injury</w:t>
      </w:r>
      <w:r w:rsidR="0078400D">
        <w:t>.</w:t>
      </w:r>
    </w:p>
    <w:p w14:paraId="1A8720D3" w14:textId="77777777" w:rsidR="00F03F25" w:rsidRPr="003C0800" w:rsidRDefault="00F03F25" w:rsidP="00F03F25">
      <w:pPr>
        <w:pStyle w:val="Heading2"/>
        <w:rPr>
          <w:rFonts w:cs="Arial"/>
          <w:szCs w:val="22"/>
        </w:rPr>
      </w:pPr>
      <w:r w:rsidRPr="003C0800">
        <w:rPr>
          <w:rFonts w:cs="Arial"/>
          <w:szCs w:val="22"/>
        </w:rPr>
        <w:t>Key Issues for Nursing care</w:t>
      </w:r>
    </w:p>
    <w:p w14:paraId="4D030F0D" w14:textId="2CB5ECA0" w:rsidR="002A2856" w:rsidRDefault="00AF36BD" w:rsidP="002A2856">
      <w:pPr>
        <w:pStyle w:val="Heading2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>While a patient is on admission the following should be done:</w:t>
      </w:r>
    </w:p>
    <w:p w14:paraId="6550CB91" w14:textId="77777777" w:rsidR="00E518C0" w:rsidRDefault="00E518C0" w:rsidP="00F44860">
      <w:pPr>
        <w:pStyle w:val="ListParagraph"/>
        <w:numPr>
          <w:ilvl w:val="0"/>
          <w:numId w:val="35"/>
        </w:numPr>
      </w:pPr>
      <w:r>
        <w:t xml:space="preserve">Daily urine dipstick measurement </w:t>
      </w:r>
    </w:p>
    <w:p w14:paraId="6734ED39" w14:textId="3AA4F4D1" w:rsidR="00AF36BD" w:rsidRDefault="00AF36BD" w:rsidP="00F44860">
      <w:pPr>
        <w:pStyle w:val="ListParagraph"/>
        <w:numPr>
          <w:ilvl w:val="0"/>
          <w:numId w:val="35"/>
        </w:numPr>
      </w:pPr>
      <w:r>
        <w:t xml:space="preserve">Daily weighing </w:t>
      </w:r>
    </w:p>
    <w:p w14:paraId="6D97C128" w14:textId="1B143A5C" w:rsidR="00AF36BD" w:rsidRDefault="00AF36BD" w:rsidP="00F44860">
      <w:pPr>
        <w:pStyle w:val="ListParagraph"/>
        <w:numPr>
          <w:ilvl w:val="0"/>
          <w:numId w:val="35"/>
        </w:numPr>
      </w:pPr>
      <w:r>
        <w:t xml:space="preserve">Blood pressure monitoring </w:t>
      </w:r>
    </w:p>
    <w:p w14:paraId="2FD129BC" w14:textId="72B1C215" w:rsidR="005C315B" w:rsidRPr="005961C6" w:rsidRDefault="00E518C0" w:rsidP="005961C6">
      <w:pPr>
        <w:pStyle w:val="ListParagraph"/>
        <w:numPr>
          <w:ilvl w:val="0"/>
          <w:numId w:val="35"/>
        </w:numPr>
        <w:spacing w:after="0"/>
        <w:outlineLvl w:val="9"/>
        <w:rPr>
          <w:b/>
          <w:sz w:val="24"/>
          <w:szCs w:val="22"/>
        </w:rPr>
      </w:pPr>
      <w:r w:rsidRPr="00F44860">
        <w:rPr>
          <w:szCs w:val="22"/>
        </w:rPr>
        <w:t>Strict fluid balance chart</w:t>
      </w:r>
      <w:r w:rsidR="00F44860">
        <w:rPr>
          <w:szCs w:val="22"/>
        </w:rPr>
        <w:t>.</w:t>
      </w:r>
    </w:p>
    <w:p w14:paraId="0BB1AF95" w14:textId="77777777" w:rsidR="00F03F25" w:rsidRPr="003C0800" w:rsidRDefault="00F03F25" w:rsidP="00F03F25">
      <w:pPr>
        <w:pStyle w:val="Heading2"/>
        <w:rPr>
          <w:rFonts w:cs="Arial"/>
          <w:szCs w:val="22"/>
        </w:rPr>
      </w:pPr>
      <w:r>
        <w:rPr>
          <w:rFonts w:cs="Arial"/>
          <w:szCs w:val="22"/>
        </w:rPr>
        <w:t>References</w:t>
      </w:r>
    </w:p>
    <w:p w14:paraId="1A4BFF13" w14:textId="063ADCAE" w:rsidR="00F03F25" w:rsidRDefault="00F40142" w:rsidP="005638D0">
      <w:pPr>
        <w:rPr>
          <w:sz w:val="20"/>
          <w:szCs w:val="20"/>
        </w:rPr>
      </w:pPr>
      <w:r w:rsidRPr="00F40142">
        <w:rPr>
          <w:sz w:val="20"/>
          <w:szCs w:val="20"/>
        </w:rPr>
        <w:t>National Kidney Foundation. KDIGO clinical practice guideline for glomerulonephritis. Kidney Int Suppl. 2012</w:t>
      </w:r>
      <w:r w:rsidR="005C315B">
        <w:rPr>
          <w:sz w:val="20"/>
          <w:szCs w:val="20"/>
        </w:rPr>
        <w:t>(</w:t>
      </w:r>
      <w:r w:rsidRPr="00F40142">
        <w:rPr>
          <w:sz w:val="20"/>
          <w:szCs w:val="20"/>
        </w:rPr>
        <w:t>2</w:t>
      </w:r>
      <w:r w:rsidR="005C315B">
        <w:rPr>
          <w:sz w:val="20"/>
          <w:szCs w:val="20"/>
        </w:rPr>
        <w:t>)</w:t>
      </w:r>
    </w:p>
    <w:p w14:paraId="1B30A859" w14:textId="6A9719F7" w:rsidR="005C315B" w:rsidRDefault="005C315B" w:rsidP="005638D0">
      <w:pPr>
        <w:rPr>
          <w:sz w:val="20"/>
          <w:szCs w:val="20"/>
        </w:rPr>
      </w:pPr>
      <w:proofErr w:type="spellStart"/>
      <w:r w:rsidRPr="005C315B">
        <w:rPr>
          <w:sz w:val="20"/>
          <w:szCs w:val="20"/>
        </w:rPr>
        <w:t>Kodner</w:t>
      </w:r>
      <w:proofErr w:type="spellEnd"/>
      <w:r w:rsidRPr="005C315B">
        <w:rPr>
          <w:sz w:val="20"/>
          <w:szCs w:val="20"/>
        </w:rPr>
        <w:t xml:space="preserve"> C. Nephrotic syndrome in adults: diagnosis and management. American family physician. 2009 Nov 15;80(10).</w:t>
      </w:r>
    </w:p>
    <w:p w14:paraId="180CF567" w14:textId="77777777" w:rsidR="005C315B" w:rsidRPr="005638D0" w:rsidRDefault="005C315B" w:rsidP="005638D0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3622"/>
        <w:gridCol w:w="2869"/>
      </w:tblGrid>
      <w:tr w:rsidR="004C4442" w:rsidRPr="00515546" w14:paraId="41BF4103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70853B70" w14:textId="77777777" w:rsidR="004C4442" w:rsidRPr="00515546" w:rsidRDefault="004C4442" w:rsidP="00522C6C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Written by: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42463917" w14:textId="6643073A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Name</w:t>
            </w:r>
            <w:r w:rsidR="005638D0">
              <w:rPr>
                <w:szCs w:val="22"/>
              </w:rPr>
              <w:t xml:space="preserve">: </w:t>
            </w:r>
            <w:r w:rsidR="00F44860">
              <w:rPr>
                <w:szCs w:val="22"/>
              </w:rPr>
              <w:t>Orighomisan Agboghoroma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1B08F582" w14:textId="53DD2909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Date: </w:t>
            </w:r>
            <w:r w:rsidR="00F44860">
              <w:rPr>
                <w:szCs w:val="22"/>
              </w:rPr>
              <w:t>1</w:t>
            </w:r>
            <w:r w:rsidR="00F5481C">
              <w:rPr>
                <w:szCs w:val="22"/>
              </w:rPr>
              <w:t>5</w:t>
            </w:r>
            <w:r w:rsidR="00F44860">
              <w:rPr>
                <w:szCs w:val="22"/>
              </w:rPr>
              <w:t xml:space="preserve"> </w:t>
            </w:r>
            <w:r w:rsidR="00F5481C">
              <w:rPr>
                <w:szCs w:val="22"/>
              </w:rPr>
              <w:t>November</w:t>
            </w:r>
            <w:r w:rsidR="00F44860">
              <w:rPr>
                <w:szCs w:val="22"/>
              </w:rPr>
              <w:t xml:space="preserve"> 2018</w:t>
            </w:r>
          </w:p>
        </w:tc>
      </w:tr>
      <w:tr w:rsidR="004C4442" w:rsidRPr="00515546" w14:paraId="653E02E3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612DE030" w14:textId="77777777" w:rsidR="004C4442" w:rsidRPr="00515546" w:rsidRDefault="004C4442" w:rsidP="00522C6C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Reviewed by: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37FE71F2" w14:textId="34C86094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Name: </w:t>
            </w:r>
            <w:r w:rsidR="0078400D">
              <w:rPr>
                <w:szCs w:val="22"/>
              </w:rPr>
              <w:t>Karen Forrest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376628F5" w14:textId="29DA5F27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Date: </w:t>
            </w:r>
            <w:r w:rsidR="0078400D">
              <w:rPr>
                <w:szCs w:val="22"/>
              </w:rPr>
              <w:t>16 November 2018</w:t>
            </w:r>
          </w:p>
        </w:tc>
      </w:tr>
      <w:tr w:rsidR="004C4442" w:rsidRPr="00515546" w14:paraId="74EEFFEC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1701AE09" w14:textId="77777777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b/>
                <w:szCs w:val="22"/>
              </w:rPr>
              <w:t>Version: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367E5481" w14:textId="77777777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b/>
                <w:szCs w:val="22"/>
              </w:rPr>
              <w:t>Change history: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277CAC69" w14:textId="77777777" w:rsidR="004C4442" w:rsidRPr="00515546" w:rsidRDefault="004C4442" w:rsidP="00522C6C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Review due date:</w:t>
            </w:r>
          </w:p>
        </w:tc>
      </w:tr>
      <w:tr w:rsidR="004C4442" w:rsidRPr="00515546" w14:paraId="561A0B65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0FDD0164" w14:textId="77777777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1.0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2C8B0829" w14:textId="77777777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New document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6CC4D486" w14:textId="2D2AA82C" w:rsidR="004C4442" w:rsidRPr="00515546" w:rsidRDefault="00E06FD6" w:rsidP="00522C6C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31 January 2021</w:t>
            </w:r>
          </w:p>
        </w:tc>
      </w:tr>
      <w:tr w:rsidR="00D74339" w:rsidRPr="00515546" w14:paraId="43A32A35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64F8D489" w14:textId="11D5F8E6" w:rsidR="00D74339" w:rsidRPr="00515546" w:rsidRDefault="00D74339" w:rsidP="00522C6C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1.1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38FE720C" w14:textId="28217554" w:rsidR="00D74339" w:rsidRPr="00515546" w:rsidRDefault="00D74339" w:rsidP="00522C6C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Executive summary added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146A0DE1" w14:textId="359BFB69" w:rsidR="00D74339" w:rsidRDefault="00D74339" w:rsidP="00522C6C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31 January 2021</w:t>
            </w:r>
          </w:p>
        </w:tc>
      </w:tr>
      <w:tr w:rsidR="005638D0" w:rsidRPr="00515546" w14:paraId="031A6EFE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4033FF21" w14:textId="77777777" w:rsidR="005638D0" w:rsidRPr="00515546" w:rsidRDefault="005638D0" w:rsidP="005638D0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Review Comments (</w:t>
            </w:r>
            <w:r w:rsidRPr="00515546">
              <w:rPr>
                <w:i/>
                <w:szCs w:val="22"/>
              </w:rPr>
              <w:t>if applicable)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25CF5BDF" w14:textId="77777777" w:rsidR="005638D0" w:rsidRPr="00515546" w:rsidRDefault="005638D0" w:rsidP="005638D0">
            <w:pPr>
              <w:spacing w:after="0"/>
              <w:rPr>
                <w:szCs w:val="22"/>
              </w:rPr>
            </w:pPr>
          </w:p>
        </w:tc>
        <w:tc>
          <w:tcPr>
            <w:tcW w:w="2869" w:type="dxa"/>
            <w:shd w:val="clear" w:color="auto" w:fill="auto"/>
            <w:vAlign w:val="bottom"/>
          </w:tcPr>
          <w:p w14:paraId="1F044D69" w14:textId="77777777" w:rsidR="005638D0" w:rsidRPr="00515546" w:rsidRDefault="005638D0" w:rsidP="005638D0">
            <w:pPr>
              <w:spacing w:after="0"/>
              <w:rPr>
                <w:b/>
                <w:szCs w:val="22"/>
              </w:rPr>
            </w:pPr>
          </w:p>
        </w:tc>
      </w:tr>
    </w:tbl>
    <w:p w14:paraId="2820C271" w14:textId="77777777" w:rsidR="00975A60" w:rsidRPr="00CC3CF5" w:rsidRDefault="00975A60" w:rsidP="00975A60">
      <w:pPr>
        <w:rPr>
          <w:szCs w:val="22"/>
        </w:rPr>
      </w:pPr>
    </w:p>
    <w:sectPr w:rsidR="00975A60" w:rsidRPr="00CC3CF5" w:rsidSect="00D13825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AF673" w14:textId="77777777" w:rsidR="00400864" w:rsidRDefault="00400864" w:rsidP="00975A60">
      <w:pPr>
        <w:spacing w:after="0"/>
      </w:pPr>
      <w:r>
        <w:separator/>
      </w:r>
    </w:p>
  </w:endnote>
  <w:endnote w:type="continuationSeparator" w:id="0">
    <w:p w14:paraId="77967099" w14:textId="77777777" w:rsidR="00400864" w:rsidRDefault="00400864" w:rsidP="00975A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2038F" w14:textId="77777777" w:rsidR="005D1877" w:rsidRDefault="005D1877" w:rsidP="00975A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1F5580" w14:textId="77777777" w:rsidR="005D1877" w:rsidRDefault="005D18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BD109" w14:textId="77777777" w:rsidR="005D1877" w:rsidRPr="003A02A5" w:rsidRDefault="005D1877" w:rsidP="00975A60">
    <w:pPr>
      <w:pStyle w:val="Footer"/>
      <w:jc w:val="center"/>
    </w:pPr>
    <w:r w:rsidRPr="003A02A5">
      <w:rPr>
        <w:rStyle w:val="PageNumber"/>
      </w:rPr>
      <w:t xml:space="preserve">Page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PAGE </w:instrText>
    </w:r>
    <w:r w:rsidRPr="003A02A5">
      <w:rPr>
        <w:rStyle w:val="PageNumber"/>
      </w:rPr>
      <w:fldChar w:fldCharType="separate"/>
    </w:r>
    <w:r w:rsidR="00C67021">
      <w:rPr>
        <w:rStyle w:val="PageNumber"/>
        <w:noProof/>
      </w:rPr>
      <w:t>1</w:t>
    </w:r>
    <w:r w:rsidRPr="003A02A5">
      <w:rPr>
        <w:rStyle w:val="PageNumber"/>
      </w:rPr>
      <w:fldChar w:fldCharType="end"/>
    </w:r>
    <w:r w:rsidRPr="003A02A5">
      <w:rPr>
        <w:rStyle w:val="PageNumber"/>
      </w:rPr>
      <w:t xml:space="preserve"> of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NUMPAGES </w:instrText>
    </w:r>
    <w:r w:rsidRPr="003A02A5">
      <w:rPr>
        <w:rStyle w:val="PageNumber"/>
      </w:rPr>
      <w:fldChar w:fldCharType="separate"/>
    </w:r>
    <w:r w:rsidR="00C67021">
      <w:rPr>
        <w:rStyle w:val="PageNumber"/>
        <w:noProof/>
      </w:rPr>
      <w:t>1</w:t>
    </w:r>
    <w:r w:rsidRPr="003A02A5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740F3" w14:textId="77777777" w:rsidR="00D13825" w:rsidRDefault="00D13825" w:rsidP="00D13825">
    <w:pPr>
      <w:pStyle w:val="Footer"/>
      <w:jc w:val="center"/>
    </w:pPr>
    <w:r w:rsidRPr="003A02A5">
      <w:rPr>
        <w:rStyle w:val="PageNumber"/>
      </w:rPr>
      <w:t xml:space="preserve">Page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PAGE </w:instrText>
    </w:r>
    <w:r w:rsidRPr="003A02A5">
      <w:rPr>
        <w:rStyle w:val="PageNumber"/>
      </w:rPr>
      <w:fldChar w:fldCharType="separate"/>
    </w:r>
    <w:r>
      <w:rPr>
        <w:rStyle w:val="PageNumber"/>
      </w:rPr>
      <w:t>2</w:t>
    </w:r>
    <w:r w:rsidRPr="003A02A5">
      <w:rPr>
        <w:rStyle w:val="PageNumber"/>
      </w:rPr>
      <w:fldChar w:fldCharType="end"/>
    </w:r>
    <w:r w:rsidRPr="003A02A5">
      <w:rPr>
        <w:rStyle w:val="PageNumber"/>
      </w:rPr>
      <w:t xml:space="preserve"> of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NUMPAGES </w:instrText>
    </w:r>
    <w:r w:rsidRPr="003A02A5">
      <w:rPr>
        <w:rStyle w:val="PageNumber"/>
      </w:rPr>
      <w:fldChar w:fldCharType="separate"/>
    </w:r>
    <w:r>
      <w:rPr>
        <w:rStyle w:val="PageNumber"/>
      </w:rPr>
      <w:t>2</w:t>
    </w:r>
    <w:r w:rsidRPr="003A02A5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E81474" w14:textId="77777777" w:rsidR="00400864" w:rsidRDefault="00400864" w:rsidP="00975A60">
      <w:pPr>
        <w:spacing w:after="0"/>
      </w:pPr>
      <w:r>
        <w:separator/>
      </w:r>
    </w:p>
  </w:footnote>
  <w:footnote w:type="continuationSeparator" w:id="0">
    <w:p w14:paraId="3E1DCBBD" w14:textId="77777777" w:rsidR="00400864" w:rsidRDefault="00400864" w:rsidP="00975A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EFADB" w14:textId="429D7BE1" w:rsidR="00D13825" w:rsidRPr="00F87812" w:rsidRDefault="00D13825" w:rsidP="00D13825">
    <w:pPr>
      <w:pStyle w:val="Header"/>
    </w:pPr>
    <w:r w:rsidRPr="00F87812">
      <w:t>Identification code: MeG-CLS-</w:t>
    </w:r>
    <w:r w:rsidR="00E06FD6">
      <w:t>061</w:t>
    </w:r>
    <w:r w:rsidRPr="00F87812">
      <w:tab/>
    </w:r>
  </w:p>
  <w:p w14:paraId="074A8E09" w14:textId="5D8A1A1F" w:rsidR="005D1877" w:rsidRPr="00D13825" w:rsidRDefault="00D13825" w:rsidP="00D13825">
    <w:pPr>
      <w:pStyle w:val="Header"/>
    </w:pPr>
    <w:r w:rsidRPr="00F87812">
      <w:t xml:space="preserve">Version: </w:t>
    </w:r>
    <w:r w:rsidRPr="00963D26">
      <w:t>1.</w:t>
    </w:r>
    <w:r w:rsidR="00D74339">
      <w:t>1</w:t>
    </w:r>
    <w:r w:rsidRPr="00963D26">
      <w:t xml:space="preserve"> – </w:t>
    </w:r>
    <w:r w:rsidR="00E06FD6">
      <w:t>31 January 2019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BA5DC" w14:textId="77777777" w:rsidR="00D13825" w:rsidRDefault="00D13825" w:rsidP="00D13825">
    <w:pPr>
      <w:pStyle w:val="Header"/>
      <w:ind w:firstLine="2880"/>
      <w:rPr>
        <w:rFonts w:cs="Arial"/>
        <w:b/>
      </w:rPr>
    </w:pPr>
    <w:r>
      <w:rPr>
        <w:rFonts w:cs="Arial"/>
        <w:b/>
        <w:noProof/>
      </w:rPr>
      <w:drawing>
        <wp:anchor distT="0" distB="0" distL="114300" distR="114300" simplePos="0" relativeHeight="251660288" behindDoc="1" locked="0" layoutInCell="1" allowOverlap="1" wp14:anchorId="4DB42FB2" wp14:editId="149697BF">
          <wp:simplePos x="0" y="0"/>
          <wp:positionH relativeFrom="margin">
            <wp:posOffset>-247650</wp:posOffset>
          </wp:positionH>
          <wp:positionV relativeFrom="paragraph">
            <wp:posOffset>-295275</wp:posOffset>
          </wp:positionV>
          <wp:extent cx="2253812" cy="8953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RC Logo 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3812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BC6A59D" w14:textId="77777777" w:rsidR="00D13825" w:rsidRDefault="00D13825" w:rsidP="00D13825">
    <w:pPr>
      <w:pStyle w:val="Header"/>
      <w:ind w:firstLine="2880"/>
      <w:rPr>
        <w:rFonts w:cs="Arial"/>
        <w:b/>
      </w:rPr>
    </w:pPr>
    <w:r w:rsidRPr="003C0800">
      <w:rPr>
        <w:rFonts w:cs="Arial"/>
        <w:b/>
      </w:rPr>
      <w:t>MRC</w:t>
    </w:r>
    <w:r>
      <w:rPr>
        <w:rFonts w:cs="Arial"/>
        <w:b/>
      </w:rPr>
      <w:t>G@LSHTM</w:t>
    </w:r>
    <w:r w:rsidRPr="003C0800">
      <w:rPr>
        <w:rFonts w:cs="Arial"/>
        <w:b/>
      </w:rPr>
      <w:t xml:space="preserve"> Clinical Guideline</w:t>
    </w:r>
  </w:p>
  <w:p w14:paraId="4ECC56D2" w14:textId="77777777" w:rsidR="00D13825" w:rsidRPr="003C0800" w:rsidRDefault="00D13825" w:rsidP="00D13825">
    <w:pPr>
      <w:pStyle w:val="Header"/>
      <w:ind w:firstLine="2880"/>
      <w:rPr>
        <w:rFonts w:cs="Arial"/>
        <w:b/>
      </w:rPr>
    </w:pPr>
  </w:p>
  <w:p w14:paraId="102B8784" w14:textId="2EA635DD" w:rsidR="00D13825" w:rsidRPr="00F87812" w:rsidRDefault="00D13825" w:rsidP="00D13825">
    <w:pPr>
      <w:pStyle w:val="Header"/>
    </w:pPr>
    <w:r w:rsidRPr="00F87812">
      <w:t>Identification code: MeG-CLS-</w:t>
    </w:r>
    <w:r w:rsidR="00963D26">
      <w:t>0</w:t>
    </w:r>
    <w:r w:rsidR="00E06FD6">
      <w:t>61</w:t>
    </w:r>
    <w:r w:rsidRPr="00F87812">
      <w:tab/>
    </w:r>
  </w:p>
  <w:p w14:paraId="70FA8288" w14:textId="1832AD45" w:rsidR="00D13825" w:rsidRPr="00F87812" w:rsidRDefault="00D13825" w:rsidP="00D13825">
    <w:pPr>
      <w:pStyle w:val="Header"/>
    </w:pPr>
    <w:r w:rsidRPr="00F87812">
      <w:t xml:space="preserve">Version: </w:t>
    </w:r>
    <w:r w:rsidRPr="00963D26">
      <w:t>1.</w:t>
    </w:r>
    <w:r w:rsidR="00D74339">
      <w:t>1</w:t>
    </w:r>
    <w:r w:rsidRPr="00963D26">
      <w:t xml:space="preserve"> – </w:t>
    </w:r>
    <w:r w:rsidR="00E06FD6">
      <w:t>31 January 2019</w:t>
    </w:r>
  </w:p>
  <w:p w14:paraId="556E825B" w14:textId="77777777" w:rsidR="00D13825" w:rsidRDefault="00D138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A24EA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7172C3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0353087"/>
    <w:multiLevelType w:val="hybridMultilevel"/>
    <w:tmpl w:val="B6AED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212AA"/>
    <w:multiLevelType w:val="hybridMultilevel"/>
    <w:tmpl w:val="F9B2D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52731"/>
    <w:multiLevelType w:val="hybridMultilevel"/>
    <w:tmpl w:val="7B2A73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720426"/>
    <w:multiLevelType w:val="hybridMultilevel"/>
    <w:tmpl w:val="BB984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2649F"/>
    <w:multiLevelType w:val="hybridMultilevel"/>
    <w:tmpl w:val="F6AA9C7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F63667"/>
    <w:multiLevelType w:val="hybridMultilevel"/>
    <w:tmpl w:val="875A1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E45AF"/>
    <w:multiLevelType w:val="hybridMultilevel"/>
    <w:tmpl w:val="3FAC0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E028B"/>
    <w:multiLevelType w:val="hybridMultilevel"/>
    <w:tmpl w:val="9EDA9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022F25"/>
    <w:multiLevelType w:val="hybridMultilevel"/>
    <w:tmpl w:val="CA9409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8B0916"/>
    <w:multiLevelType w:val="hybridMultilevel"/>
    <w:tmpl w:val="9A7AE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44FF"/>
    <w:multiLevelType w:val="hybridMultilevel"/>
    <w:tmpl w:val="407E8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E449C"/>
    <w:multiLevelType w:val="hybridMultilevel"/>
    <w:tmpl w:val="BF9C3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14630D"/>
    <w:multiLevelType w:val="hybridMultilevel"/>
    <w:tmpl w:val="75386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7E5A62"/>
    <w:multiLevelType w:val="hybridMultilevel"/>
    <w:tmpl w:val="51CEE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871E75"/>
    <w:multiLevelType w:val="hybridMultilevel"/>
    <w:tmpl w:val="6B1C6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94278C"/>
    <w:multiLevelType w:val="hybridMultilevel"/>
    <w:tmpl w:val="B3100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9B0CF2"/>
    <w:multiLevelType w:val="hybridMultilevel"/>
    <w:tmpl w:val="ADDE9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DC3936"/>
    <w:multiLevelType w:val="hybridMultilevel"/>
    <w:tmpl w:val="5FB8B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BC4387"/>
    <w:multiLevelType w:val="hybridMultilevel"/>
    <w:tmpl w:val="4CCE0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DE9384">
      <w:start w:val="1"/>
      <w:numFmt w:val="bullet"/>
      <w:lvlText w:val="o"/>
      <w:lvlJc w:val="left"/>
      <w:pPr>
        <w:ind w:left="1353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435A5B"/>
    <w:multiLevelType w:val="hybridMultilevel"/>
    <w:tmpl w:val="21B8E6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B0581A"/>
    <w:multiLevelType w:val="hybridMultilevel"/>
    <w:tmpl w:val="4C98E3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027BED"/>
    <w:multiLevelType w:val="hybridMultilevel"/>
    <w:tmpl w:val="13B09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6662A1"/>
    <w:multiLevelType w:val="hybridMultilevel"/>
    <w:tmpl w:val="EE6C4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764D9C"/>
    <w:multiLevelType w:val="hybridMultilevel"/>
    <w:tmpl w:val="5764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360F1F"/>
    <w:multiLevelType w:val="hybridMultilevel"/>
    <w:tmpl w:val="70B08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605712"/>
    <w:multiLevelType w:val="hybridMultilevel"/>
    <w:tmpl w:val="1DD25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FF43D4"/>
    <w:multiLevelType w:val="hybridMultilevel"/>
    <w:tmpl w:val="79B48C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6983098"/>
    <w:multiLevelType w:val="hybridMultilevel"/>
    <w:tmpl w:val="C55013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75E3ED5"/>
    <w:multiLevelType w:val="hybridMultilevel"/>
    <w:tmpl w:val="54801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E315E7"/>
    <w:multiLevelType w:val="hybridMultilevel"/>
    <w:tmpl w:val="0068E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3960E5"/>
    <w:multiLevelType w:val="hybridMultilevel"/>
    <w:tmpl w:val="EC4A85F6"/>
    <w:lvl w:ilvl="0" w:tplc="75B885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0A20B6"/>
    <w:multiLevelType w:val="hybridMultilevel"/>
    <w:tmpl w:val="2F3A4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4E3F2E"/>
    <w:multiLevelType w:val="hybridMultilevel"/>
    <w:tmpl w:val="021ADF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8402B0"/>
    <w:multiLevelType w:val="hybridMultilevel"/>
    <w:tmpl w:val="84A66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CA7371"/>
    <w:multiLevelType w:val="hybridMultilevel"/>
    <w:tmpl w:val="FCD88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5B5495"/>
    <w:multiLevelType w:val="hybridMultilevel"/>
    <w:tmpl w:val="2A789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6"/>
  </w:num>
  <w:num w:numId="3">
    <w:abstractNumId w:val="11"/>
  </w:num>
  <w:num w:numId="4">
    <w:abstractNumId w:val="1"/>
  </w:num>
  <w:num w:numId="5">
    <w:abstractNumId w:val="0"/>
  </w:num>
  <w:num w:numId="6">
    <w:abstractNumId w:val="4"/>
  </w:num>
  <w:num w:numId="7">
    <w:abstractNumId w:val="20"/>
  </w:num>
  <w:num w:numId="8">
    <w:abstractNumId w:val="2"/>
  </w:num>
  <w:num w:numId="9">
    <w:abstractNumId w:val="37"/>
  </w:num>
  <w:num w:numId="10">
    <w:abstractNumId w:val="3"/>
  </w:num>
  <w:num w:numId="11">
    <w:abstractNumId w:val="12"/>
  </w:num>
  <w:num w:numId="12">
    <w:abstractNumId w:val="25"/>
  </w:num>
  <w:num w:numId="13">
    <w:abstractNumId w:val="33"/>
  </w:num>
  <w:num w:numId="14">
    <w:abstractNumId w:val="28"/>
  </w:num>
  <w:num w:numId="15">
    <w:abstractNumId w:val="36"/>
  </w:num>
  <w:num w:numId="16">
    <w:abstractNumId w:val="14"/>
  </w:num>
  <w:num w:numId="17">
    <w:abstractNumId w:val="7"/>
  </w:num>
  <w:num w:numId="18">
    <w:abstractNumId w:val="29"/>
  </w:num>
  <w:num w:numId="19">
    <w:abstractNumId w:val="16"/>
  </w:num>
  <w:num w:numId="20">
    <w:abstractNumId w:val="35"/>
  </w:num>
  <w:num w:numId="21">
    <w:abstractNumId w:val="18"/>
  </w:num>
  <w:num w:numId="22">
    <w:abstractNumId w:val="10"/>
  </w:num>
  <w:num w:numId="23">
    <w:abstractNumId w:val="24"/>
  </w:num>
  <w:num w:numId="24">
    <w:abstractNumId w:val="27"/>
  </w:num>
  <w:num w:numId="25">
    <w:abstractNumId w:val="34"/>
  </w:num>
  <w:num w:numId="26">
    <w:abstractNumId w:val="13"/>
  </w:num>
  <w:num w:numId="27">
    <w:abstractNumId w:val="22"/>
  </w:num>
  <w:num w:numId="28">
    <w:abstractNumId w:val="31"/>
  </w:num>
  <w:num w:numId="29">
    <w:abstractNumId w:val="6"/>
  </w:num>
  <w:num w:numId="30">
    <w:abstractNumId w:val="5"/>
  </w:num>
  <w:num w:numId="31">
    <w:abstractNumId w:val="32"/>
  </w:num>
  <w:num w:numId="32">
    <w:abstractNumId w:val="19"/>
  </w:num>
  <w:num w:numId="33">
    <w:abstractNumId w:val="30"/>
  </w:num>
  <w:num w:numId="34">
    <w:abstractNumId w:val="15"/>
  </w:num>
  <w:num w:numId="35">
    <w:abstractNumId w:val="23"/>
  </w:num>
  <w:num w:numId="36">
    <w:abstractNumId w:val="9"/>
  </w:num>
  <w:num w:numId="37">
    <w:abstractNumId w:val="8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yMrM0M7E0MLcwsrBQ0lEKTi0uzszPAykwrAUAco1VkCwAAAA="/>
  </w:docVars>
  <w:rsids>
    <w:rsidRoot w:val="00092764"/>
    <w:rsid w:val="000039D9"/>
    <w:rsid w:val="00053A89"/>
    <w:rsid w:val="0007147C"/>
    <w:rsid w:val="00081642"/>
    <w:rsid w:val="00092764"/>
    <w:rsid w:val="000A33BC"/>
    <w:rsid w:val="000D0FD3"/>
    <w:rsid w:val="00114AAF"/>
    <w:rsid w:val="001203AE"/>
    <w:rsid w:val="00153886"/>
    <w:rsid w:val="00175153"/>
    <w:rsid w:val="00184493"/>
    <w:rsid w:val="001C1450"/>
    <w:rsid w:val="001C2D3B"/>
    <w:rsid w:val="001D6D93"/>
    <w:rsid w:val="00223177"/>
    <w:rsid w:val="00223920"/>
    <w:rsid w:val="00252A11"/>
    <w:rsid w:val="00252AC9"/>
    <w:rsid w:val="0029357D"/>
    <w:rsid w:val="002A2856"/>
    <w:rsid w:val="003020A2"/>
    <w:rsid w:val="003038D3"/>
    <w:rsid w:val="003225CD"/>
    <w:rsid w:val="00350AC1"/>
    <w:rsid w:val="00381B68"/>
    <w:rsid w:val="003A1041"/>
    <w:rsid w:val="003C0800"/>
    <w:rsid w:val="003E22B7"/>
    <w:rsid w:val="003F70CA"/>
    <w:rsid w:val="00400864"/>
    <w:rsid w:val="00412AED"/>
    <w:rsid w:val="00430A24"/>
    <w:rsid w:val="00463BAC"/>
    <w:rsid w:val="004A25F0"/>
    <w:rsid w:val="004A4C93"/>
    <w:rsid w:val="004C4442"/>
    <w:rsid w:val="004F115D"/>
    <w:rsid w:val="005151D8"/>
    <w:rsid w:val="00515546"/>
    <w:rsid w:val="005200D6"/>
    <w:rsid w:val="005638D0"/>
    <w:rsid w:val="00567DCC"/>
    <w:rsid w:val="00584549"/>
    <w:rsid w:val="00587E8D"/>
    <w:rsid w:val="005961C6"/>
    <w:rsid w:val="005C315B"/>
    <w:rsid w:val="005D1877"/>
    <w:rsid w:val="00613F5A"/>
    <w:rsid w:val="00623676"/>
    <w:rsid w:val="00633320"/>
    <w:rsid w:val="0065167C"/>
    <w:rsid w:val="00654C40"/>
    <w:rsid w:val="007067BE"/>
    <w:rsid w:val="007363ED"/>
    <w:rsid w:val="0078400D"/>
    <w:rsid w:val="007B26B1"/>
    <w:rsid w:val="007D7BBC"/>
    <w:rsid w:val="007F635C"/>
    <w:rsid w:val="00857027"/>
    <w:rsid w:val="009165E9"/>
    <w:rsid w:val="009325A7"/>
    <w:rsid w:val="00954B70"/>
    <w:rsid w:val="00963D26"/>
    <w:rsid w:val="00975A60"/>
    <w:rsid w:val="00980E06"/>
    <w:rsid w:val="00984816"/>
    <w:rsid w:val="009956F9"/>
    <w:rsid w:val="009B44BE"/>
    <w:rsid w:val="009F5B1B"/>
    <w:rsid w:val="00A312D8"/>
    <w:rsid w:val="00A41080"/>
    <w:rsid w:val="00A725A2"/>
    <w:rsid w:val="00AA60AB"/>
    <w:rsid w:val="00AD7921"/>
    <w:rsid w:val="00AF36BD"/>
    <w:rsid w:val="00B02916"/>
    <w:rsid w:val="00B31AC4"/>
    <w:rsid w:val="00B844E8"/>
    <w:rsid w:val="00BD08AB"/>
    <w:rsid w:val="00C028F6"/>
    <w:rsid w:val="00C67021"/>
    <w:rsid w:val="00CC06F0"/>
    <w:rsid w:val="00CC3CF5"/>
    <w:rsid w:val="00CD4A1D"/>
    <w:rsid w:val="00CE3518"/>
    <w:rsid w:val="00D03AB2"/>
    <w:rsid w:val="00D13825"/>
    <w:rsid w:val="00D74339"/>
    <w:rsid w:val="00D935F1"/>
    <w:rsid w:val="00D97F13"/>
    <w:rsid w:val="00DA20ED"/>
    <w:rsid w:val="00DC128C"/>
    <w:rsid w:val="00DC1CC5"/>
    <w:rsid w:val="00DC590C"/>
    <w:rsid w:val="00DD7FE7"/>
    <w:rsid w:val="00DE3D6D"/>
    <w:rsid w:val="00DF345F"/>
    <w:rsid w:val="00E06FD6"/>
    <w:rsid w:val="00E162DA"/>
    <w:rsid w:val="00E518C0"/>
    <w:rsid w:val="00E7401D"/>
    <w:rsid w:val="00E75FF1"/>
    <w:rsid w:val="00F03F25"/>
    <w:rsid w:val="00F40142"/>
    <w:rsid w:val="00F4363F"/>
    <w:rsid w:val="00F44860"/>
    <w:rsid w:val="00F53968"/>
    <w:rsid w:val="00F5481C"/>
    <w:rsid w:val="00F71F11"/>
    <w:rsid w:val="00FF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C2E27CC"/>
  <w15:docId w15:val="{7A567783-272D-4990-AADE-E83BE0AC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MS Mincho" w:hAnsi="Tahoma" w:cs="Arial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1F11"/>
    <w:pPr>
      <w:spacing w:after="120"/>
      <w:outlineLvl w:val="0"/>
    </w:pPr>
    <w:rPr>
      <w:rFonts w:ascii="Arial" w:hAnsi="Arial"/>
      <w:sz w:val="22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F11"/>
    <w:pPr>
      <w:spacing w:after="360"/>
    </w:pPr>
    <w:rPr>
      <w:rFonts w:cs="Times New Roman"/>
      <w:b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F11"/>
    <w:pPr>
      <w:spacing w:before="120" w:after="240"/>
      <w:outlineLvl w:val="1"/>
    </w:pPr>
    <w:rPr>
      <w:rFonts w:cs="Times New Roman"/>
      <w:b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rsid w:val="00F71F11"/>
    <w:pPr>
      <w:spacing w:before="120" w:after="180"/>
      <w:outlineLvl w:val="2"/>
    </w:pPr>
    <w:rPr>
      <w:rFonts w:eastAsia="Times New Roman" w:cs="Times New Roman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rsid w:val="001203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71F11"/>
    <w:rPr>
      <w:rFonts w:ascii="Arial" w:hAnsi="Arial" w:cs="Times New Roman"/>
      <w:b/>
      <w:sz w:val="28"/>
      <w:szCs w:val="36"/>
      <w:lang w:val="en-US"/>
    </w:rPr>
  </w:style>
  <w:style w:type="character" w:customStyle="1" w:styleId="Heading2Char">
    <w:name w:val="Heading 2 Char"/>
    <w:link w:val="Heading2"/>
    <w:uiPriority w:val="9"/>
    <w:rsid w:val="00F71F11"/>
    <w:rPr>
      <w:rFonts w:ascii="Arial" w:hAnsi="Arial" w:cs="Times New Roman"/>
      <w:b/>
      <w:sz w:val="24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FB1"/>
    <w:rPr>
      <w:rFonts w:ascii="Lucida Grande" w:hAnsi="Lucida Grande" w:cs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F2FB1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F71F11"/>
    <w:rPr>
      <w:rFonts w:ascii="Arial" w:eastAsia="Times New Roman" w:hAnsi="Arial" w:cs="Times New Roman"/>
      <w:b/>
      <w:bCs/>
      <w:sz w:val="22"/>
      <w:szCs w:val="26"/>
      <w:u w:val="single"/>
      <w:lang w:val="en-US"/>
    </w:rPr>
  </w:style>
  <w:style w:type="table" w:styleId="TableGrid">
    <w:name w:val="Table Grid"/>
    <w:basedOn w:val="TableNormal"/>
    <w:uiPriority w:val="59"/>
    <w:rsid w:val="009D48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483C"/>
    <w:pPr>
      <w:tabs>
        <w:tab w:val="center" w:pos="4320"/>
        <w:tab w:val="right" w:pos="8640"/>
      </w:tabs>
      <w:spacing w:after="0"/>
    </w:pPr>
    <w:rPr>
      <w:rFonts w:cs="Times New Roman"/>
      <w:sz w:val="20"/>
      <w:szCs w:val="20"/>
    </w:rPr>
  </w:style>
  <w:style w:type="character" w:customStyle="1" w:styleId="HeaderChar">
    <w:name w:val="Header Char"/>
    <w:link w:val="Header"/>
    <w:uiPriority w:val="99"/>
    <w:rsid w:val="009D483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D483C"/>
    <w:pPr>
      <w:tabs>
        <w:tab w:val="center" w:pos="4320"/>
        <w:tab w:val="right" w:pos="8640"/>
      </w:tabs>
      <w:spacing w:after="0"/>
    </w:pPr>
    <w:rPr>
      <w:rFonts w:cs="Times New Roman"/>
      <w:sz w:val="20"/>
      <w:szCs w:val="20"/>
    </w:rPr>
  </w:style>
  <w:style w:type="character" w:customStyle="1" w:styleId="FooterChar">
    <w:name w:val="Footer Char"/>
    <w:link w:val="Footer"/>
    <w:uiPriority w:val="99"/>
    <w:rsid w:val="009D483C"/>
    <w:rPr>
      <w:lang w:val="en-US"/>
    </w:rPr>
  </w:style>
  <w:style w:type="character" w:styleId="PageNumber">
    <w:name w:val="page number"/>
    <w:uiPriority w:val="99"/>
    <w:semiHidden/>
    <w:unhideWhenUsed/>
    <w:rsid w:val="009D483C"/>
  </w:style>
  <w:style w:type="paragraph" w:styleId="ListParagraph">
    <w:name w:val="List Paragraph"/>
    <w:basedOn w:val="Normal"/>
    <w:rsid w:val="009956F9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F71F11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71F11"/>
    <w:rPr>
      <w:rFonts w:ascii="Arial" w:hAnsi="Arial"/>
      <w:sz w:val="22"/>
      <w:szCs w:val="16"/>
      <w:lang w:val="en-US"/>
    </w:rPr>
  </w:style>
  <w:style w:type="character" w:customStyle="1" w:styleId="Heading4Char">
    <w:name w:val="Heading 4 Char"/>
    <w:basedOn w:val="DefaultParagraphFont"/>
    <w:link w:val="Heading4"/>
    <w:rsid w:val="001203AE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  <w:lang w:val="en-US"/>
    </w:rPr>
  </w:style>
  <w:style w:type="character" w:styleId="Hyperlink">
    <w:name w:val="Hyperlink"/>
    <w:basedOn w:val="DefaultParagraphFont"/>
    <w:rsid w:val="001203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rsid w:val="001203A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semiHidden/>
    <w:unhideWhenUsed/>
    <w:rsid w:val="000D0FD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D0F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D0FD3"/>
    <w:rPr>
      <w:rFonts w:ascii="Arial" w:hAnsi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D0F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D0FD3"/>
    <w:rPr>
      <w:rFonts w:ascii="Arial" w:hAnsi="Arial"/>
      <w:b/>
      <w:bCs/>
      <w:lang w:val="en-US"/>
    </w:rPr>
  </w:style>
  <w:style w:type="paragraph" w:styleId="Revision">
    <w:name w:val="Revision"/>
    <w:hidden/>
    <w:semiHidden/>
    <w:rsid w:val="00C028F6"/>
    <w:rPr>
      <w:rFonts w:ascii="Arial" w:hAnsi="Arial"/>
      <w:sz w:val="22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agboghoroma\Documents\Creating%20New%20CSD%20guidelines\Clinical%20guideline%20template%20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Clinical guideline template 2018</Template>
  <TotalTime>19</TotalTime>
  <Pages>4</Pages>
  <Words>918</Words>
  <Characters>5238</Characters>
  <Application>Microsoft Office Word</Application>
  <DocSecurity>2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</Company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Agboghoroma Orighomisan</dc:creator>
  <cp:keywords/>
  <dc:description/>
  <cp:lastModifiedBy>Karen Forrest</cp:lastModifiedBy>
  <cp:revision>19</cp:revision>
  <cp:lastPrinted>2019-05-13T13:18:00Z</cp:lastPrinted>
  <dcterms:created xsi:type="dcterms:W3CDTF">2018-11-19T09:30:00Z</dcterms:created>
  <dcterms:modified xsi:type="dcterms:W3CDTF">2019-05-13T13:18:00Z</dcterms:modified>
</cp:coreProperties>
</file>