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4FFD0" w14:textId="77777777" w:rsidR="003834E9" w:rsidRPr="003C0800" w:rsidRDefault="003834E9" w:rsidP="003834E9">
      <w:pPr>
        <w:pStyle w:val="Heading1"/>
        <w:jc w:val="both"/>
        <w:rPr>
          <w:rFonts w:cs="Arial"/>
          <w:szCs w:val="22"/>
        </w:rPr>
      </w:pPr>
      <w:bookmarkStart w:id="0" w:name="_GoBack"/>
      <w:bookmarkEnd w:id="0"/>
      <w:r>
        <w:rPr>
          <w:rFonts w:cs="Arial"/>
          <w:szCs w:val="22"/>
        </w:rPr>
        <w:t>Otitis media</w:t>
      </w:r>
    </w:p>
    <w:p w14:paraId="558E02BE" w14:textId="77777777" w:rsidR="00584E1E" w:rsidRPr="00F94418" w:rsidRDefault="00584E1E" w:rsidP="00584E1E">
      <w:pPr>
        <w:pStyle w:val="Heading2"/>
        <w:rPr>
          <w:rFonts w:cs="Arial"/>
          <w:i/>
          <w:szCs w:val="22"/>
        </w:rPr>
      </w:pPr>
      <w:r w:rsidRPr="00F94418">
        <w:rPr>
          <w:rFonts w:cs="Arial"/>
          <w:i/>
          <w:szCs w:val="22"/>
        </w:rPr>
        <w:t>Executive summary</w:t>
      </w:r>
    </w:p>
    <w:p w14:paraId="440C254A" w14:textId="77777777" w:rsidR="00584E1E" w:rsidRDefault="00584E1E" w:rsidP="00584E1E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Introduction</w:t>
      </w:r>
    </w:p>
    <w:p w14:paraId="20AE676C" w14:textId="2B6EA335" w:rsidR="003834E9" w:rsidRDefault="003834E9" w:rsidP="003834E9">
      <w:pPr>
        <w:pStyle w:val="Heading2"/>
        <w:rPr>
          <w:rFonts w:cs="Arial"/>
          <w:b w:val="0"/>
          <w:sz w:val="22"/>
          <w:szCs w:val="22"/>
        </w:rPr>
      </w:pPr>
      <w:r w:rsidRPr="008F62C6">
        <w:rPr>
          <w:rFonts w:cs="Arial"/>
          <w:b w:val="0"/>
          <w:sz w:val="22"/>
          <w:szCs w:val="22"/>
        </w:rPr>
        <w:t>Acute</w:t>
      </w:r>
      <w:r>
        <w:rPr>
          <w:rFonts w:cs="Arial"/>
          <w:b w:val="0"/>
          <w:sz w:val="22"/>
          <w:szCs w:val="22"/>
        </w:rPr>
        <w:t xml:space="preserve"> </w:t>
      </w:r>
      <w:r w:rsidRPr="008F62C6">
        <w:rPr>
          <w:rFonts w:cs="Arial"/>
          <w:b w:val="0"/>
          <w:sz w:val="22"/>
          <w:szCs w:val="22"/>
        </w:rPr>
        <w:t>otitis media</w:t>
      </w:r>
      <w:r w:rsidR="00FD79C6">
        <w:rPr>
          <w:rFonts w:cs="Arial"/>
          <w:b w:val="0"/>
          <w:sz w:val="22"/>
          <w:szCs w:val="22"/>
        </w:rPr>
        <w:t xml:space="preserve"> (AOM)</w:t>
      </w:r>
      <w:r>
        <w:rPr>
          <w:rFonts w:cs="Arial"/>
          <w:b w:val="0"/>
          <w:sz w:val="22"/>
          <w:szCs w:val="22"/>
        </w:rPr>
        <w:t xml:space="preserve"> </w:t>
      </w:r>
      <w:r w:rsidRPr="008F62C6">
        <w:rPr>
          <w:rFonts w:cs="Arial"/>
          <w:b w:val="0"/>
          <w:sz w:val="22"/>
          <w:szCs w:val="22"/>
        </w:rPr>
        <w:t>is a self-limiting infection of the middle</w:t>
      </w:r>
      <w:r>
        <w:rPr>
          <w:rFonts w:cs="Arial"/>
          <w:b w:val="0"/>
          <w:sz w:val="22"/>
          <w:szCs w:val="22"/>
        </w:rPr>
        <w:t xml:space="preserve"> ear mainly affecting children. </w:t>
      </w:r>
      <w:r w:rsidRPr="008F62C6">
        <w:rPr>
          <w:rFonts w:cs="Arial"/>
          <w:b w:val="0"/>
          <w:sz w:val="22"/>
          <w:szCs w:val="22"/>
        </w:rPr>
        <w:t>It</w:t>
      </w:r>
      <w:r>
        <w:rPr>
          <w:rFonts w:cs="Arial"/>
          <w:b w:val="0"/>
          <w:sz w:val="22"/>
          <w:szCs w:val="22"/>
        </w:rPr>
        <w:t xml:space="preserve"> </w:t>
      </w:r>
      <w:r w:rsidRPr="008F62C6">
        <w:rPr>
          <w:rFonts w:cs="Arial"/>
          <w:b w:val="0"/>
          <w:sz w:val="22"/>
          <w:szCs w:val="22"/>
        </w:rPr>
        <w:t xml:space="preserve">can be caused by viruses and bacteria, and both are </w:t>
      </w:r>
      <w:r>
        <w:rPr>
          <w:rFonts w:cs="Arial"/>
          <w:b w:val="0"/>
          <w:sz w:val="22"/>
          <w:szCs w:val="22"/>
        </w:rPr>
        <w:t xml:space="preserve">often present at the same time. </w:t>
      </w:r>
      <w:r w:rsidRPr="008F62C6">
        <w:rPr>
          <w:rFonts w:cs="Arial"/>
          <w:b w:val="0"/>
          <w:sz w:val="22"/>
          <w:szCs w:val="22"/>
        </w:rPr>
        <w:t>Symptoms last for</w:t>
      </w:r>
      <w:r>
        <w:rPr>
          <w:rFonts w:cs="Arial"/>
          <w:b w:val="0"/>
          <w:sz w:val="22"/>
          <w:szCs w:val="22"/>
        </w:rPr>
        <w:t xml:space="preserve"> </w:t>
      </w:r>
      <w:r w:rsidRPr="008F62C6">
        <w:rPr>
          <w:rFonts w:cs="Arial"/>
          <w:b w:val="0"/>
          <w:sz w:val="22"/>
          <w:szCs w:val="22"/>
        </w:rPr>
        <w:t>about 3</w:t>
      </w:r>
      <w:r>
        <w:rPr>
          <w:rFonts w:cs="Arial"/>
          <w:b w:val="0"/>
          <w:sz w:val="22"/>
          <w:szCs w:val="22"/>
        </w:rPr>
        <w:t xml:space="preserve"> </w:t>
      </w:r>
      <w:r w:rsidRPr="008F62C6">
        <w:rPr>
          <w:rFonts w:cs="Arial"/>
          <w:b w:val="0"/>
          <w:sz w:val="22"/>
          <w:szCs w:val="22"/>
        </w:rPr>
        <w:t>days, but can last for</w:t>
      </w:r>
      <w:r>
        <w:rPr>
          <w:rFonts w:cs="Arial"/>
          <w:b w:val="0"/>
          <w:sz w:val="22"/>
          <w:szCs w:val="22"/>
        </w:rPr>
        <w:t xml:space="preserve"> </w:t>
      </w:r>
      <w:r w:rsidRPr="008F62C6">
        <w:rPr>
          <w:rFonts w:cs="Arial"/>
          <w:b w:val="0"/>
          <w:sz w:val="22"/>
          <w:szCs w:val="22"/>
        </w:rPr>
        <w:t>up to 7 or 8–most children</w:t>
      </w:r>
      <w:r>
        <w:rPr>
          <w:rFonts w:cs="Arial"/>
          <w:b w:val="0"/>
          <w:sz w:val="22"/>
          <w:szCs w:val="22"/>
        </w:rPr>
        <w:t xml:space="preserve"> </w:t>
      </w:r>
      <w:r w:rsidRPr="008F62C6">
        <w:rPr>
          <w:rFonts w:cs="Arial"/>
          <w:b w:val="0"/>
          <w:sz w:val="22"/>
          <w:szCs w:val="22"/>
        </w:rPr>
        <w:t>get better within 3</w:t>
      </w:r>
      <w:r>
        <w:rPr>
          <w:rFonts w:cs="Arial"/>
          <w:b w:val="0"/>
          <w:sz w:val="22"/>
          <w:szCs w:val="22"/>
        </w:rPr>
        <w:t xml:space="preserve"> </w:t>
      </w:r>
      <w:r w:rsidRPr="008F62C6">
        <w:rPr>
          <w:rFonts w:cs="Arial"/>
          <w:b w:val="0"/>
          <w:sz w:val="22"/>
          <w:szCs w:val="22"/>
        </w:rPr>
        <w:t>days</w:t>
      </w:r>
      <w:r>
        <w:rPr>
          <w:rFonts w:cs="Arial"/>
          <w:b w:val="0"/>
          <w:sz w:val="22"/>
          <w:szCs w:val="22"/>
        </w:rPr>
        <w:t xml:space="preserve"> without antibiotics. </w:t>
      </w:r>
      <w:r w:rsidRPr="008F62C6">
        <w:rPr>
          <w:rFonts w:cs="Arial"/>
          <w:b w:val="0"/>
          <w:sz w:val="22"/>
          <w:szCs w:val="22"/>
        </w:rPr>
        <w:t>Antibiotics</w:t>
      </w:r>
      <w:r>
        <w:rPr>
          <w:rFonts w:cs="Arial"/>
          <w:b w:val="0"/>
          <w:sz w:val="22"/>
          <w:szCs w:val="22"/>
        </w:rPr>
        <w:t xml:space="preserve"> </w:t>
      </w:r>
      <w:r w:rsidRPr="008F62C6">
        <w:rPr>
          <w:rFonts w:cs="Arial"/>
          <w:b w:val="0"/>
          <w:sz w:val="22"/>
          <w:szCs w:val="22"/>
        </w:rPr>
        <w:t>make little difference to the rates of common complications, such as hearing loss (which is usually temporary), perforated eardrum</w:t>
      </w:r>
      <w:r>
        <w:rPr>
          <w:rFonts w:cs="Arial"/>
          <w:b w:val="0"/>
          <w:sz w:val="22"/>
          <w:szCs w:val="22"/>
        </w:rPr>
        <w:t xml:space="preserve"> </w:t>
      </w:r>
      <w:r w:rsidRPr="008F62C6">
        <w:rPr>
          <w:rFonts w:cs="Arial"/>
          <w:b w:val="0"/>
          <w:sz w:val="22"/>
          <w:szCs w:val="22"/>
        </w:rPr>
        <w:t>and</w:t>
      </w:r>
      <w:r>
        <w:rPr>
          <w:rFonts w:cs="Arial"/>
          <w:b w:val="0"/>
          <w:sz w:val="22"/>
          <w:szCs w:val="22"/>
        </w:rPr>
        <w:t xml:space="preserve"> recurring Infection. </w:t>
      </w:r>
      <w:r w:rsidRPr="008F62C6">
        <w:rPr>
          <w:rFonts w:cs="Arial"/>
          <w:b w:val="0"/>
          <w:sz w:val="22"/>
          <w:szCs w:val="22"/>
        </w:rPr>
        <w:t>Acute otitis media is uncommon</w:t>
      </w:r>
      <w:r>
        <w:rPr>
          <w:rFonts w:cs="Arial"/>
          <w:b w:val="0"/>
          <w:sz w:val="22"/>
          <w:szCs w:val="22"/>
        </w:rPr>
        <w:t xml:space="preserve"> </w:t>
      </w:r>
      <w:r w:rsidRPr="008F62C6">
        <w:rPr>
          <w:rFonts w:cs="Arial"/>
          <w:b w:val="0"/>
          <w:sz w:val="22"/>
          <w:szCs w:val="22"/>
        </w:rPr>
        <w:t>in adults</w:t>
      </w:r>
      <w:r>
        <w:rPr>
          <w:rFonts w:cs="Arial"/>
          <w:b w:val="0"/>
          <w:sz w:val="22"/>
          <w:szCs w:val="22"/>
        </w:rPr>
        <w:t>.</w:t>
      </w:r>
    </w:p>
    <w:p w14:paraId="20FF61CD" w14:textId="5942213E" w:rsidR="00584E1E" w:rsidRPr="003834E9" w:rsidRDefault="003834E9" w:rsidP="003834E9">
      <w:r w:rsidRPr="00CC5638">
        <w:t xml:space="preserve">A particular subtype of AOM is acute suppurative </w:t>
      </w:r>
      <w:r w:rsidR="003114BC">
        <w:t>otitis media (</w:t>
      </w:r>
      <w:r w:rsidRPr="00CC5638">
        <w:t>OM</w:t>
      </w:r>
      <w:r w:rsidR="003114BC">
        <w:t>)</w:t>
      </w:r>
      <w:r w:rsidRPr="00CC5638">
        <w:t>, which is characterized by the presence of pus in the middle ear. If the ear drum perforates then ear</w:t>
      </w:r>
      <w:r>
        <w:t xml:space="preserve"> discharge will be present. T</w:t>
      </w:r>
      <w:r w:rsidRPr="00CC5638">
        <w:t>he perforation usually heals spontaneously.</w:t>
      </w:r>
    </w:p>
    <w:p w14:paraId="0057A7C1" w14:textId="77777777" w:rsidR="00584E1E" w:rsidRDefault="00584E1E" w:rsidP="00504405">
      <w:pPr>
        <w:pStyle w:val="Heading2"/>
        <w:rPr>
          <w:bCs/>
        </w:rPr>
      </w:pPr>
      <w:r w:rsidRPr="00612AEE">
        <w:t xml:space="preserve">Target </w:t>
      </w:r>
      <w:r>
        <w:t>u</w:t>
      </w:r>
      <w:r w:rsidRPr="00612AEE">
        <w:t>ser</w:t>
      </w:r>
      <w:r>
        <w:t>s</w:t>
      </w:r>
    </w:p>
    <w:p w14:paraId="3DCB4605" w14:textId="423D91A4" w:rsidR="00584E1E" w:rsidRDefault="003834E9" w:rsidP="00584E1E">
      <w:pPr>
        <w:pStyle w:val="ListParagraph"/>
        <w:numPr>
          <w:ilvl w:val="0"/>
          <w:numId w:val="29"/>
        </w:numPr>
      </w:pPr>
      <w:r>
        <w:t>Doctors</w:t>
      </w:r>
    </w:p>
    <w:p w14:paraId="3A49FC6B" w14:textId="5A037C03" w:rsidR="00584E1E" w:rsidRPr="00584E1E" w:rsidRDefault="003834E9" w:rsidP="00584E1E">
      <w:pPr>
        <w:pStyle w:val="ListParagraph"/>
        <w:numPr>
          <w:ilvl w:val="0"/>
          <w:numId w:val="29"/>
        </w:numPr>
      </w:pPr>
      <w:r>
        <w:t>Nurses</w:t>
      </w:r>
    </w:p>
    <w:p w14:paraId="43656B7D" w14:textId="77777777" w:rsidR="00584E1E" w:rsidRDefault="00584E1E" w:rsidP="00504405">
      <w:pPr>
        <w:pStyle w:val="Heading2"/>
        <w:rPr>
          <w:bCs/>
        </w:rPr>
      </w:pPr>
      <w:r w:rsidRPr="00612AEE">
        <w:t xml:space="preserve">Target area of use </w:t>
      </w:r>
    </w:p>
    <w:p w14:paraId="24D9735A" w14:textId="059FE9E3" w:rsidR="00584E1E" w:rsidRDefault="003834E9" w:rsidP="00584E1E">
      <w:pPr>
        <w:pStyle w:val="ListParagraph"/>
        <w:numPr>
          <w:ilvl w:val="0"/>
          <w:numId w:val="29"/>
        </w:numPr>
      </w:pPr>
      <w:r>
        <w:t>Gate clinic</w:t>
      </w:r>
    </w:p>
    <w:p w14:paraId="452B0E79" w14:textId="6F8B8370" w:rsidR="00584E1E" w:rsidRDefault="003834E9" w:rsidP="00584E1E">
      <w:pPr>
        <w:pStyle w:val="ListParagraph"/>
        <w:numPr>
          <w:ilvl w:val="0"/>
          <w:numId w:val="29"/>
        </w:numPr>
      </w:pPr>
      <w:r>
        <w:t>Outpatient department</w:t>
      </w:r>
    </w:p>
    <w:p w14:paraId="408FEA5C" w14:textId="2977E900" w:rsidR="003834E9" w:rsidRPr="00584E1E" w:rsidRDefault="003834E9" w:rsidP="00584E1E">
      <w:pPr>
        <w:pStyle w:val="ListParagraph"/>
        <w:numPr>
          <w:ilvl w:val="0"/>
          <w:numId w:val="29"/>
        </w:numPr>
      </w:pPr>
      <w:r>
        <w:t>Ward</w:t>
      </w:r>
    </w:p>
    <w:p w14:paraId="1FD71C70" w14:textId="77777777" w:rsidR="00584E1E" w:rsidRDefault="00584E1E" w:rsidP="00504405">
      <w:pPr>
        <w:pStyle w:val="Heading2"/>
        <w:rPr>
          <w:bCs/>
        </w:rPr>
      </w:pPr>
      <w:r>
        <w:t xml:space="preserve">Key areas of focus / </w:t>
      </w:r>
      <w:r w:rsidRPr="00612AEE">
        <w:t xml:space="preserve">New additions / </w:t>
      </w:r>
      <w:r>
        <w:t>C</w:t>
      </w:r>
      <w:r w:rsidRPr="00612AEE">
        <w:t xml:space="preserve">hanges </w:t>
      </w:r>
    </w:p>
    <w:p w14:paraId="1A6ABE6B" w14:textId="21165E84" w:rsidR="00584E1E" w:rsidRPr="00584E1E" w:rsidRDefault="003834E9" w:rsidP="00504405">
      <w:pPr>
        <w:rPr>
          <w:b/>
        </w:rPr>
      </w:pPr>
      <w:r>
        <w:t xml:space="preserve">This guideline addresses recognition and treatment of otitis media. </w:t>
      </w:r>
    </w:p>
    <w:p w14:paraId="0C17DE86" w14:textId="77777777" w:rsidR="00584E1E" w:rsidRDefault="00584E1E" w:rsidP="00504405">
      <w:pPr>
        <w:pStyle w:val="Heading2"/>
      </w:pPr>
      <w:r w:rsidRPr="00504405">
        <w:t>Limitations</w:t>
      </w:r>
    </w:p>
    <w:p w14:paraId="0AC07162" w14:textId="4C410A3D" w:rsidR="00584E1E" w:rsidRPr="00504405" w:rsidRDefault="003834E9" w:rsidP="00584E1E">
      <w:pPr>
        <w:rPr>
          <w:b/>
        </w:rPr>
      </w:pPr>
      <w:r>
        <w:t>None</w:t>
      </w:r>
    </w:p>
    <w:p w14:paraId="13CA60A5" w14:textId="77777777" w:rsidR="00584E1E" w:rsidRDefault="00584E1E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7D2004DE" w14:textId="77777777" w:rsidR="003834E9" w:rsidRDefault="003834E9" w:rsidP="003834E9">
      <w:pPr>
        <w:pStyle w:val="Heading2"/>
        <w:jc w:val="both"/>
        <w:rPr>
          <w:rFonts w:cs="Arial"/>
          <w:szCs w:val="22"/>
        </w:rPr>
      </w:pPr>
      <w:r w:rsidRPr="00DC590C">
        <w:rPr>
          <w:rFonts w:cs="Arial"/>
          <w:szCs w:val="22"/>
        </w:rPr>
        <w:lastRenderedPageBreak/>
        <w:t>Presenting symptoms and signs</w:t>
      </w:r>
    </w:p>
    <w:p w14:paraId="5067BA0D" w14:textId="530219CE" w:rsidR="003834E9" w:rsidRDefault="003114BC" w:rsidP="003834E9">
      <w:pPr>
        <w:pStyle w:val="ListParagraph"/>
        <w:numPr>
          <w:ilvl w:val="0"/>
          <w:numId w:val="24"/>
        </w:numPr>
        <w:jc w:val="both"/>
      </w:pPr>
      <w:r>
        <w:t>e</w:t>
      </w:r>
      <w:r w:rsidR="003834E9">
        <w:t>arache</w:t>
      </w:r>
      <w:r>
        <w:t xml:space="preserve"> </w:t>
      </w:r>
      <w:r w:rsidR="003834E9">
        <w:t>(in older children)</w:t>
      </w:r>
    </w:p>
    <w:p w14:paraId="365952E0" w14:textId="77777777" w:rsidR="003834E9" w:rsidRDefault="003834E9" w:rsidP="003834E9">
      <w:pPr>
        <w:pStyle w:val="ListParagraph"/>
        <w:numPr>
          <w:ilvl w:val="0"/>
          <w:numId w:val="24"/>
        </w:numPr>
        <w:jc w:val="both"/>
      </w:pPr>
      <w:r w:rsidRPr="00D862FE">
        <w:t xml:space="preserve">pulling, </w:t>
      </w:r>
      <w:r>
        <w:t>tugging, or rubbing of the ear</w:t>
      </w:r>
    </w:p>
    <w:p w14:paraId="1BCD2029" w14:textId="77777777" w:rsidR="003834E9" w:rsidRDefault="003834E9" w:rsidP="003834E9">
      <w:pPr>
        <w:pStyle w:val="ListParagraph"/>
        <w:numPr>
          <w:ilvl w:val="0"/>
          <w:numId w:val="24"/>
        </w:numPr>
        <w:jc w:val="both"/>
      </w:pPr>
      <w:r>
        <w:t xml:space="preserve">non-specific symptoms such as </w:t>
      </w:r>
      <w:r w:rsidRPr="00D862FE">
        <w:t>fever, irri</w:t>
      </w:r>
      <w:r>
        <w:t>tability, crying, poor feeding</w:t>
      </w:r>
    </w:p>
    <w:p w14:paraId="275794FF" w14:textId="77777777" w:rsidR="003834E9" w:rsidRDefault="003834E9" w:rsidP="003834E9">
      <w:pPr>
        <w:pStyle w:val="ListParagraph"/>
        <w:numPr>
          <w:ilvl w:val="0"/>
          <w:numId w:val="24"/>
        </w:numPr>
        <w:jc w:val="both"/>
      </w:pPr>
      <w:r>
        <w:t>restlessness at night</w:t>
      </w:r>
    </w:p>
    <w:p w14:paraId="65FBB4C7" w14:textId="77777777" w:rsidR="003834E9" w:rsidRDefault="003834E9" w:rsidP="003834E9">
      <w:pPr>
        <w:pStyle w:val="ListParagraph"/>
        <w:numPr>
          <w:ilvl w:val="0"/>
          <w:numId w:val="24"/>
        </w:numPr>
        <w:jc w:val="both"/>
      </w:pPr>
      <w:r>
        <w:t>cough</w:t>
      </w:r>
    </w:p>
    <w:p w14:paraId="045334B3" w14:textId="77777777" w:rsidR="003834E9" w:rsidRDefault="003834E9" w:rsidP="003834E9">
      <w:pPr>
        <w:pStyle w:val="ListParagraph"/>
        <w:numPr>
          <w:ilvl w:val="0"/>
          <w:numId w:val="24"/>
        </w:numPr>
        <w:jc w:val="both"/>
      </w:pPr>
      <w:proofErr w:type="spellStart"/>
      <w:r w:rsidRPr="00D862FE">
        <w:t>rh</w:t>
      </w:r>
      <w:r>
        <w:t>inorrhoea</w:t>
      </w:r>
      <w:proofErr w:type="spellEnd"/>
      <w:r>
        <w:t xml:space="preserve"> (in younger children)</w:t>
      </w:r>
    </w:p>
    <w:p w14:paraId="07197AEB" w14:textId="77777777" w:rsidR="003834E9" w:rsidRPr="00D862FE" w:rsidRDefault="003834E9" w:rsidP="003834E9">
      <w:pPr>
        <w:pStyle w:val="ListParagraph"/>
        <w:numPr>
          <w:ilvl w:val="0"/>
          <w:numId w:val="24"/>
        </w:numPr>
        <w:jc w:val="both"/>
      </w:pPr>
      <w:r>
        <w:t>fever</w:t>
      </w:r>
    </w:p>
    <w:p w14:paraId="778D2C36" w14:textId="77777777" w:rsidR="003834E9" w:rsidRPr="00DC590C" w:rsidRDefault="003834E9" w:rsidP="00803F82">
      <w:pPr>
        <w:pStyle w:val="Heading2"/>
        <w:spacing w:after="120"/>
        <w:jc w:val="both"/>
        <w:rPr>
          <w:rFonts w:cs="Arial"/>
          <w:szCs w:val="22"/>
        </w:rPr>
      </w:pPr>
      <w:r w:rsidRPr="00DC590C">
        <w:rPr>
          <w:rFonts w:cs="Arial"/>
          <w:szCs w:val="22"/>
        </w:rPr>
        <w:t>Examination findings</w:t>
      </w:r>
    </w:p>
    <w:p w14:paraId="7DE5FF36" w14:textId="77777777" w:rsidR="003834E9" w:rsidRDefault="003834E9" w:rsidP="003834E9">
      <w:pPr>
        <w:jc w:val="both"/>
      </w:pPr>
      <w:r w:rsidRPr="00D862FE">
        <w:t>Examination</w:t>
      </w:r>
      <w:r>
        <w:t xml:space="preserve"> </w:t>
      </w:r>
      <w:r w:rsidRPr="00D862FE">
        <w:t>with an otoscope</w:t>
      </w:r>
      <w:r>
        <w:t xml:space="preserve"> </w:t>
      </w:r>
      <w:r w:rsidRPr="00D862FE">
        <w:t>may show</w:t>
      </w:r>
      <w:r>
        <w:t xml:space="preserve"> signs of: </w:t>
      </w:r>
    </w:p>
    <w:p w14:paraId="7B7CB486" w14:textId="77777777" w:rsidR="003834E9" w:rsidRDefault="003834E9" w:rsidP="003834E9">
      <w:pPr>
        <w:pStyle w:val="ListParagraph"/>
        <w:numPr>
          <w:ilvl w:val="0"/>
          <w:numId w:val="24"/>
        </w:numPr>
        <w:jc w:val="both"/>
      </w:pPr>
      <w:r w:rsidRPr="00D862FE">
        <w:t>a distinctly red, yellow or opaque</w:t>
      </w:r>
      <w:r>
        <w:t xml:space="preserve"> </w:t>
      </w:r>
      <w:r w:rsidRPr="00D862FE">
        <w:t>ear d</w:t>
      </w:r>
      <w:r>
        <w:t>rum</w:t>
      </w:r>
    </w:p>
    <w:p w14:paraId="7A2666E5" w14:textId="77777777" w:rsidR="003834E9" w:rsidRDefault="003834E9" w:rsidP="003834E9">
      <w:pPr>
        <w:pStyle w:val="ListParagraph"/>
        <w:numPr>
          <w:ilvl w:val="0"/>
          <w:numId w:val="24"/>
        </w:numPr>
        <w:jc w:val="both"/>
      </w:pPr>
      <w:r w:rsidRPr="00D862FE">
        <w:t xml:space="preserve">moderate to </w:t>
      </w:r>
      <w:r>
        <w:t>severe bulging of the ear drum with loss of normal landmarks</w:t>
      </w:r>
    </w:p>
    <w:p w14:paraId="2E4666E3" w14:textId="77777777" w:rsidR="003834E9" w:rsidRDefault="003834E9" w:rsidP="003834E9">
      <w:pPr>
        <w:pStyle w:val="ListParagraph"/>
        <w:numPr>
          <w:ilvl w:val="0"/>
          <w:numId w:val="24"/>
        </w:numPr>
        <w:jc w:val="both"/>
      </w:pPr>
      <w:r w:rsidRPr="00D862FE">
        <w:t>an air-fl</w:t>
      </w:r>
      <w:r>
        <w:t>uid level behind the ear drum</w:t>
      </w:r>
    </w:p>
    <w:p w14:paraId="5DE5EA81" w14:textId="77777777" w:rsidR="003834E9" w:rsidRDefault="003834E9" w:rsidP="003834E9">
      <w:pPr>
        <w:pStyle w:val="ListParagraph"/>
        <w:numPr>
          <w:ilvl w:val="0"/>
          <w:numId w:val="24"/>
        </w:numPr>
      </w:pPr>
      <w:r w:rsidRPr="00D862FE">
        <w:t>perforation of the ear drum</w:t>
      </w:r>
      <w:r>
        <w:t xml:space="preserve"> </w:t>
      </w:r>
      <w:r w:rsidRPr="00D862FE">
        <w:t>or discharge i</w:t>
      </w:r>
      <w:r>
        <w:t>n the external auditory canal</w:t>
      </w:r>
    </w:p>
    <w:p w14:paraId="5862411C" w14:textId="3997D2F1" w:rsidR="003834E9" w:rsidRPr="00762C49" w:rsidRDefault="003834E9" w:rsidP="003834E9">
      <w:r w:rsidRPr="00D862FE">
        <w:t>In babies</w:t>
      </w:r>
      <w:r>
        <w:t xml:space="preserve"> </w:t>
      </w:r>
      <w:r w:rsidRPr="00D862FE">
        <w:t>under 6</w:t>
      </w:r>
      <w:r w:rsidR="005C6FA1">
        <w:t xml:space="preserve"> months,</w:t>
      </w:r>
      <w:r w:rsidRPr="00D862FE">
        <w:t xml:space="preserve"> diagnosis can be difficult because </w:t>
      </w:r>
      <w:r>
        <w:t xml:space="preserve">of non-specific </w:t>
      </w:r>
      <w:r w:rsidRPr="00D862FE">
        <w:t>symptoms</w:t>
      </w:r>
      <w:r>
        <w:t xml:space="preserve"> or coexisting systemic illness </w:t>
      </w:r>
      <w:r w:rsidRPr="00D862FE">
        <w:t>and</w:t>
      </w:r>
      <w:r>
        <w:t xml:space="preserve"> examination with an otoscope can be more challenging.</w:t>
      </w:r>
    </w:p>
    <w:p w14:paraId="4C68BEBD" w14:textId="77777777" w:rsidR="003834E9" w:rsidRDefault="003834E9" w:rsidP="003834E9">
      <w:pPr>
        <w:pStyle w:val="Heading2"/>
        <w:jc w:val="both"/>
        <w:rPr>
          <w:rFonts w:cs="Arial"/>
          <w:szCs w:val="22"/>
        </w:rPr>
      </w:pPr>
      <w:r w:rsidRPr="003C0800">
        <w:rPr>
          <w:rFonts w:cs="Arial"/>
          <w:szCs w:val="22"/>
        </w:rPr>
        <w:t>Management</w:t>
      </w:r>
      <w:r>
        <w:rPr>
          <w:rFonts w:cs="Arial"/>
          <w:szCs w:val="22"/>
        </w:rPr>
        <w:t xml:space="preserve"> </w:t>
      </w:r>
    </w:p>
    <w:p w14:paraId="696A4441" w14:textId="4FB7FE54" w:rsidR="003834E9" w:rsidRDefault="003834E9" w:rsidP="003834E9">
      <w:r>
        <w:t>Acute otitis media could have a viral or bacterial cause, and distinguishing between these is difficult. Both are usually self-limiting and do not routinely need antibiotics. Antibiotics should be used if:</w:t>
      </w:r>
    </w:p>
    <w:p w14:paraId="2CC96B86" w14:textId="77777777" w:rsidR="003834E9" w:rsidRDefault="003834E9" w:rsidP="003834E9">
      <w:pPr>
        <w:pStyle w:val="ListParagraph"/>
        <w:numPr>
          <w:ilvl w:val="0"/>
          <w:numId w:val="31"/>
        </w:numPr>
      </w:pPr>
      <w:r>
        <w:t>symptoms significantly worsen or do not improve within 3 days</w:t>
      </w:r>
    </w:p>
    <w:p w14:paraId="462EBB76" w14:textId="77777777" w:rsidR="003834E9" w:rsidRDefault="003834E9" w:rsidP="003834E9">
      <w:pPr>
        <w:pStyle w:val="ListParagraph"/>
        <w:numPr>
          <w:ilvl w:val="0"/>
          <w:numId w:val="31"/>
        </w:numPr>
      </w:pPr>
      <w:r>
        <w:t>child is under 2 years with acute otitis media in both ears</w:t>
      </w:r>
    </w:p>
    <w:p w14:paraId="09DA7829" w14:textId="77777777" w:rsidR="003834E9" w:rsidRDefault="003834E9" w:rsidP="003834E9">
      <w:pPr>
        <w:pStyle w:val="ListParagraph"/>
        <w:numPr>
          <w:ilvl w:val="0"/>
          <w:numId w:val="31"/>
        </w:numPr>
        <w:jc w:val="both"/>
      </w:pPr>
      <w:r>
        <w:t xml:space="preserve">children of any age with </w:t>
      </w:r>
      <w:proofErr w:type="spellStart"/>
      <w:r>
        <w:t>otorrhoea</w:t>
      </w:r>
      <w:proofErr w:type="spellEnd"/>
      <w:r>
        <w:t xml:space="preserve"> (discharge following perforation of the ear drum)</w:t>
      </w:r>
    </w:p>
    <w:p w14:paraId="1D406BA7" w14:textId="77777777" w:rsidR="003834E9" w:rsidRDefault="003834E9" w:rsidP="003834E9">
      <w:pPr>
        <w:pStyle w:val="ListParagraph"/>
        <w:numPr>
          <w:ilvl w:val="0"/>
          <w:numId w:val="31"/>
        </w:numPr>
      </w:pPr>
      <w:r>
        <w:t>children that are systemically very unwell</w:t>
      </w:r>
    </w:p>
    <w:p w14:paraId="4B6EA655" w14:textId="77777777" w:rsidR="003834E9" w:rsidRPr="00D862FE" w:rsidRDefault="003834E9" w:rsidP="003834E9">
      <w:pPr>
        <w:pStyle w:val="ListParagraph"/>
        <w:numPr>
          <w:ilvl w:val="0"/>
          <w:numId w:val="31"/>
        </w:numPr>
      </w:pPr>
      <w:r>
        <w:t xml:space="preserve">children at high risk of complications because of pre-existing comorbidity </w:t>
      </w:r>
      <w:proofErr w:type="spellStart"/>
      <w:r>
        <w:t>e.g</w:t>
      </w:r>
      <w:proofErr w:type="spellEnd"/>
      <w:r>
        <w:t xml:space="preserve"> AOM in the only hearing ear, AOM post cochlear implant and immunocompromised states.</w:t>
      </w:r>
    </w:p>
    <w:p w14:paraId="6EEFDB59" w14:textId="255F6862" w:rsidR="003834E9" w:rsidRPr="00D862FE" w:rsidRDefault="003834E9" w:rsidP="003834E9">
      <w:pPr>
        <w:jc w:val="both"/>
      </w:pPr>
      <w:r>
        <w:t>Oral analgesia: Paracetamol 10-15 mg/kg/dose TDS/QDS or Ibuprofen 5-10 mg/kg/dose TDS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091"/>
      </w:tblGrid>
      <w:tr w:rsidR="003834E9" w:rsidRPr="00F03F25" w14:paraId="70F14515" w14:textId="77777777" w:rsidTr="005C6FA1">
        <w:tc>
          <w:tcPr>
            <w:tcW w:w="8630" w:type="dxa"/>
            <w:gridSpan w:val="3"/>
          </w:tcPr>
          <w:p w14:paraId="02BEE8AF" w14:textId="77777777" w:rsidR="003834E9" w:rsidRPr="00F03F25" w:rsidRDefault="003834E9" w:rsidP="005C6FA1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Antibiotics to use in AOM</w:t>
            </w:r>
          </w:p>
        </w:tc>
      </w:tr>
      <w:tr w:rsidR="003834E9" w14:paraId="1BF168C3" w14:textId="77777777" w:rsidTr="005C6FA1">
        <w:tc>
          <w:tcPr>
            <w:tcW w:w="8630" w:type="dxa"/>
            <w:gridSpan w:val="3"/>
          </w:tcPr>
          <w:p w14:paraId="72F429B8" w14:textId="77777777" w:rsidR="003834E9" w:rsidRPr="00D862FE" w:rsidRDefault="003834E9" w:rsidP="005C6FA1">
            <w:pPr>
              <w:jc w:val="both"/>
              <w:rPr>
                <w:b/>
                <w:szCs w:val="22"/>
              </w:rPr>
            </w:pPr>
            <w:r w:rsidRPr="00D862FE">
              <w:rPr>
                <w:b/>
                <w:i/>
                <w:szCs w:val="22"/>
              </w:rPr>
              <w:t xml:space="preserve">First choice </w:t>
            </w:r>
          </w:p>
        </w:tc>
      </w:tr>
      <w:tr w:rsidR="003834E9" w14:paraId="095F4E72" w14:textId="77777777" w:rsidTr="003834E9">
        <w:tc>
          <w:tcPr>
            <w:tcW w:w="1555" w:type="dxa"/>
          </w:tcPr>
          <w:p w14:paraId="174CD07E" w14:textId="77777777" w:rsidR="003834E9" w:rsidRPr="00F03F25" w:rsidRDefault="003834E9" w:rsidP="005C6FA1">
            <w:pPr>
              <w:jc w:val="both"/>
              <w:rPr>
                <w:i/>
                <w:szCs w:val="22"/>
              </w:rPr>
            </w:pPr>
          </w:p>
        </w:tc>
        <w:tc>
          <w:tcPr>
            <w:tcW w:w="1984" w:type="dxa"/>
          </w:tcPr>
          <w:p w14:paraId="78E72878" w14:textId="77777777" w:rsidR="003834E9" w:rsidRDefault="003834E9" w:rsidP="005C6FA1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Amoxicillin</w:t>
            </w:r>
          </w:p>
        </w:tc>
        <w:tc>
          <w:tcPr>
            <w:tcW w:w="5091" w:type="dxa"/>
          </w:tcPr>
          <w:p w14:paraId="5708745C" w14:textId="512291CB" w:rsidR="003834E9" w:rsidRDefault="003834E9" w:rsidP="005C6FA1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&lt;12 years: 80 mg/kg TDS for 7 days</w:t>
            </w:r>
          </w:p>
          <w:p w14:paraId="7A64D57E" w14:textId="363FFAC1" w:rsidR="003834E9" w:rsidRDefault="003834E9" w:rsidP="005C6FA1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&gt;12 years: 500 mg TDS for 7 days</w:t>
            </w:r>
          </w:p>
        </w:tc>
      </w:tr>
      <w:tr w:rsidR="003834E9" w14:paraId="0601AD7D" w14:textId="77777777" w:rsidTr="003834E9">
        <w:tc>
          <w:tcPr>
            <w:tcW w:w="1555" w:type="dxa"/>
          </w:tcPr>
          <w:p w14:paraId="0FD48A4B" w14:textId="55F87D67" w:rsidR="003834E9" w:rsidRPr="004A4C93" w:rsidRDefault="003834E9" w:rsidP="005C6FA1">
            <w:pPr>
              <w:jc w:val="both"/>
              <w:rPr>
                <w:i/>
                <w:szCs w:val="22"/>
              </w:rPr>
            </w:pPr>
            <w:r>
              <w:rPr>
                <w:i/>
                <w:szCs w:val="22"/>
              </w:rPr>
              <w:t>In penicillin allergy use</w:t>
            </w:r>
          </w:p>
        </w:tc>
        <w:tc>
          <w:tcPr>
            <w:tcW w:w="1984" w:type="dxa"/>
          </w:tcPr>
          <w:p w14:paraId="67CA2B25" w14:textId="77777777" w:rsidR="003834E9" w:rsidRDefault="003834E9" w:rsidP="003834E9">
            <w:pPr>
              <w:rPr>
                <w:szCs w:val="22"/>
              </w:rPr>
            </w:pPr>
            <w:r>
              <w:rPr>
                <w:szCs w:val="22"/>
              </w:rPr>
              <w:t>Erythromycin (in pregnancy)</w:t>
            </w:r>
          </w:p>
        </w:tc>
        <w:tc>
          <w:tcPr>
            <w:tcW w:w="5091" w:type="dxa"/>
          </w:tcPr>
          <w:p w14:paraId="51E62AB8" w14:textId="3C124EA2" w:rsidR="003834E9" w:rsidRDefault="003834E9" w:rsidP="005C6FA1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&gt;8 years: 250 mg to 500 mg QDS for 7 days or 500 to 1000 mg BD for 7 days</w:t>
            </w:r>
          </w:p>
        </w:tc>
      </w:tr>
      <w:tr w:rsidR="003834E9" w14:paraId="29A8AD97" w14:textId="77777777" w:rsidTr="003834E9">
        <w:tc>
          <w:tcPr>
            <w:tcW w:w="1555" w:type="dxa"/>
          </w:tcPr>
          <w:p w14:paraId="21868636" w14:textId="77777777" w:rsidR="003834E9" w:rsidRDefault="003834E9" w:rsidP="005C6FA1">
            <w:pPr>
              <w:jc w:val="both"/>
              <w:rPr>
                <w:i/>
                <w:szCs w:val="22"/>
              </w:rPr>
            </w:pPr>
          </w:p>
        </w:tc>
        <w:tc>
          <w:tcPr>
            <w:tcW w:w="1984" w:type="dxa"/>
          </w:tcPr>
          <w:p w14:paraId="40D78FCC" w14:textId="42B08421" w:rsidR="003834E9" w:rsidRDefault="003834E9" w:rsidP="003834E9">
            <w:pPr>
              <w:rPr>
                <w:szCs w:val="22"/>
              </w:rPr>
            </w:pPr>
            <w:r>
              <w:rPr>
                <w:szCs w:val="22"/>
              </w:rPr>
              <w:t>Azithromycin</w:t>
            </w:r>
          </w:p>
        </w:tc>
        <w:tc>
          <w:tcPr>
            <w:tcW w:w="5091" w:type="dxa"/>
          </w:tcPr>
          <w:p w14:paraId="28B45835" w14:textId="3DC1DC05" w:rsidR="003834E9" w:rsidRDefault="003834E9" w:rsidP="005C6FA1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10 mg/kg OD for 3 days</w:t>
            </w:r>
          </w:p>
        </w:tc>
      </w:tr>
      <w:tr w:rsidR="003834E9" w14:paraId="26484907" w14:textId="77777777" w:rsidTr="005C6FA1">
        <w:tc>
          <w:tcPr>
            <w:tcW w:w="8630" w:type="dxa"/>
            <w:gridSpan w:val="3"/>
          </w:tcPr>
          <w:p w14:paraId="09694352" w14:textId="77777777" w:rsidR="003834E9" w:rsidRPr="00D862FE" w:rsidRDefault="003834E9" w:rsidP="005C6FA1">
            <w:pPr>
              <w:jc w:val="both"/>
              <w:rPr>
                <w:b/>
                <w:szCs w:val="22"/>
              </w:rPr>
            </w:pPr>
            <w:r w:rsidRPr="00D862FE">
              <w:rPr>
                <w:b/>
                <w:i/>
                <w:szCs w:val="22"/>
              </w:rPr>
              <w:t xml:space="preserve">Second choice </w:t>
            </w:r>
          </w:p>
        </w:tc>
      </w:tr>
      <w:tr w:rsidR="003834E9" w14:paraId="238A44DE" w14:textId="77777777" w:rsidTr="003834E9">
        <w:tc>
          <w:tcPr>
            <w:tcW w:w="1555" w:type="dxa"/>
          </w:tcPr>
          <w:p w14:paraId="3E2659C6" w14:textId="77777777" w:rsidR="003834E9" w:rsidRDefault="003834E9" w:rsidP="005C6FA1">
            <w:pPr>
              <w:jc w:val="both"/>
              <w:rPr>
                <w:szCs w:val="22"/>
              </w:rPr>
            </w:pPr>
          </w:p>
        </w:tc>
        <w:tc>
          <w:tcPr>
            <w:tcW w:w="1984" w:type="dxa"/>
          </w:tcPr>
          <w:p w14:paraId="604EDEAA" w14:textId="77777777" w:rsidR="003834E9" w:rsidRDefault="003834E9" w:rsidP="005C6FA1">
            <w:pPr>
              <w:jc w:val="both"/>
              <w:rPr>
                <w:szCs w:val="22"/>
              </w:rPr>
            </w:pPr>
            <w:r w:rsidRPr="00D862FE">
              <w:rPr>
                <w:szCs w:val="22"/>
              </w:rPr>
              <w:t>Co-amoxiclav</w:t>
            </w:r>
          </w:p>
        </w:tc>
        <w:tc>
          <w:tcPr>
            <w:tcW w:w="5091" w:type="dxa"/>
          </w:tcPr>
          <w:p w14:paraId="4CC10283" w14:textId="77777777" w:rsidR="003834E9" w:rsidRDefault="003834E9" w:rsidP="005C6FA1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80-90 mg/kg/day BD for 7 days</w:t>
            </w:r>
          </w:p>
        </w:tc>
      </w:tr>
    </w:tbl>
    <w:p w14:paraId="6291D24C" w14:textId="486DADCC" w:rsidR="003834E9" w:rsidRDefault="003834E9" w:rsidP="003834E9">
      <w:pPr>
        <w:rPr>
          <w:szCs w:val="22"/>
        </w:rPr>
      </w:pPr>
      <w:r>
        <w:lastRenderedPageBreak/>
        <w:t>The</w:t>
      </w:r>
      <w:r w:rsidRPr="00200ACC">
        <w:t xml:space="preserve"> symptoms of AOM should resolve within 72 hours of initiating antibiotic treatment.</w:t>
      </w:r>
    </w:p>
    <w:p w14:paraId="0685EBB9" w14:textId="00734E5C" w:rsidR="003834E9" w:rsidRPr="00CC5638" w:rsidRDefault="003834E9" w:rsidP="003834E9">
      <w:pPr>
        <w:pStyle w:val="Heading2"/>
        <w:jc w:val="both"/>
        <w:rPr>
          <w:rFonts w:cs="Arial"/>
          <w:szCs w:val="22"/>
        </w:rPr>
      </w:pPr>
      <w:r w:rsidRPr="00CC5638">
        <w:rPr>
          <w:rFonts w:cs="Arial"/>
          <w:szCs w:val="22"/>
        </w:rPr>
        <w:t>Complications</w:t>
      </w:r>
      <w:r>
        <w:rPr>
          <w:rFonts w:cs="Arial"/>
          <w:szCs w:val="22"/>
        </w:rPr>
        <w:t xml:space="preserve"> of AOM include:</w:t>
      </w:r>
    </w:p>
    <w:p w14:paraId="5AB0C084" w14:textId="5360E149" w:rsidR="003834E9" w:rsidRPr="00F32231" w:rsidRDefault="003834E9" w:rsidP="003834E9">
      <w:pPr>
        <w:pStyle w:val="Heading2"/>
        <w:jc w:val="both"/>
        <w:rPr>
          <w:rFonts w:cs="Arial"/>
          <w:b w:val="0"/>
          <w:sz w:val="22"/>
          <w:szCs w:val="22"/>
        </w:rPr>
      </w:pPr>
      <w:r w:rsidRPr="00F32231">
        <w:rPr>
          <w:rFonts w:cs="Arial"/>
          <w:sz w:val="22"/>
          <w:szCs w:val="22"/>
        </w:rPr>
        <w:t xml:space="preserve">Tympanic membrane perforation: </w:t>
      </w:r>
      <w:r w:rsidRPr="00F32231">
        <w:rPr>
          <w:rFonts w:cs="Arial"/>
          <w:b w:val="0"/>
          <w:sz w:val="22"/>
          <w:szCs w:val="22"/>
        </w:rPr>
        <w:t xml:space="preserve">AOM with TM perforation is common and results in </w:t>
      </w:r>
      <w:proofErr w:type="spellStart"/>
      <w:r w:rsidRPr="00F32231">
        <w:rPr>
          <w:rFonts w:cs="Arial"/>
          <w:b w:val="0"/>
          <w:sz w:val="22"/>
          <w:szCs w:val="22"/>
        </w:rPr>
        <w:t>otorrhoea</w:t>
      </w:r>
      <w:proofErr w:type="spellEnd"/>
      <w:r w:rsidRPr="00F32231">
        <w:rPr>
          <w:rFonts w:cs="Arial"/>
          <w:b w:val="0"/>
          <w:sz w:val="22"/>
          <w:szCs w:val="22"/>
        </w:rPr>
        <w:t xml:space="preserve"> and frequently, relief of pain. </w:t>
      </w:r>
    </w:p>
    <w:p w14:paraId="49D67D84" w14:textId="470B2DFB" w:rsidR="003834E9" w:rsidRPr="0052059D" w:rsidRDefault="003834E9" w:rsidP="003834E9">
      <w:pPr>
        <w:pStyle w:val="Heading2"/>
        <w:rPr>
          <w:rFonts w:cs="Arial"/>
          <w:b w:val="0"/>
          <w:sz w:val="22"/>
          <w:szCs w:val="22"/>
        </w:rPr>
      </w:pPr>
      <w:r w:rsidRPr="00F32231">
        <w:rPr>
          <w:rFonts w:cs="Arial"/>
          <w:sz w:val="22"/>
          <w:szCs w:val="22"/>
        </w:rPr>
        <w:t>Acute mastoiditis (AM):</w:t>
      </w:r>
      <w:r w:rsidRPr="00F32231">
        <w:rPr>
          <w:rFonts w:cs="Arial"/>
          <w:b w:val="0"/>
          <w:sz w:val="22"/>
          <w:szCs w:val="22"/>
        </w:rPr>
        <w:t xml:space="preserve"> Acute mastoiditis, although rare, is the most common suppurative complication of AOM and may be associated with intracranial complications.</w:t>
      </w:r>
      <w:r w:rsidR="00103A83">
        <w:rPr>
          <w:rFonts w:cs="Arial"/>
          <w:b w:val="0"/>
          <w:sz w:val="22"/>
          <w:szCs w:val="22"/>
        </w:rPr>
        <w:t xml:space="preserve"> </w:t>
      </w:r>
      <w:r w:rsidRPr="00F32231">
        <w:rPr>
          <w:rFonts w:cs="Arial"/>
          <w:b w:val="0"/>
          <w:sz w:val="22"/>
          <w:szCs w:val="22"/>
        </w:rPr>
        <w:t>The diagnosis of AM is based on post</w:t>
      </w:r>
      <w:r w:rsidR="00E1241B">
        <w:rPr>
          <w:rFonts w:cs="Arial"/>
          <w:b w:val="0"/>
          <w:sz w:val="22"/>
          <w:szCs w:val="22"/>
        </w:rPr>
        <w:t>-</w:t>
      </w:r>
      <w:r w:rsidRPr="00F32231">
        <w:rPr>
          <w:rFonts w:cs="Arial"/>
          <w:b w:val="0"/>
          <w:sz w:val="22"/>
          <w:szCs w:val="22"/>
        </w:rPr>
        <w:t xml:space="preserve">auricular inflammatory signs (erythema, </w:t>
      </w:r>
      <w:proofErr w:type="spellStart"/>
      <w:r w:rsidRPr="00F32231">
        <w:rPr>
          <w:rFonts w:cs="Arial"/>
          <w:b w:val="0"/>
          <w:sz w:val="22"/>
          <w:szCs w:val="22"/>
        </w:rPr>
        <w:t>oedema</w:t>
      </w:r>
      <w:proofErr w:type="spellEnd"/>
      <w:r w:rsidRPr="00F32231">
        <w:rPr>
          <w:rFonts w:cs="Arial"/>
          <w:b w:val="0"/>
          <w:sz w:val="22"/>
          <w:szCs w:val="22"/>
        </w:rPr>
        <w:t>, tenderness or fluctuance), a protruding auricle/external auditor</w:t>
      </w:r>
      <w:r>
        <w:rPr>
          <w:rFonts w:cs="Arial"/>
          <w:b w:val="0"/>
          <w:sz w:val="22"/>
          <w:szCs w:val="22"/>
        </w:rPr>
        <w:t xml:space="preserve">y canal </w:t>
      </w:r>
      <w:proofErr w:type="spellStart"/>
      <w:r>
        <w:rPr>
          <w:rFonts w:cs="Arial"/>
          <w:b w:val="0"/>
          <w:sz w:val="22"/>
          <w:szCs w:val="22"/>
        </w:rPr>
        <w:t>oedema</w:t>
      </w:r>
      <w:proofErr w:type="spellEnd"/>
      <w:r>
        <w:rPr>
          <w:rFonts w:cs="Arial"/>
          <w:b w:val="0"/>
          <w:sz w:val="22"/>
          <w:szCs w:val="22"/>
        </w:rPr>
        <w:t xml:space="preserve"> and signs of AOM. </w:t>
      </w:r>
      <w:r w:rsidRPr="00CC5638">
        <w:rPr>
          <w:rFonts w:cs="Arial"/>
          <w:b w:val="0"/>
          <w:szCs w:val="22"/>
        </w:rPr>
        <w:t>ENT involvement is required and some cases may require surgical treatment.</w:t>
      </w:r>
    </w:p>
    <w:p w14:paraId="449A0A91" w14:textId="77777777" w:rsidR="003834E9" w:rsidRPr="005144E2" w:rsidRDefault="003834E9" w:rsidP="003834E9">
      <w:pPr>
        <w:pStyle w:val="Heading2"/>
        <w:jc w:val="both"/>
        <w:rPr>
          <w:rFonts w:cs="Arial"/>
          <w:szCs w:val="22"/>
        </w:rPr>
      </w:pPr>
      <w:r w:rsidRPr="00F32231">
        <w:rPr>
          <w:rFonts w:cs="Arial"/>
          <w:sz w:val="22"/>
          <w:szCs w:val="22"/>
        </w:rPr>
        <w:t>Otitis Media with Effusion (OME</w:t>
      </w:r>
      <w:r w:rsidRPr="005144E2">
        <w:rPr>
          <w:rFonts w:cs="Arial"/>
          <w:szCs w:val="22"/>
        </w:rPr>
        <w:t>)</w:t>
      </w:r>
    </w:p>
    <w:p w14:paraId="64943FCE" w14:textId="77777777" w:rsidR="003834E9" w:rsidRPr="00F32231" w:rsidRDefault="003834E9" w:rsidP="003834E9">
      <w:pPr>
        <w:pStyle w:val="Heading2"/>
        <w:rPr>
          <w:rFonts w:cs="Arial"/>
          <w:b w:val="0"/>
          <w:sz w:val="22"/>
          <w:szCs w:val="22"/>
        </w:rPr>
      </w:pPr>
      <w:r w:rsidRPr="00F32231">
        <w:rPr>
          <w:rFonts w:cs="Arial"/>
          <w:b w:val="0"/>
          <w:sz w:val="22"/>
          <w:szCs w:val="22"/>
        </w:rPr>
        <w:t>Otitis media with effusion, previously termed serous otitis or glue ear, is fluid in the middle ear and is often asymptomatic, other than transient hearing impairment</w:t>
      </w:r>
    </w:p>
    <w:p w14:paraId="2660A797" w14:textId="603FFC0E" w:rsidR="003834E9" w:rsidRPr="003834E9" w:rsidRDefault="003834E9" w:rsidP="003834E9">
      <w:r w:rsidRPr="00F32231">
        <w:t xml:space="preserve">Antibiotics and ENT referral are not routinely required for OME, as the majority of cases occur after an episode of AOM and </w:t>
      </w:r>
      <w:r w:rsidRPr="003834E9">
        <w:t xml:space="preserve">resolve spontaneously with no long term effects on language, literacy or cognitive development. </w:t>
      </w:r>
      <w:r>
        <w:t>The</w:t>
      </w:r>
      <w:r w:rsidRPr="003834E9">
        <w:t xml:space="preserve"> effusion may persist for up to 1 month in 50% of patients and up to 3 months in 10% of patients despite bacteriological cure.</w:t>
      </w:r>
    </w:p>
    <w:p w14:paraId="05EF1C5A" w14:textId="1753CD9A" w:rsidR="00D77D50" w:rsidRPr="00803F82" w:rsidRDefault="003834E9" w:rsidP="00803F82">
      <w:pPr>
        <w:pStyle w:val="Heading2"/>
        <w:rPr>
          <w:rFonts w:cs="Arial"/>
          <w:b w:val="0"/>
          <w:sz w:val="22"/>
          <w:szCs w:val="22"/>
        </w:rPr>
      </w:pPr>
      <w:r w:rsidRPr="00F32231">
        <w:rPr>
          <w:rFonts w:cs="Arial"/>
          <w:b w:val="0"/>
          <w:sz w:val="22"/>
          <w:szCs w:val="22"/>
        </w:rPr>
        <w:t>If effusion persists for more than 3 months, refer for hearing assessment and ENT review.</w:t>
      </w:r>
    </w:p>
    <w:p w14:paraId="69D694E0" w14:textId="77777777" w:rsidR="00803F82" w:rsidRDefault="00803F82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463D8A17" w14:textId="05034765" w:rsidR="00AE6D72" w:rsidRPr="003C0800" w:rsidRDefault="00AE6D72" w:rsidP="00AE6D72">
      <w:pPr>
        <w:pStyle w:val="Heading2"/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t>References</w:t>
      </w:r>
    </w:p>
    <w:p w14:paraId="41E76547" w14:textId="5DC658DC" w:rsidR="00AE6D72" w:rsidRPr="00D77D50" w:rsidRDefault="00AE6D72" w:rsidP="00AE6D72">
      <w:pPr>
        <w:rPr>
          <w:sz w:val="20"/>
          <w:szCs w:val="20"/>
        </w:rPr>
      </w:pPr>
      <w:r w:rsidRPr="00D77D50">
        <w:rPr>
          <w:sz w:val="20"/>
          <w:szCs w:val="20"/>
        </w:rPr>
        <w:t xml:space="preserve">Acute otitis media. Retrieved </w:t>
      </w:r>
      <w:hyperlink r:id="rId7" w:anchor="otitis-media-with-effusion-ome" w:history="1">
        <w:r w:rsidR="005C6FA1" w:rsidRPr="00265D1F">
          <w:rPr>
            <w:rStyle w:val="Hyperlink"/>
            <w:sz w:val="20"/>
            <w:szCs w:val="20"/>
          </w:rPr>
          <w:t>https://www.rch.org.au/clinicalguide/guideline_index/acute_otitis_media/#otitis-media-with-effusion-ome</w:t>
        </w:r>
      </w:hyperlink>
      <w:r w:rsidR="005C6FA1">
        <w:rPr>
          <w:sz w:val="20"/>
          <w:szCs w:val="20"/>
        </w:rPr>
        <w:t xml:space="preserve"> </w:t>
      </w:r>
      <w:r w:rsidRPr="00D77D50">
        <w:rPr>
          <w:sz w:val="20"/>
          <w:szCs w:val="20"/>
        </w:rPr>
        <w:t xml:space="preserve"> on 25th February, 2019</w:t>
      </w:r>
    </w:p>
    <w:p w14:paraId="5F77C324" w14:textId="77777777" w:rsidR="00AE6D72" w:rsidRPr="00D77D50" w:rsidRDefault="00AE6D72" w:rsidP="00AE6D72">
      <w:pPr>
        <w:rPr>
          <w:sz w:val="20"/>
          <w:szCs w:val="20"/>
        </w:rPr>
      </w:pPr>
      <w:proofErr w:type="spellStart"/>
      <w:r w:rsidRPr="00D77D50">
        <w:rPr>
          <w:sz w:val="20"/>
          <w:szCs w:val="20"/>
        </w:rPr>
        <w:t>Colledge</w:t>
      </w:r>
      <w:proofErr w:type="spellEnd"/>
      <w:r w:rsidRPr="00D77D50">
        <w:rPr>
          <w:sz w:val="20"/>
          <w:szCs w:val="20"/>
        </w:rPr>
        <w:t>, Nicki R., Brian R. Walker, Stuart Ralston, and Stanley Davidson. 2010. Davidson's principles and practice of medicine. Edinburgh: Churchill Livingstone/Elsevier.</w:t>
      </w:r>
    </w:p>
    <w:p w14:paraId="0617469D" w14:textId="2625AFD8" w:rsidR="00AE6D72" w:rsidRPr="00D77D50" w:rsidRDefault="00AE6D72" w:rsidP="00AE6D72">
      <w:pPr>
        <w:rPr>
          <w:sz w:val="20"/>
          <w:szCs w:val="20"/>
        </w:rPr>
      </w:pPr>
      <w:r w:rsidRPr="00D77D50">
        <w:rPr>
          <w:sz w:val="20"/>
          <w:szCs w:val="20"/>
        </w:rPr>
        <w:t xml:space="preserve">Guideline Otitis media (acute): antimicrobial prescribing. National Institute for Health and Care Excellence. Retrieved from </w:t>
      </w:r>
      <w:hyperlink r:id="rId8" w:history="1">
        <w:r w:rsidR="00E1241B" w:rsidRPr="00265D1F">
          <w:rPr>
            <w:rStyle w:val="Hyperlink"/>
            <w:sz w:val="20"/>
            <w:szCs w:val="20"/>
          </w:rPr>
          <w:t>https://www.nice.org.uk/guidance/ng91/documents/draft-guideline</w:t>
        </w:r>
      </w:hyperlink>
      <w:r w:rsidR="00E1241B">
        <w:rPr>
          <w:sz w:val="20"/>
          <w:szCs w:val="20"/>
        </w:rPr>
        <w:t xml:space="preserve"> </w:t>
      </w:r>
      <w:r w:rsidRPr="00D77D50">
        <w:rPr>
          <w:sz w:val="20"/>
          <w:szCs w:val="20"/>
        </w:rPr>
        <w:t xml:space="preserve">on 27th </w:t>
      </w:r>
      <w:r w:rsidR="005C6FA1" w:rsidRPr="00D77D50">
        <w:rPr>
          <w:sz w:val="20"/>
          <w:szCs w:val="20"/>
        </w:rPr>
        <w:t>February</w:t>
      </w:r>
      <w:r w:rsidRPr="00D77D50">
        <w:rPr>
          <w:sz w:val="20"/>
          <w:szCs w:val="20"/>
        </w:rPr>
        <w:t>, 2019.</w:t>
      </w:r>
    </w:p>
    <w:p w14:paraId="064A18C0" w14:textId="77777777" w:rsidR="00AE6D72" w:rsidRPr="00D77D50" w:rsidRDefault="00AE6D72" w:rsidP="00AE6D72">
      <w:pPr>
        <w:rPr>
          <w:sz w:val="20"/>
          <w:szCs w:val="20"/>
        </w:rPr>
      </w:pPr>
      <w:proofErr w:type="spellStart"/>
      <w:r w:rsidRPr="00D77D50">
        <w:rPr>
          <w:sz w:val="20"/>
          <w:szCs w:val="20"/>
        </w:rPr>
        <w:t>Kliegman</w:t>
      </w:r>
      <w:proofErr w:type="spellEnd"/>
      <w:r w:rsidRPr="00D77D50">
        <w:rPr>
          <w:sz w:val="20"/>
          <w:szCs w:val="20"/>
        </w:rPr>
        <w:t xml:space="preserve">, Robert., et al. Nelson Textbook of Pediatrics. Edition 20. </w:t>
      </w:r>
      <w:proofErr w:type="spellStart"/>
      <w:r w:rsidRPr="00D77D50">
        <w:rPr>
          <w:sz w:val="20"/>
          <w:szCs w:val="20"/>
        </w:rPr>
        <w:t>Phialdelphia</w:t>
      </w:r>
      <w:proofErr w:type="spellEnd"/>
      <w:r w:rsidRPr="00D77D50">
        <w:rPr>
          <w:sz w:val="20"/>
          <w:szCs w:val="20"/>
        </w:rPr>
        <w:t>, PA: Elsevier, 2016.</w:t>
      </w:r>
    </w:p>
    <w:p w14:paraId="1BFDC9D3" w14:textId="5B4371E2" w:rsidR="00AE6D72" w:rsidRPr="00D77D50" w:rsidRDefault="00AE6D72" w:rsidP="00AE6D72">
      <w:pPr>
        <w:rPr>
          <w:sz w:val="20"/>
          <w:szCs w:val="20"/>
        </w:rPr>
      </w:pPr>
      <w:r w:rsidRPr="00D77D50">
        <w:rPr>
          <w:sz w:val="20"/>
          <w:szCs w:val="20"/>
        </w:rPr>
        <w:t xml:space="preserve">Waseem M (2018). Otitis Media. Medscape. Retrieved from </w:t>
      </w:r>
      <w:hyperlink r:id="rId9" w:history="1">
        <w:r w:rsidR="00E1241B" w:rsidRPr="00265D1F">
          <w:rPr>
            <w:rStyle w:val="Hyperlink"/>
            <w:sz w:val="20"/>
            <w:szCs w:val="20"/>
          </w:rPr>
          <w:t>https://emedicine.medscape.com/article/994656-overview</w:t>
        </w:r>
      </w:hyperlink>
      <w:r w:rsidR="00E1241B">
        <w:rPr>
          <w:sz w:val="20"/>
          <w:szCs w:val="20"/>
        </w:rPr>
        <w:t xml:space="preserve"> </w:t>
      </w:r>
      <w:r w:rsidRPr="00D77D50">
        <w:rPr>
          <w:sz w:val="20"/>
          <w:szCs w:val="20"/>
        </w:rPr>
        <w:t>on 26th February, 2019</w:t>
      </w:r>
    </w:p>
    <w:p w14:paraId="72346AAE" w14:textId="77777777" w:rsidR="00AE6D72" w:rsidRPr="00D77D50" w:rsidRDefault="00AE6D72" w:rsidP="00AE6D72">
      <w:pPr>
        <w:rPr>
          <w:sz w:val="20"/>
          <w:szCs w:val="20"/>
        </w:rPr>
      </w:pPr>
      <w:r w:rsidRPr="00D77D50">
        <w:rPr>
          <w:sz w:val="20"/>
          <w:szCs w:val="20"/>
        </w:rPr>
        <w:t>Standard Treatment Guidelines, 6th Edition, 2010. ISBN 978-9988-1-2538-7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4C4442" w:rsidRPr="00515546" w14:paraId="68220D5E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1354D509" w14:textId="77777777" w:rsidR="004C4442" w:rsidRPr="00515546" w:rsidRDefault="004C4442" w:rsidP="005C6FA1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387D88CC" w14:textId="7B315AAD" w:rsidR="004C4442" w:rsidRPr="00515546" w:rsidRDefault="004C4442" w:rsidP="005C6FA1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Name</w:t>
            </w:r>
            <w:r w:rsidR="005638D0">
              <w:rPr>
                <w:szCs w:val="22"/>
              </w:rPr>
              <w:t xml:space="preserve">: </w:t>
            </w:r>
            <w:r w:rsidR="003834E9">
              <w:rPr>
                <w:szCs w:val="22"/>
              </w:rPr>
              <w:t>Fatoumatta Sawaneh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42F5BB5F" w14:textId="27C4C89A" w:rsidR="004C4442" w:rsidRPr="00515546" w:rsidRDefault="004C4442" w:rsidP="005C6FA1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B05F09">
              <w:rPr>
                <w:szCs w:val="22"/>
              </w:rPr>
              <w:t>27 February 2019</w:t>
            </w:r>
          </w:p>
        </w:tc>
      </w:tr>
      <w:tr w:rsidR="004C4442" w:rsidRPr="00515546" w14:paraId="61BBE7A8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7D67B187" w14:textId="77777777" w:rsidR="004C4442" w:rsidRPr="00515546" w:rsidRDefault="004C4442" w:rsidP="005C6FA1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E1274D8" w14:textId="196C323E" w:rsidR="004C4442" w:rsidRPr="00515546" w:rsidRDefault="004C4442" w:rsidP="005C6FA1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 w:rsidR="003955E2">
              <w:rPr>
                <w:szCs w:val="22"/>
              </w:rPr>
              <w:t>Baderinwa Abatan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75192C0D" w14:textId="046832B4" w:rsidR="004C4442" w:rsidRPr="00515546" w:rsidRDefault="004C4442" w:rsidP="005C6FA1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B05F09">
              <w:rPr>
                <w:szCs w:val="22"/>
              </w:rPr>
              <w:t>03 May 2019</w:t>
            </w:r>
          </w:p>
        </w:tc>
      </w:tr>
      <w:tr w:rsidR="004C4442" w:rsidRPr="00515546" w14:paraId="17AACA6A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00B2F878" w14:textId="77777777" w:rsidR="004C4442" w:rsidRPr="00515546" w:rsidRDefault="004C4442" w:rsidP="005C6FA1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6CF2BE4D" w14:textId="77777777" w:rsidR="004C4442" w:rsidRPr="00515546" w:rsidRDefault="004C4442" w:rsidP="005C6FA1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77B7E58" w14:textId="77777777" w:rsidR="004C4442" w:rsidRPr="00515546" w:rsidRDefault="004C4442" w:rsidP="005C6FA1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4C4442" w:rsidRPr="00515546" w14:paraId="1887AD21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0E241330" w14:textId="77777777" w:rsidR="004C4442" w:rsidRPr="00515546" w:rsidRDefault="004C4442" w:rsidP="005C6FA1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1900C147" w14:textId="77777777" w:rsidR="004C4442" w:rsidRPr="00515546" w:rsidRDefault="004C4442" w:rsidP="005C6FA1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4D03740B" w14:textId="1D5B0BEA" w:rsidR="0055005C" w:rsidRPr="00515546" w:rsidRDefault="0055005C" w:rsidP="005C6FA1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May 2021</w:t>
            </w:r>
          </w:p>
        </w:tc>
      </w:tr>
      <w:tr w:rsidR="003834E9" w:rsidRPr="00515546" w14:paraId="7D978312" w14:textId="77777777" w:rsidTr="002C0AF7">
        <w:trPr>
          <w:trHeight w:val="20"/>
        </w:trPr>
        <w:tc>
          <w:tcPr>
            <w:tcW w:w="21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311277" w14:textId="5426415C" w:rsidR="003834E9" w:rsidRPr="00515546" w:rsidRDefault="003834E9" w:rsidP="005C6FA1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2.0</w:t>
            </w:r>
          </w:p>
        </w:tc>
        <w:tc>
          <w:tcPr>
            <w:tcW w:w="36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9E0C1D" w14:textId="5BECDA53" w:rsidR="003834E9" w:rsidRPr="00515546" w:rsidRDefault="003834E9" w:rsidP="005C6FA1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Updated and transferred to new template</w:t>
            </w:r>
          </w:p>
        </w:tc>
        <w:tc>
          <w:tcPr>
            <w:tcW w:w="28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4386D0" w14:textId="77777777" w:rsidR="003834E9" w:rsidRPr="00515546" w:rsidRDefault="003834E9" w:rsidP="005C6FA1">
            <w:pPr>
              <w:spacing w:after="0"/>
              <w:rPr>
                <w:szCs w:val="22"/>
              </w:rPr>
            </w:pPr>
          </w:p>
        </w:tc>
      </w:tr>
      <w:tr w:rsidR="005638D0" w:rsidRPr="00515546" w14:paraId="65A47C2A" w14:textId="77777777" w:rsidTr="002C0AF7">
        <w:trPr>
          <w:trHeight w:val="20"/>
        </w:trPr>
        <w:tc>
          <w:tcPr>
            <w:tcW w:w="213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098A61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Review Comments (</w:t>
            </w:r>
            <w:r w:rsidRPr="0051554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E7858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2B77EC" w14:textId="77777777" w:rsidR="005638D0" w:rsidRPr="00515546" w:rsidRDefault="005638D0" w:rsidP="005638D0">
            <w:pPr>
              <w:spacing w:after="0"/>
              <w:rPr>
                <w:b/>
                <w:szCs w:val="22"/>
              </w:rPr>
            </w:pPr>
          </w:p>
        </w:tc>
      </w:tr>
    </w:tbl>
    <w:p w14:paraId="723C3298" w14:textId="77777777" w:rsidR="00975A60" w:rsidRPr="00CC3CF5" w:rsidRDefault="00975A60" w:rsidP="00975A60">
      <w:pPr>
        <w:rPr>
          <w:szCs w:val="22"/>
        </w:rPr>
      </w:pPr>
    </w:p>
    <w:sectPr w:rsidR="00975A60" w:rsidRPr="00CC3CF5" w:rsidSect="00D13825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09903" w14:textId="77777777" w:rsidR="00E33D5A" w:rsidRDefault="00E33D5A" w:rsidP="00975A60">
      <w:pPr>
        <w:spacing w:after="0"/>
      </w:pPr>
      <w:r>
        <w:separator/>
      </w:r>
    </w:p>
  </w:endnote>
  <w:endnote w:type="continuationSeparator" w:id="0">
    <w:p w14:paraId="6A697A89" w14:textId="77777777" w:rsidR="00E33D5A" w:rsidRDefault="00E33D5A" w:rsidP="0097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B13FD" w14:textId="77777777" w:rsidR="00E1241B" w:rsidRDefault="00E1241B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EAB9BB" w14:textId="77777777" w:rsidR="00E1241B" w:rsidRDefault="00E12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717E8" w14:textId="77777777" w:rsidR="00E1241B" w:rsidRPr="003A02A5" w:rsidRDefault="00E1241B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6B75F5">
      <w:rPr>
        <w:rStyle w:val="PageNumber"/>
        <w:noProof/>
      </w:rPr>
      <w:t>4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6B75F5">
      <w:rPr>
        <w:rStyle w:val="PageNumber"/>
        <w:noProof/>
      </w:rPr>
      <w:t>4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A0A36" w14:textId="77777777" w:rsidR="00E1241B" w:rsidRDefault="00E1241B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6B75F5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6B75F5">
      <w:rPr>
        <w:rStyle w:val="PageNumber"/>
        <w:noProof/>
      </w:rPr>
      <w:t>4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FB99A" w14:textId="77777777" w:rsidR="00E33D5A" w:rsidRDefault="00E33D5A" w:rsidP="00975A60">
      <w:pPr>
        <w:spacing w:after="0"/>
      </w:pPr>
      <w:r>
        <w:separator/>
      </w:r>
    </w:p>
  </w:footnote>
  <w:footnote w:type="continuationSeparator" w:id="0">
    <w:p w14:paraId="6C96AB57" w14:textId="77777777" w:rsidR="00E33D5A" w:rsidRDefault="00E33D5A" w:rsidP="00975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EEA6A" w14:textId="28D969AB" w:rsidR="00E1241B" w:rsidRPr="00F87812" w:rsidRDefault="00E1241B" w:rsidP="00D13825">
    <w:pPr>
      <w:pStyle w:val="Header"/>
    </w:pPr>
    <w:r w:rsidRPr="00F87812">
      <w:t>Identification code: MeG-CLS-</w:t>
    </w:r>
    <w:r>
      <w:t>023</w:t>
    </w:r>
    <w:r w:rsidRPr="00F87812">
      <w:tab/>
    </w:r>
  </w:p>
  <w:p w14:paraId="0CB3C3AC" w14:textId="3C6072EC" w:rsidR="00E1241B" w:rsidRPr="0095050B" w:rsidRDefault="00E1241B" w:rsidP="00D13825">
    <w:pPr>
      <w:pStyle w:val="Header"/>
    </w:pPr>
    <w:r w:rsidRPr="0095050B">
      <w:t xml:space="preserve">Version: </w:t>
    </w:r>
    <w:r>
      <w:t>2</w:t>
    </w:r>
    <w:r w:rsidRPr="0095050B">
      <w:t xml:space="preserve">.0 – </w:t>
    </w:r>
    <w:r>
      <w:t>31 May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4EAE5" w14:textId="77777777" w:rsidR="00E1241B" w:rsidRDefault="00E1241B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1C1DA22B" wp14:editId="37E31D25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445857" w14:textId="77777777" w:rsidR="00E1241B" w:rsidRDefault="00E1241B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5EFDD2E7" w14:textId="77777777" w:rsidR="00E1241B" w:rsidRPr="003C0800" w:rsidRDefault="00E1241B" w:rsidP="00D13825">
    <w:pPr>
      <w:pStyle w:val="Header"/>
      <w:ind w:firstLine="2880"/>
      <w:rPr>
        <w:rFonts w:cs="Arial"/>
        <w:b/>
      </w:rPr>
    </w:pPr>
  </w:p>
  <w:p w14:paraId="4A90C4D4" w14:textId="75F4DA39" w:rsidR="00E1241B" w:rsidRPr="00F87812" w:rsidRDefault="00E1241B" w:rsidP="00D13825">
    <w:pPr>
      <w:pStyle w:val="Header"/>
    </w:pPr>
    <w:r w:rsidRPr="00F87812">
      <w:t>Identification code: MeG-CLS-</w:t>
    </w:r>
    <w:r>
      <w:t>023</w:t>
    </w:r>
    <w:r w:rsidRPr="00F87812">
      <w:tab/>
    </w:r>
  </w:p>
  <w:p w14:paraId="2EDBDBD9" w14:textId="007D720B" w:rsidR="00E1241B" w:rsidRPr="00F87812" w:rsidRDefault="00E1241B" w:rsidP="00D13825">
    <w:pPr>
      <w:pStyle w:val="Header"/>
    </w:pPr>
    <w:r w:rsidRPr="00F87812">
      <w:t xml:space="preserve">Version: </w:t>
    </w:r>
    <w:r>
      <w:t>2</w:t>
    </w:r>
    <w:r w:rsidRPr="0095050B">
      <w:t xml:space="preserve">.0 – </w:t>
    </w:r>
    <w:r>
      <w:t>31 May 2019</w:t>
    </w:r>
  </w:p>
  <w:p w14:paraId="438DDDB6" w14:textId="77777777" w:rsidR="00E1241B" w:rsidRDefault="00E124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2ACF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AB08E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EB7867"/>
    <w:multiLevelType w:val="hybridMultilevel"/>
    <w:tmpl w:val="A4FCD63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11E53"/>
    <w:multiLevelType w:val="hybridMultilevel"/>
    <w:tmpl w:val="E6DE4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04BD4"/>
    <w:multiLevelType w:val="hybridMultilevel"/>
    <w:tmpl w:val="AE72C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D4E37"/>
    <w:multiLevelType w:val="hybridMultilevel"/>
    <w:tmpl w:val="66D0AC3A"/>
    <w:lvl w:ilvl="0" w:tplc="A0FEB37C">
      <w:numFmt w:val="bullet"/>
      <w:lvlText w:val="•"/>
      <w:lvlJc w:val="left"/>
      <w:pPr>
        <w:ind w:left="1080" w:hanging="72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EF6AE6"/>
    <w:multiLevelType w:val="hybridMultilevel"/>
    <w:tmpl w:val="72AA595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0A32AE8"/>
    <w:multiLevelType w:val="hybridMultilevel"/>
    <w:tmpl w:val="881C2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7E42C5"/>
    <w:multiLevelType w:val="hybridMultilevel"/>
    <w:tmpl w:val="832CA27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16"/>
  </w:num>
  <w:num w:numId="8">
    <w:abstractNumId w:val="2"/>
  </w:num>
  <w:num w:numId="9">
    <w:abstractNumId w:val="30"/>
  </w:num>
  <w:num w:numId="10">
    <w:abstractNumId w:val="3"/>
  </w:num>
  <w:num w:numId="11">
    <w:abstractNumId w:val="10"/>
  </w:num>
  <w:num w:numId="12">
    <w:abstractNumId w:val="21"/>
  </w:num>
  <w:num w:numId="13">
    <w:abstractNumId w:val="26"/>
  </w:num>
  <w:num w:numId="14">
    <w:abstractNumId w:val="24"/>
  </w:num>
  <w:num w:numId="15">
    <w:abstractNumId w:val="29"/>
  </w:num>
  <w:num w:numId="16">
    <w:abstractNumId w:val="12"/>
  </w:num>
  <w:num w:numId="17">
    <w:abstractNumId w:val="6"/>
  </w:num>
  <w:num w:numId="18">
    <w:abstractNumId w:val="25"/>
  </w:num>
  <w:num w:numId="19">
    <w:abstractNumId w:val="13"/>
  </w:num>
  <w:num w:numId="20">
    <w:abstractNumId w:val="28"/>
  </w:num>
  <w:num w:numId="21">
    <w:abstractNumId w:val="15"/>
  </w:num>
  <w:num w:numId="22">
    <w:abstractNumId w:val="8"/>
  </w:num>
  <w:num w:numId="23">
    <w:abstractNumId w:val="20"/>
  </w:num>
  <w:num w:numId="24">
    <w:abstractNumId w:val="23"/>
  </w:num>
  <w:num w:numId="25">
    <w:abstractNumId w:val="17"/>
  </w:num>
  <w:num w:numId="26">
    <w:abstractNumId w:val="11"/>
  </w:num>
  <w:num w:numId="27">
    <w:abstractNumId w:val="5"/>
  </w:num>
  <w:num w:numId="28">
    <w:abstractNumId w:val="27"/>
  </w:num>
  <w:num w:numId="29">
    <w:abstractNumId w:val="18"/>
  </w:num>
  <w:num w:numId="30">
    <w:abstractNumId w:val="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NbE0tDA3MTa2MDZS0lEKTi0uzszPAykwqQUAT5R5RSwAAAA="/>
  </w:docVars>
  <w:rsids>
    <w:rsidRoot w:val="003834E9"/>
    <w:rsid w:val="000039D9"/>
    <w:rsid w:val="0007147C"/>
    <w:rsid w:val="00081642"/>
    <w:rsid w:val="00103A83"/>
    <w:rsid w:val="00114AAF"/>
    <w:rsid w:val="001203AE"/>
    <w:rsid w:val="00175153"/>
    <w:rsid w:val="001C1450"/>
    <w:rsid w:val="00223920"/>
    <w:rsid w:val="00252A11"/>
    <w:rsid w:val="0029357D"/>
    <w:rsid w:val="002A2856"/>
    <w:rsid w:val="002C0AF7"/>
    <w:rsid w:val="003020A2"/>
    <w:rsid w:val="003038D3"/>
    <w:rsid w:val="003114BC"/>
    <w:rsid w:val="003225CD"/>
    <w:rsid w:val="003834E9"/>
    <w:rsid w:val="003955E2"/>
    <w:rsid w:val="003C0800"/>
    <w:rsid w:val="003F70CA"/>
    <w:rsid w:val="004A25F0"/>
    <w:rsid w:val="004A4C93"/>
    <w:rsid w:val="004C4442"/>
    <w:rsid w:val="00504405"/>
    <w:rsid w:val="005151D8"/>
    <w:rsid w:val="00515546"/>
    <w:rsid w:val="0055005C"/>
    <w:rsid w:val="005638D0"/>
    <w:rsid w:val="00584E1E"/>
    <w:rsid w:val="005C6FA1"/>
    <w:rsid w:val="005D1877"/>
    <w:rsid w:val="00633320"/>
    <w:rsid w:val="006B75F5"/>
    <w:rsid w:val="007067BE"/>
    <w:rsid w:val="007B26B1"/>
    <w:rsid w:val="00803F82"/>
    <w:rsid w:val="00857027"/>
    <w:rsid w:val="009165E9"/>
    <w:rsid w:val="009325A7"/>
    <w:rsid w:val="0095050B"/>
    <w:rsid w:val="009747D5"/>
    <w:rsid w:val="00975A60"/>
    <w:rsid w:val="009956F9"/>
    <w:rsid w:val="009B44BE"/>
    <w:rsid w:val="009F5B1B"/>
    <w:rsid w:val="00A312D8"/>
    <w:rsid w:val="00A41080"/>
    <w:rsid w:val="00A50AA7"/>
    <w:rsid w:val="00A57064"/>
    <w:rsid w:val="00AE6D72"/>
    <w:rsid w:val="00B05F09"/>
    <w:rsid w:val="00B31AC4"/>
    <w:rsid w:val="00B844E8"/>
    <w:rsid w:val="00BD08AB"/>
    <w:rsid w:val="00C1098C"/>
    <w:rsid w:val="00C67021"/>
    <w:rsid w:val="00CC3CF5"/>
    <w:rsid w:val="00CD4A1D"/>
    <w:rsid w:val="00D03AB2"/>
    <w:rsid w:val="00D13825"/>
    <w:rsid w:val="00D77D50"/>
    <w:rsid w:val="00DA20ED"/>
    <w:rsid w:val="00DC1CC5"/>
    <w:rsid w:val="00DC590C"/>
    <w:rsid w:val="00DE3D6D"/>
    <w:rsid w:val="00DF345F"/>
    <w:rsid w:val="00E1241B"/>
    <w:rsid w:val="00E162DA"/>
    <w:rsid w:val="00E33D5A"/>
    <w:rsid w:val="00F03F25"/>
    <w:rsid w:val="00F53968"/>
    <w:rsid w:val="00F71F11"/>
    <w:rsid w:val="00FD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72AA8"/>
  <w15:docId w15:val="{71617072-1A7B-4DAE-A26F-2235D74A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 w:unhideWhenUsed="1" w:qFormat="1"/>
    <w:lsdException w:name="heading 3" w:unhideWhenUsed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uiPriority w:val="34"/>
    <w:qFormat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rsid w:val="001203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C6FA1"/>
    <w:rPr>
      <w:color w:val="800080" w:themeColor="followedHyperlink"/>
      <w:u w:val="single"/>
    </w:rPr>
  </w:style>
  <w:style w:type="paragraph" w:styleId="Revision">
    <w:name w:val="Revision"/>
    <w:hidden/>
    <w:semiHidden/>
    <w:rsid w:val="00803F82"/>
    <w:rPr>
      <w:rFonts w:ascii="Arial" w:hAnsi="Arial"/>
      <w:sz w:val="2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ce.org.uk/guidance/ng91/documents/draft-guideline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rch.org.au/clinicalguide/guideline_index/acute_otitis_media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medicine.medscape.com/article/994656-overview" TargetMode="Externa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orrest\Documents\Custom%20Office%20Templates\Clinical%20guideline%20template%202019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Clinical guideline template 2019a</Template>
  <TotalTime>0</TotalTime>
  <Pages>4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Forrest Karen</dc:creator>
  <cp:lastModifiedBy>Karen Forrest</cp:lastModifiedBy>
  <cp:revision>3</cp:revision>
  <cp:lastPrinted>2019-05-31T09:53:00Z</cp:lastPrinted>
  <dcterms:created xsi:type="dcterms:W3CDTF">2019-05-27T14:58:00Z</dcterms:created>
  <dcterms:modified xsi:type="dcterms:W3CDTF">2019-05-31T09:53:00Z</dcterms:modified>
</cp:coreProperties>
</file>