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A48E1" w14:textId="77777777" w:rsidR="00C63454" w:rsidRPr="00DC590C" w:rsidRDefault="00C63454" w:rsidP="00047F3E">
      <w:pPr>
        <w:pStyle w:val="Heading1"/>
        <w:jc w:val="both"/>
        <w:rPr>
          <w:rFonts w:cs="Arial"/>
          <w:szCs w:val="22"/>
        </w:rPr>
      </w:pPr>
      <w:r>
        <w:rPr>
          <w:rFonts w:cs="Arial"/>
          <w:szCs w:val="22"/>
        </w:rPr>
        <w:t>Sexually transmitted infections (STI)</w:t>
      </w:r>
    </w:p>
    <w:p w14:paraId="4110CB6D" w14:textId="77777777" w:rsidR="000D4EAA" w:rsidRPr="00255444" w:rsidRDefault="000D4EAA" w:rsidP="00047F3E">
      <w:pPr>
        <w:pStyle w:val="Heading2"/>
        <w:jc w:val="both"/>
        <w:rPr>
          <w:i/>
        </w:rPr>
      </w:pPr>
      <w:r w:rsidRPr="00255444">
        <w:rPr>
          <w:i/>
        </w:rPr>
        <w:t>Executive summary</w:t>
      </w:r>
    </w:p>
    <w:p w14:paraId="3C58EAD7" w14:textId="77777777" w:rsidR="000D4EAA" w:rsidRPr="00916B6C" w:rsidRDefault="000D4EAA" w:rsidP="00047F3E">
      <w:pPr>
        <w:pStyle w:val="Heading2"/>
        <w:jc w:val="both"/>
      </w:pPr>
      <w:r w:rsidRPr="00916B6C">
        <w:t>Introduction</w:t>
      </w:r>
    </w:p>
    <w:p w14:paraId="3A361691" w14:textId="77777777" w:rsidR="000D4EAA" w:rsidRDefault="000D4EAA" w:rsidP="002F4865">
      <w:r>
        <w:t xml:space="preserve">Sexually transmitted infections are infections that can be transferred through sexual contact, from one individual to another. They include: syphillis, gonorrhoea, chlamydia, chancroid, genital herpes, genital warts, </w:t>
      </w:r>
      <w:r w:rsidRPr="00255444">
        <w:rPr>
          <w:i/>
        </w:rPr>
        <w:t>Trichomonas vaginalis</w:t>
      </w:r>
      <w:r>
        <w:t xml:space="preserve"> and HIV (discussed in a separate guideline).</w:t>
      </w:r>
      <w:r>
        <w:rPr>
          <w:b/>
        </w:rPr>
        <w:t xml:space="preserve"> </w:t>
      </w:r>
    </w:p>
    <w:p w14:paraId="480C980F" w14:textId="77777777" w:rsidR="000D4EAA" w:rsidRDefault="000D4EAA" w:rsidP="002F4865">
      <w:r>
        <w:t xml:space="preserve">Majority of people with STIs are asymptomatic or may present with non-specific signs and symptoms. Early detection and treatment are however of great significance as some STIs may result in serious long-term reproductive health problems.  </w:t>
      </w:r>
    </w:p>
    <w:p w14:paraId="26325A0F" w14:textId="77777777" w:rsidR="000D4EAA" w:rsidRPr="00916B6C" w:rsidRDefault="000D4EAA" w:rsidP="00047F3E">
      <w:pPr>
        <w:pStyle w:val="Heading2"/>
        <w:jc w:val="both"/>
      </w:pPr>
      <w:r w:rsidRPr="00916B6C">
        <w:t>Target users</w:t>
      </w:r>
    </w:p>
    <w:p w14:paraId="74B5A66C" w14:textId="77777777" w:rsidR="000D4EAA" w:rsidRPr="00916B6C" w:rsidRDefault="000D4EAA" w:rsidP="00047F3E">
      <w:pPr>
        <w:numPr>
          <w:ilvl w:val="0"/>
          <w:numId w:val="30"/>
        </w:numPr>
        <w:spacing w:after="5" w:line="249" w:lineRule="auto"/>
        <w:ind w:right="267"/>
        <w:contextualSpacing/>
        <w:jc w:val="both"/>
        <w:outlineLvl w:val="9"/>
      </w:pPr>
      <w:r w:rsidRPr="00916B6C">
        <w:t>Nurses</w:t>
      </w:r>
    </w:p>
    <w:p w14:paraId="77BE672E" w14:textId="77777777" w:rsidR="000D4EAA" w:rsidRPr="00916B6C" w:rsidRDefault="000D4EAA" w:rsidP="00047F3E">
      <w:pPr>
        <w:numPr>
          <w:ilvl w:val="0"/>
          <w:numId w:val="30"/>
        </w:numPr>
        <w:spacing w:after="5" w:line="249" w:lineRule="auto"/>
        <w:ind w:right="267"/>
        <w:contextualSpacing/>
        <w:jc w:val="both"/>
        <w:outlineLvl w:val="9"/>
      </w:pPr>
      <w:r w:rsidRPr="00916B6C">
        <w:t>Doctors</w:t>
      </w:r>
    </w:p>
    <w:p w14:paraId="5E8949EB" w14:textId="77777777" w:rsidR="000D4EAA" w:rsidRPr="00916B6C" w:rsidRDefault="000D4EAA" w:rsidP="00047F3E">
      <w:pPr>
        <w:pStyle w:val="Heading2"/>
        <w:jc w:val="both"/>
      </w:pPr>
      <w:r w:rsidRPr="00916B6C">
        <w:t xml:space="preserve">Target area of use </w:t>
      </w:r>
    </w:p>
    <w:p w14:paraId="53E5A01A" w14:textId="77777777" w:rsidR="000D4EAA" w:rsidRPr="00916B6C" w:rsidRDefault="000D4EAA" w:rsidP="00047F3E">
      <w:pPr>
        <w:numPr>
          <w:ilvl w:val="0"/>
          <w:numId w:val="31"/>
        </w:numPr>
        <w:spacing w:after="5" w:line="249" w:lineRule="auto"/>
        <w:ind w:right="267"/>
        <w:contextualSpacing/>
        <w:jc w:val="both"/>
        <w:outlineLvl w:val="9"/>
      </w:pPr>
      <w:r w:rsidRPr="00916B6C">
        <w:t>Gate Clinic</w:t>
      </w:r>
    </w:p>
    <w:p w14:paraId="2B3BD638" w14:textId="77777777" w:rsidR="000D4EAA" w:rsidRDefault="000D4EAA" w:rsidP="00047F3E">
      <w:pPr>
        <w:numPr>
          <w:ilvl w:val="0"/>
          <w:numId w:val="31"/>
        </w:numPr>
        <w:spacing w:after="5" w:line="249" w:lineRule="auto"/>
        <w:ind w:right="267"/>
        <w:contextualSpacing/>
        <w:jc w:val="both"/>
        <w:outlineLvl w:val="9"/>
      </w:pPr>
      <w:r w:rsidRPr="00916B6C">
        <w:t>OPD</w:t>
      </w:r>
    </w:p>
    <w:p w14:paraId="3195F4D7" w14:textId="77777777" w:rsidR="000D4EAA" w:rsidRPr="00916B6C" w:rsidRDefault="000D4EAA" w:rsidP="00047F3E">
      <w:pPr>
        <w:numPr>
          <w:ilvl w:val="0"/>
          <w:numId w:val="31"/>
        </w:numPr>
        <w:spacing w:after="5" w:line="249" w:lineRule="auto"/>
        <w:ind w:right="267"/>
        <w:contextualSpacing/>
        <w:jc w:val="both"/>
        <w:outlineLvl w:val="9"/>
      </w:pPr>
      <w:r>
        <w:t>Ward</w:t>
      </w:r>
    </w:p>
    <w:p w14:paraId="60DEB56B" w14:textId="77777777" w:rsidR="000D4EAA" w:rsidRPr="00916B6C" w:rsidRDefault="000D4EAA" w:rsidP="00047F3E">
      <w:pPr>
        <w:pStyle w:val="Heading2"/>
        <w:jc w:val="both"/>
      </w:pPr>
      <w:r w:rsidRPr="00916B6C">
        <w:t xml:space="preserve">Key areas of focus / New additions / Changes </w:t>
      </w:r>
    </w:p>
    <w:p w14:paraId="061B8E53" w14:textId="6C7B3C0C" w:rsidR="002F4865" w:rsidRDefault="000D4EAA" w:rsidP="002F4865">
      <w:r w:rsidRPr="00916B6C">
        <w:t xml:space="preserve">This guideline provides information on the diagnosis and treatment of </w:t>
      </w:r>
      <w:r>
        <w:t>common STIs using a syndromic approach.</w:t>
      </w:r>
      <w:r w:rsidRPr="00916B6C">
        <w:t xml:space="preserve"> Patients with typical presentation do not require further workup</w:t>
      </w:r>
      <w:r>
        <w:t xml:space="preserve"> beyond HIV screening unless specific indications are present</w:t>
      </w:r>
      <w:r w:rsidRPr="00916B6C">
        <w:t xml:space="preserve">. Treatment involves </w:t>
      </w:r>
      <w:r>
        <w:t>use of oral and/or parenteral antibiotics. Inpatient therapy may be indicated in some patients with acute pelvic inflammatory disease</w:t>
      </w:r>
      <w:r w:rsidRPr="00916B6C">
        <w:t xml:space="preserve">. </w:t>
      </w:r>
    </w:p>
    <w:p w14:paraId="4EBB8EF8" w14:textId="5162B362" w:rsidR="002F4865" w:rsidRPr="00916B6C" w:rsidRDefault="002F4865" w:rsidP="002F4865">
      <w:r>
        <w:t>A section has been added on the specific treatment of syphilis.</w:t>
      </w:r>
    </w:p>
    <w:p w14:paraId="46A62CA6" w14:textId="77777777" w:rsidR="000D4EAA" w:rsidRPr="00916B6C" w:rsidRDefault="000D4EAA" w:rsidP="00047F3E">
      <w:pPr>
        <w:pStyle w:val="Heading2"/>
        <w:jc w:val="both"/>
      </w:pPr>
      <w:r w:rsidRPr="00916B6C">
        <w:t>Limitations</w:t>
      </w:r>
    </w:p>
    <w:p w14:paraId="700BA7E8" w14:textId="77777777" w:rsidR="000D4EAA" w:rsidRPr="00916B6C" w:rsidRDefault="000D4EAA" w:rsidP="00047F3E">
      <w:pPr>
        <w:spacing w:after="160" w:line="259" w:lineRule="auto"/>
        <w:jc w:val="both"/>
        <w:rPr>
          <w:b/>
          <w:sz w:val="24"/>
        </w:rPr>
      </w:pPr>
      <w:r>
        <w:t xml:space="preserve">Culture and sensitivity studies are </w:t>
      </w:r>
      <w:r w:rsidRPr="00916B6C">
        <w:t xml:space="preserve">currently not available </w:t>
      </w:r>
      <w:r>
        <w:t>at Keneba and Basse</w:t>
      </w:r>
      <w:r w:rsidRPr="00916B6C">
        <w:rPr>
          <w:b/>
          <w:sz w:val="24"/>
        </w:rPr>
        <w:t>.</w:t>
      </w:r>
    </w:p>
    <w:p w14:paraId="0A3553B0" w14:textId="77777777" w:rsidR="000D4EAA" w:rsidRDefault="000D4EAA" w:rsidP="00047F3E">
      <w:pPr>
        <w:spacing w:after="160" w:line="259" w:lineRule="auto"/>
        <w:jc w:val="both"/>
      </w:pPr>
      <w:r>
        <w:br w:type="page"/>
      </w:r>
    </w:p>
    <w:p w14:paraId="1E156D9D" w14:textId="77777777" w:rsidR="00C63454" w:rsidRDefault="00C63454" w:rsidP="00047F3E">
      <w:pPr>
        <w:pStyle w:val="Heading2"/>
        <w:jc w:val="both"/>
        <w:rPr>
          <w:rFonts w:cs="Arial"/>
          <w:szCs w:val="22"/>
        </w:rPr>
      </w:pPr>
      <w:r w:rsidRPr="00DC590C">
        <w:rPr>
          <w:rFonts w:cs="Arial"/>
          <w:szCs w:val="22"/>
        </w:rPr>
        <w:lastRenderedPageBreak/>
        <w:t>Presenting symptoms and signs</w:t>
      </w:r>
    </w:p>
    <w:p w14:paraId="371AD8AF" w14:textId="77777777" w:rsidR="00C63454" w:rsidRDefault="00C63454" w:rsidP="00047F3E">
      <w:pPr>
        <w:pStyle w:val="Heading3"/>
      </w:pPr>
      <w:r>
        <w:t>Men:</w:t>
      </w:r>
    </w:p>
    <w:p w14:paraId="1BF77CD8" w14:textId="77777777" w:rsidR="00C63454" w:rsidRPr="007E0AD8" w:rsidRDefault="00C63454" w:rsidP="00047F3E">
      <w:pPr>
        <w:pStyle w:val="ListParagraph"/>
        <w:numPr>
          <w:ilvl w:val="0"/>
          <w:numId w:val="1"/>
        </w:numPr>
        <w:jc w:val="both"/>
      </w:pPr>
      <w:r w:rsidRPr="007E0AD8">
        <w:t>Urethral discharge</w:t>
      </w:r>
      <w:r>
        <w:t xml:space="preserve">: </w:t>
      </w:r>
      <w:r w:rsidRPr="007E0AD8">
        <w:t>It is usually accompanied by dysuria. Frequency and itchy sensation may also be present</w:t>
      </w:r>
    </w:p>
    <w:p w14:paraId="007D1C60" w14:textId="77777777" w:rsidR="00C63454" w:rsidRPr="007E0AD8" w:rsidRDefault="00C63454" w:rsidP="00047F3E">
      <w:pPr>
        <w:pStyle w:val="ListParagraph"/>
        <w:numPr>
          <w:ilvl w:val="0"/>
          <w:numId w:val="1"/>
        </w:numPr>
        <w:jc w:val="both"/>
      </w:pPr>
      <w:r w:rsidRPr="007E0AD8">
        <w:t>Genital ulcers</w:t>
      </w:r>
    </w:p>
    <w:p w14:paraId="5AB6414D" w14:textId="77777777" w:rsidR="00C63454" w:rsidRPr="007E0AD8" w:rsidRDefault="00C63454" w:rsidP="00047F3E">
      <w:pPr>
        <w:pStyle w:val="ListParagraph"/>
        <w:numPr>
          <w:ilvl w:val="0"/>
          <w:numId w:val="1"/>
        </w:numPr>
        <w:jc w:val="both"/>
      </w:pPr>
      <w:r w:rsidRPr="007E0AD8">
        <w:t>Inguinal mass</w:t>
      </w:r>
    </w:p>
    <w:p w14:paraId="1CF40A2E" w14:textId="77777777" w:rsidR="00C63454" w:rsidRPr="007E0AD8" w:rsidRDefault="00C63454" w:rsidP="00047F3E">
      <w:pPr>
        <w:pStyle w:val="ListParagraph"/>
        <w:numPr>
          <w:ilvl w:val="0"/>
          <w:numId w:val="1"/>
        </w:numPr>
        <w:jc w:val="both"/>
      </w:pPr>
      <w:r w:rsidRPr="007E0AD8">
        <w:t>Scrotal swelling</w:t>
      </w:r>
    </w:p>
    <w:p w14:paraId="59375888" w14:textId="77777777" w:rsidR="00C63454" w:rsidRPr="007E0AD8" w:rsidRDefault="00C63454" w:rsidP="00047F3E">
      <w:pPr>
        <w:pStyle w:val="ListParagraph"/>
        <w:numPr>
          <w:ilvl w:val="0"/>
          <w:numId w:val="1"/>
        </w:numPr>
        <w:jc w:val="both"/>
      </w:pPr>
      <w:r w:rsidRPr="007E0AD8">
        <w:t>Painful micturition</w:t>
      </w:r>
    </w:p>
    <w:p w14:paraId="3B4C40BC" w14:textId="77777777" w:rsidR="00C63454" w:rsidRPr="007E0AD8" w:rsidRDefault="00C63454" w:rsidP="00047F3E">
      <w:pPr>
        <w:pStyle w:val="ListParagraph"/>
        <w:numPr>
          <w:ilvl w:val="0"/>
          <w:numId w:val="1"/>
        </w:numPr>
        <w:jc w:val="both"/>
      </w:pPr>
      <w:r w:rsidRPr="007E0AD8">
        <w:t>May be asymptomatic</w:t>
      </w:r>
    </w:p>
    <w:p w14:paraId="775C3247" w14:textId="77777777" w:rsidR="00C63454" w:rsidRDefault="00C63454" w:rsidP="00047F3E">
      <w:pPr>
        <w:pStyle w:val="Heading3"/>
      </w:pPr>
      <w:r>
        <w:t>Women:</w:t>
      </w:r>
    </w:p>
    <w:p w14:paraId="2701C0A9" w14:textId="77777777" w:rsidR="00C63454" w:rsidRPr="007E0AD8" w:rsidRDefault="00C63454" w:rsidP="00047F3E">
      <w:pPr>
        <w:pStyle w:val="ListParagraph"/>
        <w:numPr>
          <w:ilvl w:val="0"/>
          <w:numId w:val="25"/>
        </w:numPr>
        <w:jc w:val="both"/>
      </w:pPr>
      <w:r w:rsidRPr="007E0AD8">
        <w:t>Vaginal discharge</w:t>
      </w:r>
    </w:p>
    <w:p w14:paraId="0948D868" w14:textId="77777777" w:rsidR="00C63454" w:rsidRDefault="00C63454" w:rsidP="00047F3E">
      <w:pPr>
        <w:pStyle w:val="ListParagraph"/>
        <w:numPr>
          <w:ilvl w:val="0"/>
          <w:numId w:val="25"/>
        </w:numPr>
        <w:jc w:val="both"/>
      </w:pPr>
      <w:r w:rsidRPr="007E0AD8">
        <w:t>Genital ulcers</w:t>
      </w:r>
    </w:p>
    <w:p w14:paraId="4AA2CC6C" w14:textId="77777777" w:rsidR="00C63454" w:rsidRPr="00BD2A74" w:rsidRDefault="00C63454" w:rsidP="00047F3E">
      <w:pPr>
        <w:pStyle w:val="ListParagraph"/>
        <w:numPr>
          <w:ilvl w:val="0"/>
          <w:numId w:val="25"/>
        </w:numPr>
        <w:jc w:val="both"/>
      </w:pPr>
      <w:r w:rsidRPr="00BD2A74">
        <w:t>Inguinal mass</w:t>
      </w:r>
    </w:p>
    <w:p w14:paraId="62891F61" w14:textId="77777777" w:rsidR="00C63454" w:rsidRPr="007E0AD8" w:rsidRDefault="00C63454" w:rsidP="00047F3E">
      <w:pPr>
        <w:pStyle w:val="ListParagraph"/>
        <w:numPr>
          <w:ilvl w:val="0"/>
          <w:numId w:val="25"/>
        </w:numPr>
        <w:jc w:val="both"/>
      </w:pPr>
      <w:r w:rsidRPr="007E0AD8">
        <w:t>Lower abdominal pain</w:t>
      </w:r>
    </w:p>
    <w:p w14:paraId="4185A567" w14:textId="77777777" w:rsidR="00C63454" w:rsidRPr="007E0AD8" w:rsidRDefault="00C63454" w:rsidP="00047F3E">
      <w:pPr>
        <w:pStyle w:val="ListParagraph"/>
        <w:numPr>
          <w:ilvl w:val="0"/>
          <w:numId w:val="25"/>
        </w:numPr>
        <w:jc w:val="both"/>
      </w:pPr>
      <w:r w:rsidRPr="007E0AD8">
        <w:t xml:space="preserve">Fever </w:t>
      </w:r>
    </w:p>
    <w:p w14:paraId="3F27401A" w14:textId="77777777" w:rsidR="00C63454" w:rsidRPr="007E0AD8" w:rsidRDefault="00C63454" w:rsidP="00047F3E">
      <w:pPr>
        <w:pStyle w:val="ListParagraph"/>
        <w:numPr>
          <w:ilvl w:val="0"/>
          <w:numId w:val="25"/>
        </w:numPr>
        <w:jc w:val="both"/>
      </w:pPr>
      <w:r w:rsidRPr="007E0AD8">
        <w:t>May be asymptomatic</w:t>
      </w:r>
    </w:p>
    <w:p w14:paraId="5FD2FD8F" w14:textId="77777777" w:rsidR="00C63454" w:rsidRPr="00DC590C" w:rsidRDefault="00C63454" w:rsidP="00047F3E">
      <w:pPr>
        <w:pStyle w:val="Heading2"/>
        <w:jc w:val="both"/>
        <w:rPr>
          <w:rFonts w:cs="Arial"/>
          <w:szCs w:val="22"/>
        </w:rPr>
      </w:pPr>
      <w:r w:rsidRPr="00DC590C">
        <w:rPr>
          <w:rFonts w:cs="Arial"/>
          <w:szCs w:val="22"/>
        </w:rPr>
        <w:t>Examination findings</w:t>
      </w:r>
    </w:p>
    <w:p w14:paraId="3C56482B" w14:textId="77777777" w:rsidR="00C63454" w:rsidRPr="007E0AD8" w:rsidRDefault="00C63454" w:rsidP="00047F3E">
      <w:pPr>
        <w:pStyle w:val="Heading2"/>
        <w:jc w:val="both"/>
        <w:rPr>
          <w:rFonts w:cs="Arial"/>
          <w:b w:val="0"/>
          <w:szCs w:val="24"/>
        </w:rPr>
      </w:pPr>
      <w:r w:rsidRPr="007E0AD8">
        <w:rPr>
          <w:rFonts w:cs="Arial"/>
          <w:b w:val="0"/>
          <w:szCs w:val="24"/>
        </w:rPr>
        <w:t>Following a general and abdominal examination, in-depth examination of the genitalia should be undertaken.</w:t>
      </w:r>
    </w:p>
    <w:p w14:paraId="551B5EB4" w14:textId="77777777" w:rsidR="00C63454" w:rsidRPr="007E0AD8" w:rsidRDefault="00C63454" w:rsidP="00047F3E">
      <w:pPr>
        <w:pStyle w:val="Heading3"/>
      </w:pPr>
      <w:r>
        <w:t>Men:</w:t>
      </w:r>
    </w:p>
    <w:p w14:paraId="160D0B5D" w14:textId="77777777" w:rsidR="00C63454" w:rsidRPr="007E0AD8" w:rsidRDefault="00C63454" w:rsidP="00047F3E">
      <w:pPr>
        <w:jc w:val="both"/>
      </w:pPr>
      <w:r w:rsidRPr="007E0AD8">
        <w:t xml:space="preserve">Inspection: the penis should be inspected. </w:t>
      </w:r>
      <w:r>
        <w:t>T</w:t>
      </w:r>
      <w:r w:rsidRPr="007E0AD8">
        <w:t>he opening of the urethra should be examined for discharge. Discharge should be milked-out if none is seen at initial inspection. The phallus skin should be examined for ulcers. If ulcers are present</w:t>
      </w:r>
      <w:r>
        <w:t>,</w:t>
      </w:r>
      <w:r w:rsidRPr="007E0AD8">
        <w:t xml:space="preserve"> note</w:t>
      </w:r>
      <w:r>
        <w:t xml:space="preserve"> their</w:t>
      </w:r>
      <w:r w:rsidRPr="007E0AD8">
        <w:t xml:space="preserve"> number and </w:t>
      </w:r>
      <w:r>
        <w:t xml:space="preserve">the </w:t>
      </w:r>
      <w:r w:rsidRPr="007E0AD8">
        <w:t>presence of any tenderness.</w:t>
      </w:r>
    </w:p>
    <w:p w14:paraId="0D79BED0" w14:textId="77777777" w:rsidR="00C63454" w:rsidRPr="007E0AD8" w:rsidRDefault="00C63454" w:rsidP="00047F3E">
      <w:pPr>
        <w:jc w:val="both"/>
      </w:pPr>
      <w:r w:rsidRPr="007E0AD8">
        <w:t>Palpation: palpate for inguinal lymph nodes</w:t>
      </w:r>
    </w:p>
    <w:p w14:paraId="34E902D3" w14:textId="77777777" w:rsidR="00C63454" w:rsidRPr="007E0AD8" w:rsidRDefault="00C63454" w:rsidP="00047F3E">
      <w:pPr>
        <w:pStyle w:val="Heading3"/>
      </w:pPr>
      <w:r>
        <w:t>Women:</w:t>
      </w:r>
    </w:p>
    <w:p w14:paraId="6A1E1C29" w14:textId="77777777" w:rsidR="00C63454" w:rsidRPr="007E0AD8" w:rsidRDefault="00C63454" w:rsidP="00047F3E">
      <w:pPr>
        <w:jc w:val="both"/>
      </w:pPr>
      <w:r w:rsidRPr="007E0AD8">
        <w:t xml:space="preserve">Inspection: the vulva region should be inspected first for any discharge, ulcers or warts. Following this, a speculum examination should be carried out. Inspect the cervix, and </w:t>
      </w:r>
      <w:r>
        <w:t xml:space="preserve">vagina as the speculum is eased </w:t>
      </w:r>
      <w:r w:rsidRPr="007E0AD8">
        <w:t xml:space="preserve">out. The origin of vaginal discharge is of importance. If </w:t>
      </w:r>
      <w:r>
        <w:t xml:space="preserve">it is </w:t>
      </w:r>
      <w:r w:rsidRPr="007E0AD8">
        <w:t>seen</w:t>
      </w:r>
      <w:r>
        <w:t xml:space="preserve"> to come</w:t>
      </w:r>
      <w:r w:rsidRPr="007E0AD8">
        <w:t xml:space="preserve"> from the cervix, </w:t>
      </w:r>
      <w:r>
        <w:t>g</w:t>
      </w:r>
      <w:r w:rsidRPr="007E0AD8">
        <w:t xml:space="preserve">onorrhoeal and </w:t>
      </w:r>
      <w:r>
        <w:t>c</w:t>
      </w:r>
      <w:r w:rsidRPr="007E0AD8">
        <w:t>hlamydia</w:t>
      </w:r>
      <w:r>
        <w:t>l</w:t>
      </w:r>
      <w:r w:rsidRPr="007E0AD8">
        <w:t xml:space="preserve"> infections are more likely.</w:t>
      </w:r>
    </w:p>
    <w:p w14:paraId="202B43FD" w14:textId="77777777" w:rsidR="00C63454" w:rsidRPr="007E0AD8" w:rsidRDefault="00C63454" w:rsidP="00047F3E">
      <w:pPr>
        <w:pStyle w:val="Heading3"/>
      </w:pPr>
      <w:r w:rsidRPr="007E0AD8">
        <w:t xml:space="preserve">Important things to look for </w:t>
      </w:r>
    </w:p>
    <w:p w14:paraId="36DBF463" w14:textId="77777777" w:rsidR="00C63454" w:rsidRPr="00A76C89" w:rsidRDefault="00C63454" w:rsidP="00047F3E">
      <w:pPr>
        <w:pStyle w:val="ListParagraph"/>
        <w:numPr>
          <w:ilvl w:val="0"/>
          <w:numId w:val="26"/>
        </w:numPr>
        <w:jc w:val="both"/>
        <w:rPr>
          <w:b/>
        </w:rPr>
      </w:pPr>
      <w:r w:rsidRPr="007E0AD8">
        <w:t>Colour and consistency of discharge if present</w:t>
      </w:r>
    </w:p>
    <w:p w14:paraId="2F3B4BA3" w14:textId="77777777" w:rsidR="00C63454" w:rsidRPr="007E0AD8" w:rsidRDefault="00C63454" w:rsidP="00047F3E">
      <w:pPr>
        <w:pStyle w:val="ListParagraph"/>
        <w:numPr>
          <w:ilvl w:val="0"/>
          <w:numId w:val="26"/>
        </w:numPr>
        <w:jc w:val="both"/>
      </w:pPr>
      <w:r w:rsidRPr="007E0AD8">
        <w:t>Number of ulcers if present and associated tenderness</w:t>
      </w:r>
    </w:p>
    <w:p w14:paraId="10D1859C" w14:textId="77777777" w:rsidR="00C63454" w:rsidRPr="007E0AD8" w:rsidRDefault="00C63454" w:rsidP="00047F3E">
      <w:pPr>
        <w:pStyle w:val="ListParagraph"/>
        <w:numPr>
          <w:ilvl w:val="0"/>
          <w:numId w:val="26"/>
        </w:numPr>
        <w:jc w:val="both"/>
      </w:pPr>
      <w:r w:rsidRPr="007E0AD8">
        <w:t>Presence of inguinal lymph nodes</w:t>
      </w:r>
    </w:p>
    <w:p w14:paraId="39C413F4" w14:textId="77777777" w:rsidR="008079B9" w:rsidRDefault="008079B9" w:rsidP="00047F3E">
      <w:pPr>
        <w:spacing w:after="0"/>
        <w:jc w:val="both"/>
        <w:outlineLvl w:val="9"/>
        <w:rPr>
          <w:b/>
          <w:sz w:val="24"/>
        </w:rPr>
      </w:pPr>
      <w:r>
        <w:br w:type="page"/>
      </w:r>
    </w:p>
    <w:p w14:paraId="50FF5988" w14:textId="20716889" w:rsidR="00C63454" w:rsidRPr="00047F3E" w:rsidRDefault="00C63454" w:rsidP="00047F3E">
      <w:pPr>
        <w:pStyle w:val="Heading2"/>
        <w:jc w:val="both"/>
        <w:rPr>
          <w:rFonts w:cs="Arial"/>
          <w:sz w:val="32"/>
          <w:szCs w:val="32"/>
        </w:rPr>
      </w:pPr>
      <w:r w:rsidRPr="00047F3E">
        <w:rPr>
          <w:rFonts w:cs="Arial"/>
          <w:sz w:val="32"/>
          <w:szCs w:val="32"/>
        </w:rPr>
        <w:lastRenderedPageBreak/>
        <w:t>Differential diagnoses</w:t>
      </w:r>
    </w:p>
    <w:p w14:paraId="6F1AA885" w14:textId="77777777" w:rsidR="00C63454" w:rsidRDefault="00C63454" w:rsidP="00047F3E">
      <w:pPr>
        <w:jc w:val="both"/>
      </w:pPr>
      <w:r w:rsidRPr="0091718F">
        <w:rPr>
          <w:b/>
          <w:bCs/>
        </w:rPr>
        <w:t>Urethral discharge</w:t>
      </w:r>
      <w:r>
        <w:t>: gonorrhea, chlamydia</w:t>
      </w:r>
    </w:p>
    <w:p w14:paraId="6CBFE8A8" w14:textId="076ED667" w:rsidR="00C63454" w:rsidRDefault="00C63454" w:rsidP="00047F3E">
      <w:pPr>
        <w:jc w:val="both"/>
      </w:pPr>
      <w:r w:rsidRPr="0091718F">
        <w:rPr>
          <w:b/>
          <w:bCs/>
        </w:rPr>
        <w:t>Genital ulcer</w:t>
      </w:r>
      <w:r>
        <w:t>: syphilis</w:t>
      </w:r>
      <w:r w:rsidR="0091718F">
        <w:t xml:space="preserve"> (</w:t>
      </w:r>
      <w:r w:rsidR="0091718F" w:rsidRPr="0091718F">
        <w:rPr>
          <w:i/>
          <w:iCs/>
        </w:rPr>
        <w:t>Treponema pallidum</w:t>
      </w:r>
      <w:r w:rsidR="0091718F">
        <w:t>)</w:t>
      </w:r>
      <w:r>
        <w:t>, chancroid</w:t>
      </w:r>
      <w:r w:rsidR="0091718F">
        <w:t xml:space="preserve"> (</w:t>
      </w:r>
      <w:r w:rsidR="0091718F" w:rsidRPr="0091718F">
        <w:rPr>
          <w:i/>
          <w:iCs/>
        </w:rPr>
        <w:t>Haemophilus ducreyi</w:t>
      </w:r>
      <w:r w:rsidR="0091718F">
        <w:t>)</w:t>
      </w:r>
      <w:r>
        <w:t>, granuloma inguinale</w:t>
      </w:r>
      <w:r w:rsidR="0091718F">
        <w:t xml:space="preserve"> (</w:t>
      </w:r>
      <w:r w:rsidR="0091718F" w:rsidRPr="0091718F">
        <w:rPr>
          <w:i/>
          <w:iCs/>
        </w:rPr>
        <w:t>Klebsiella granulomatis</w:t>
      </w:r>
      <w:r w:rsidR="0091718F">
        <w:t>)</w:t>
      </w:r>
      <w:r>
        <w:t>, lymphogranuloma venereum</w:t>
      </w:r>
      <w:r w:rsidR="0091718F">
        <w:t xml:space="preserve"> (</w:t>
      </w:r>
      <w:r>
        <w:t>LGV)</w:t>
      </w:r>
      <w:r w:rsidR="0091718F">
        <w:t xml:space="preserve"> (</w:t>
      </w:r>
      <w:r w:rsidR="0091718F" w:rsidRPr="0091718F">
        <w:rPr>
          <w:i/>
          <w:iCs/>
        </w:rPr>
        <w:t>Chlamydia trachomatis</w:t>
      </w:r>
      <w:r w:rsidR="0091718F">
        <w:t>)</w:t>
      </w:r>
      <w:r>
        <w:t xml:space="preserve">, </w:t>
      </w:r>
      <w:r w:rsidR="0091718F">
        <w:t>genital herpes (</w:t>
      </w:r>
      <w:r w:rsidR="0091718F" w:rsidRPr="0091718F">
        <w:rPr>
          <w:i/>
          <w:iCs/>
        </w:rPr>
        <w:t>Herpes Simplex Virus 1,2</w:t>
      </w:r>
      <w:r w:rsidR="0091718F">
        <w:t>)</w:t>
      </w:r>
    </w:p>
    <w:p w14:paraId="194D5611" w14:textId="77777777" w:rsidR="00C63454" w:rsidRDefault="00C63454" w:rsidP="00047F3E">
      <w:pPr>
        <w:jc w:val="both"/>
      </w:pPr>
      <w:r w:rsidRPr="0091718F">
        <w:rPr>
          <w:b/>
          <w:bCs/>
        </w:rPr>
        <w:t>Scrotal swelling</w:t>
      </w:r>
      <w:r>
        <w:t>: testicular torsion, epididymitis (gonorrhea, chlamydia)</w:t>
      </w:r>
    </w:p>
    <w:p w14:paraId="46EB8658" w14:textId="77777777" w:rsidR="00C63454" w:rsidRDefault="00C63454" w:rsidP="00047F3E">
      <w:pPr>
        <w:jc w:val="both"/>
      </w:pPr>
      <w:r w:rsidRPr="0091718F">
        <w:rPr>
          <w:b/>
          <w:bCs/>
        </w:rPr>
        <w:t>Vaginal discharge:</w:t>
      </w:r>
      <w:r>
        <w:t xml:space="preserve"> candidiasis, bacterial vaginosis, chlamydia, gonorrhea, </w:t>
      </w:r>
      <w:r w:rsidRPr="00A9373B">
        <w:rPr>
          <w:i/>
        </w:rPr>
        <w:t>Trichomonas vaginalis</w:t>
      </w:r>
    </w:p>
    <w:p w14:paraId="24FE8663" w14:textId="66A39AB6" w:rsidR="00047F3E" w:rsidRPr="00047F3E" w:rsidRDefault="00C63454" w:rsidP="00047F3E">
      <w:pPr>
        <w:jc w:val="both"/>
        <w:rPr>
          <w:i/>
        </w:rPr>
      </w:pPr>
      <w:r w:rsidRPr="0091718F">
        <w:rPr>
          <w:b/>
          <w:bCs/>
        </w:rPr>
        <w:t>Neonatal conjunctivitis</w:t>
      </w:r>
      <w:r>
        <w:t xml:space="preserve">: gonorrhea, chlamydia, other organisms: </w:t>
      </w:r>
      <w:r w:rsidRPr="00A9373B">
        <w:rPr>
          <w:i/>
        </w:rPr>
        <w:t>Staphylococcus aureus, Streptococcus pneumoniae, Haemophilus spp</w:t>
      </w:r>
    </w:p>
    <w:p w14:paraId="5AFF7B4F" w14:textId="4EDA3A61" w:rsidR="00C63454" w:rsidRPr="00047F3E" w:rsidRDefault="00047F3E" w:rsidP="00047F3E">
      <w:pPr>
        <w:pStyle w:val="Heading2"/>
        <w:jc w:val="both"/>
        <w:rPr>
          <w:rFonts w:cs="Arial"/>
          <w:sz w:val="28"/>
        </w:rPr>
      </w:pPr>
      <w:r>
        <w:rPr>
          <w:rFonts w:cs="Arial"/>
          <w:sz w:val="28"/>
        </w:rPr>
        <w:t>I</w:t>
      </w:r>
      <w:r w:rsidR="00C63454" w:rsidRPr="00047F3E">
        <w:rPr>
          <w:rFonts w:cs="Arial"/>
          <w:sz w:val="28"/>
        </w:rPr>
        <w:t>nvestigations</w:t>
      </w:r>
    </w:p>
    <w:p w14:paraId="162A7F63" w14:textId="77777777" w:rsidR="00C63454" w:rsidRDefault="00C63454" w:rsidP="00047F3E">
      <w:pPr>
        <w:jc w:val="both"/>
      </w:pPr>
      <w:r>
        <w:t xml:space="preserve">HIV Screen should be offered to all patients. </w:t>
      </w:r>
    </w:p>
    <w:p w14:paraId="7765ABD7" w14:textId="77777777" w:rsidR="00C63454" w:rsidRDefault="00C63454" w:rsidP="00047F3E">
      <w:pPr>
        <w:jc w:val="both"/>
      </w:pPr>
      <w:r>
        <w:t>Syndromic management does not require other investigations to be done. If there are specific indications appropriate investigations might include:</w:t>
      </w:r>
    </w:p>
    <w:p w14:paraId="127E3DC3" w14:textId="77777777" w:rsidR="00C63454" w:rsidRDefault="00C63454" w:rsidP="00047F3E">
      <w:pPr>
        <w:jc w:val="both"/>
      </w:pPr>
      <w:r>
        <w:t xml:space="preserve">FBC, Urethral swab </w:t>
      </w:r>
      <w:proofErr w:type="gramStart"/>
      <w:r>
        <w:t>M,C</w:t>
      </w:r>
      <w:proofErr w:type="gramEnd"/>
      <w:r>
        <w:t>&amp;S, High vaginal swab M,C&amp;S, Endocervical swab M,C&amp;S</w:t>
      </w:r>
    </w:p>
    <w:p w14:paraId="7D83CA51" w14:textId="2D731A0D" w:rsidR="00047F3E" w:rsidRPr="00047F3E" w:rsidRDefault="00C63454" w:rsidP="00047F3E">
      <w:pPr>
        <w:jc w:val="both"/>
      </w:pPr>
      <w:r>
        <w:t xml:space="preserve">Test for syphilis (VDRL, TPHA) – especially for patients with genital ulcer. </w:t>
      </w:r>
    </w:p>
    <w:p w14:paraId="6CA81FED" w14:textId="53765410" w:rsidR="00C63454" w:rsidRPr="00047F3E" w:rsidRDefault="00047F3E" w:rsidP="00047F3E">
      <w:pPr>
        <w:pStyle w:val="Heading2"/>
        <w:jc w:val="both"/>
        <w:rPr>
          <w:rFonts w:cs="Arial"/>
          <w:sz w:val="28"/>
        </w:rPr>
      </w:pPr>
      <w:r w:rsidRPr="00047F3E">
        <w:rPr>
          <w:rFonts w:cs="Arial"/>
          <w:sz w:val="28"/>
        </w:rPr>
        <w:t>M</w:t>
      </w:r>
      <w:r w:rsidR="00C63454" w:rsidRPr="00047F3E">
        <w:rPr>
          <w:rFonts w:cs="Arial"/>
          <w:sz w:val="28"/>
        </w:rPr>
        <w:t>anagement</w:t>
      </w:r>
    </w:p>
    <w:p w14:paraId="08DDA6C9" w14:textId="77777777" w:rsidR="00C63454" w:rsidRDefault="00C63454" w:rsidP="00047F3E">
      <w:pPr>
        <w:jc w:val="both"/>
        <w:rPr>
          <w:lang w:val="en-GB"/>
        </w:rPr>
      </w:pPr>
      <w:r>
        <w:rPr>
          <w:lang w:val="en-GB"/>
        </w:rPr>
        <w:t>Ask all patients</w:t>
      </w:r>
      <w:r w:rsidRPr="00341E12">
        <w:rPr>
          <w:lang w:val="en-GB"/>
        </w:rPr>
        <w:t xml:space="preserve"> about </w:t>
      </w:r>
      <w:r>
        <w:rPr>
          <w:lang w:val="en-GB"/>
        </w:rPr>
        <w:t xml:space="preserve">their </w:t>
      </w:r>
      <w:r w:rsidRPr="00341E12">
        <w:rPr>
          <w:lang w:val="en-GB"/>
        </w:rPr>
        <w:t xml:space="preserve">sexual partners. </w:t>
      </w:r>
    </w:p>
    <w:p w14:paraId="3A541ED9" w14:textId="77777777" w:rsidR="00C63454" w:rsidRDefault="00C63454" w:rsidP="00047F3E">
      <w:pPr>
        <w:jc w:val="both"/>
        <w:rPr>
          <w:lang w:val="en-GB"/>
        </w:rPr>
      </w:pPr>
      <w:r>
        <w:rPr>
          <w:lang w:val="en-GB"/>
        </w:rPr>
        <w:t>Describe s</w:t>
      </w:r>
      <w:r w:rsidRPr="00341E12">
        <w:rPr>
          <w:lang w:val="en-GB"/>
        </w:rPr>
        <w:t xml:space="preserve">exual transmission of infections </w:t>
      </w:r>
      <w:r>
        <w:rPr>
          <w:lang w:val="en-GB"/>
        </w:rPr>
        <w:t>and advise on</w:t>
      </w:r>
      <w:r w:rsidRPr="00341E12">
        <w:rPr>
          <w:lang w:val="en-GB"/>
        </w:rPr>
        <w:t xml:space="preserve"> reduc</w:t>
      </w:r>
      <w:r>
        <w:rPr>
          <w:lang w:val="en-GB"/>
        </w:rPr>
        <w:t>ing</w:t>
      </w:r>
      <w:r w:rsidRPr="00341E12">
        <w:rPr>
          <w:lang w:val="en-GB"/>
        </w:rPr>
        <w:t xml:space="preserve"> the risk of this by being faithful to one partner who is also faithful (or group of partners in a polygamous marriage) and by condom use if this is not possible. </w:t>
      </w:r>
    </w:p>
    <w:p w14:paraId="48303CA7" w14:textId="51279FD2" w:rsidR="00C63454" w:rsidRPr="00341E12" w:rsidRDefault="00C63454" w:rsidP="00047F3E">
      <w:pPr>
        <w:jc w:val="both"/>
        <w:rPr>
          <w:lang w:val="en-GB"/>
        </w:rPr>
      </w:pPr>
      <w:r>
        <w:rPr>
          <w:lang w:val="en-GB"/>
        </w:rPr>
        <w:t>Ask patients to</w:t>
      </w:r>
      <w:r w:rsidRPr="00341E12">
        <w:rPr>
          <w:lang w:val="en-GB"/>
        </w:rPr>
        <w:t xml:space="preserve"> bring partn</w:t>
      </w:r>
      <w:r>
        <w:rPr>
          <w:lang w:val="en-GB"/>
        </w:rPr>
        <w:t>ers to the clinic for treatment</w:t>
      </w:r>
      <w:r w:rsidR="00047F3E">
        <w:rPr>
          <w:lang w:val="en-GB"/>
        </w:rPr>
        <w:t xml:space="preserve">. </w:t>
      </w:r>
      <w:r>
        <w:rPr>
          <w:lang w:val="en-GB"/>
        </w:rPr>
        <w:t>Advise them to</w:t>
      </w:r>
      <w:r w:rsidRPr="00341E12">
        <w:rPr>
          <w:lang w:val="en-GB"/>
        </w:rPr>
        <w:t xml:space="preserve"> abstain from sexual contact until all partners have been treated. </w:t>
      </w:r>
    </w:p>
    <w:p w14:paraId="7D93B9FE" w14:textId="77777777" w:rsidR="00C63454" w:rsidRPr="00341E12" w:rsidRDefault="00C63454" w:rsidP="00047F3E">
      <w:pPr>
        <w:jc w:val="both"/>
        <w:rPr>
          <w:lang w:val="en-GB"/>
        </w:rPr>
      </w:pPr>
      <w:r>
        <w:rPr>
          <w:lang w:val="en-GB"/>
        </w:rPr>
        <w:t>Provide pre-test counselling for HIV testing and offer a test if accepted.</w:t>
      </w:r>
    </w:p>
    <w:p w14:paraId="2753319F" w14:textId="77777777" w:rsidR="00C63454" w:rsidRDefault="00C63454" w:rsidP="00047F3E">
      <w:pPr>
        <w:jc w:val="both"/>
        <w:rPr>
          <w:lang w:val="en-GB"/>
        </w:rPr>
      </w:pPr>
      <w:r w:rsidRPr="00341E12">
        <w:rPr>
          <w:lang w:val="en-GB"/>
        </w:rPr>
        <w:t>A</w:t>
      </w:r>
      <w:r>
        <w:rPr>
          <w:lang w:val="en-GB"/>
        </w:rPr>
        <w:t>dvise patients</w:t>
      </w:r>
      <w:r w:rsidRPr="00341E12">
        <w:rPr>
          <w:lang w:val="en-GB"/>
        </w:rPr>
        <w:t xml:space="preserve"> to seek further medical attention if their symptoms have not resolved by a week after treatment. </w:t>
      </w:r>
      <w:r>
        <w:rPr>
          <w:lang w:val="en-GB"/>
        </w:rPr>
        <w:t>Give them an appointment 7 days later to check on their progress and to facilitate partner management.</w:t>
      </w:r>
    </w:p>
    <w:p w14:paraId="3DA36D6A" w14:textId="77777777" w:rsidR="00C63454" w:rsidRPr="007E0AD8" w:rsidRDefault="00C63454" w:rsidP="00047F3E">
      <w:pPr>
        <w:jc w:val="both"/>
        <w:rPr>
          <w:b/>
        </w:rPr>
      </w:pPr>
      <w:r w:rsidRPr="007E0AD8">
        <w:t>A syndromic approach to management is currently advocated for by WHO in low-resource settings due to the lack of appropriate investigations. This involves the use of certain signs and symptoms to guide treatment.</w:t>
      </w:r>
    </w:p>
    <w:p w14:paraId="41A94E61" w14:textId="77777777" w:rsidR="00C63454" w:rsidRPr="007E0AD8" w:rsidRDefault="00C63454" w:rsidP="00047F3E">
      <w:pPr>
        <w:jc w:val="both"/>
      </w:pPr>
      <w:r w:rsidRPr="007E0AD8">
        <w:t>There are 6 syndromes:</w:t>
      </w:r>
    </w:p>
    <w:p w14:paraId="1730B509" w14:textId="77777777" w:rsidR="00C63454" w:rsidRPr="007E0AD8" w:rsidRDefault="00C63454" w:rsidP="00047F3E">
      <w:pPr>
        <w:pStyle w:val="ListParagraph"/>
        <w:numPr>
          <w:ilvl w:val="0"/>
          <w:numId w:val="27"/>
        </w:numPr>
        <w:jc w:val="both"/>
      </w:pPr>
      <w:r w:rsidRPr="007E0AD8">
        <w:t>Urethral discharge</w:t>
      </w:r>
    </w:p>
    <w:p w14:paraId="429DCCEC" w14:textId="77777777" w:rsidR="00C63454" w:rsidRPr="007E0AD8" w:rsidRDefault="00C63454" w:rsidP="00047F3E">
      <w:pPr>
        <w:pStyle w:val="ListParagraph"/>
        <w:numPr>
          <w:ilvl w:val="0"/>
          <w:numId w:val="27"/>
        </w:numPr>
        <w:jc w:val="both"/>
      </w:pPr>
      <w:r w:rsidRPr="007E0AD8">
        <w:t>Vaginal discharge</w:t>
      </w:r>
    </w:p>
    <w:p w14:paraId="3ACB4B7B" w14:textId="77777777" w:rsidR="00C63454" w:rsidRDefault="00C63454" w:rsidP="00047F3E">
      <w:pPr>
        <w:pStyle w:val="ListParagraph"/>
        <w:numPr>
          <w:ilvl w:val="0"/>
          <w:numId w:val="27"/>
        </w:numPr>
        <w:jc w:val="both"/>
      </w:pPr>
      <w:r w:rsidRPr="007E0AD8">
        <w:t>Scrotal swelling</w:t>
      </w:r>
    </w:p>
    <w:p w14:paraId="241B8E0B" w14:textId="77777777" w:rsidR="00C63454" w:rsidRPr="007E0AD8" w:rsidRDefault="00C63454" w:rsidP="00047F3E">
      <w:pPr>
        <w:pStyle w:val="ListParagraph"/>
        <w:numPr>
          <w:ilvl w:val="0"/>
          <w:numId w:val="27"/>
        </w:numPr>
        <w:jc w:val="both"/>
      </w:pPr>
      <w:r w:rsidRPr="007E0AD8">
        <w:t>Genital ulcer</w:t>
      </w:r>
    </w:p>
    <w:p w14:paraId="50250619" w14:textId="77777777" w:rsidR="00C63454" w:rsidRPr="007E0AD8" w:rsidRDefault="00C63454" w:rsidP="00047F3E">
      <w:pPr>
        <w:pStyle w:val="ListParagraph"/>
        <w:numPr>
          <w:ilvl w:val="0"/>
          <w:numId w:val="27"/>
        </w:numPr>
        <w:jc w:val="both"/>
      </w:pPr>
      <w:r w:rsidRPr="007E0AD8">
        <w:t>Lower abdominal pain</w:t>
      </w:r>
    </w:p>
    <w:p w14:paraId="3767DF93" w14:textId="77777777" w:rsidR="00C63454" w:rsidRPr="007E0AD8" w:rsidRDefault="00C63454" w:rsidP="00047F3E">
      <w:pPr>
        <w:pStyle w:val="ListParagraph"/>
        <w:numPr>
          <w:ilvl w:val="0"/>
          <w:numId w:val="27"/>
        </w:numPr>
        <w:jc w:val="both"/>
      </w:pPr>
      <w:r w:rsidRPr="007E0AD8">
        <w:t>Neonatal conjunctivitis</w:t>
      </w:r>
    </w:p>
    <w:p w14:paraId="26F8D2DC" w14:textId="5D6CEB6A" w:rsidR="00C63454" w:rsidRDefault="00C63454" w:rsidP="00047F3E">
      <w:pPr>
        <w:jc w:val="both"/>
      </w:pPr>
      <w:r>
        <w:lastRenderedPageBreak/>
        <w:t xml:space="preserve">Note that urethral discharge, scrotal swelling and vaginal discharge coming from the cervix are all treated in the same way. </w:t>
      </w:r>
    </w:p>
    <w:p w14:paraId="369029F5" w14:textId="77777777" w:rsidR="00047F3E" w:rsidRDefault="00047F3E" w:rsidP="00047F3E">
      <w:pPr>
        <w:jc w:val="both"/>
      </w:pPr>
    </w:p>
    <w:p w14:paraId="32BE0E33" w14:textId="7FF76D02" w:rsidR="00C63454" w:rsidRPr="00047F3E" w:rsidRDefault="00C63454" w:rsidP="00047F3E">
      <w:pPr>
        <w:spacing w:after="0"/>
        <w:jc w:val="both"/>
        <w:outlineLvl w:val="9"/>
        <w:rPr>
          <w:b/>
          <w:bCs/>
          <w:sz w:val="24"/>
          <w:u w:val="single"/>
        </w:rPr>
      </w:pPr>
      <w:r w:rsidRPr="00047F3E">
        <w:rPr>
          <w:b/>
          <w:bCs/>
          <w:sz w:val="24"/>
          <w:u w:val="single"/>
        </w:rPr>
        <w:t>Urethral discharge, scrotal swelling, vaginal discharge</w:t>
      </w:r>
    </w:p>
    <w:p w14:paraId="521DD478" w14:textId="77777777" w:rsidR="00047F3E" w:rsidRPr="00047F3E" w:rsidRDefault="00047F3E" w:rsidP="00047F3E">
      <w:pPr>
        <w:spacing w:after="0"/>
        <w:jc w:val="both"/>
        <w:outlineLvl w:val="9"/>
        <w:rPr>
          <w:rFonts w:eastAsia="Times New Roman" w:cs="Times New Roman"/>
          <w:b/>
          <w:bCs/>
          <w:szCs w:val="26"/>
          <w:u w:val="single"/>
        </w:rPr>
      </w:pPr>
    </w:p>
    <w:p w14:paraId="403390EC" w14:textId="065EEFE3" w:rsidR="00C63454" w:rsidRDefault="00C63454" w:rsidP="00047F3E">
      <w:pPr>
        <w:jc w:val="both"/>
        <w:rPr>
          <w:lang w:val="en-GB"/>
        </w:rPr>
      </w:pPr>
      <w:r>
        <w:rPr>
          <w:lang w:val="en-GB"/>
        </w:rPr>
        <w:t>Examine m</w:t>
      </w:r>
      <w:r w:rsidRPr="00341E12">
        <w:rPr>
          <w:lang w:val="en-GB"/>
        </w:rPr>
        <w:t xml:space="preserve">en complaining of discharge </w:t>
      </w:r>
      <w:r>
        <w:rPr>
          <w:lang w:val="en-GB"/>
        </w:rPr>
        <w:t>to identify it. If none is seen, gently milk the penis</w:t>
      </w:r>
      <w:r w:rsidRPr="00341E12">
        <w:rPr>
          <w:lang w:val="en-GB"/>
        </w:rPr>
        <w:t xml:space="preserve"> to see if discharge is produced. </w:t>
      </w:r>
      <w:r>
        <w:rPr>
          <w:lang w:val="en-GB"/>
        </w:rPr>
        <w:t>Swab the discharge and send for urgent microscopy</w:t>
      </w:r>
      <w:r w:rsidR="00E36228">
        <w:rPr>
          <w:lang w:val="en-GB"/>
        </w:rPr>
        <w:t xml:space="preserve">. </w:t>
      </w:r>
      <w:r w:rsidR="00E36228" w:rsidRPr="00E36228">
        <w:rPr>
          <w:lang w:val="en-GB"/>
        </w:rPr>
        <w:t>Gram stain may demonstrate the</w:t>
      </w:r>
      <w:r w:rsidR="00E36228">
        <w:rPr>
          <w:lang w:val="en-GB"/>
        </w:rPr>
        <w:t xml:space="preserve"> p</w:t>
      </w:r>
      <w:r w:rsidR="00E36228" w:rsidRPr="00E36228">
        <w:rPr>
          <w:lang w:val="en-GB"/>
        </w:rPr>
        <w:t>resence of gonococci. In the male, more than 5 polymorphonuclear leukocytes per</w:t>
      </w:r>
      <w:r w:rsidR="00E36228">
        <w:rPr>
          <w:lang w:val="en-GB"/>
        </w:rPr>
        <w:t xml:space="preserve"> </w:t>
      </w:r>
      <w:r w:rsidR="00E36228" w:rsidRPr="00E36228">
        <w:rPr>
          <w:lang w:val="en-GB"/>
        </w:rPr>
        <w:t>high power field (x 1000) are indicative of urethritis.</w:t>
      </w:r>
    </w:p>
    <w:p w14:paraId="154B71C6" w14:textId="77777777" w:rsidR="00C63454" w:rsidRDefault="00C63454" w:rsidP="00047F3E">
      <w:pPr>
        <w:jc w:val="both"/>
        <w:rPr>
          <w:lang w:val="en-GB"/>
        </w:rPr>
      </w:pPr>
      <w:r>
        <w:rPr>
          <w:lang w:val="en-GB"/>
        </w:rPr>
        <w:t xml:space="preserve">Examine men with scrotal swelling to exclude other causes of scrotal swelling, such as trauma, testicular torsion or tumour. Consider requesting an ultrasound. </w:t>
      </w:r>
    </w:p>
    <w:p w14:paraId="0A5869B6" w14:textId="77777777" w:rsidR="00C63454" w:rsidRPr="001873E6" w:rsidRDefault="00C63454" w:rsidP="00047F3E">
      <w:pPr>
        <w:jc w:val="both"/>
      </w:pPr>
      <w:r>
        <w:rPr>
          <w:lang w:val="en-GB"/>
        </w:rPr>
        <w:t>All women with vaginal discharge should be examined with a speculum and a high vaginal swab taken and sent for microscopy.</w:t>
      </w:r>
    </w:p>
    <w:p w14:paraId="7CDC281B" w14:textId="77777777" w:rsidR="00C63454" w:rsidRDefault="00C63454" w:rsidP="00047F3E">
      <w:pPr>
        <w:jc w:val="both"/>
      </w:pPr>
      <w:r>
        <w:t xml:space="preserve">Treat patients thought to have STI as the cause of these symptoms with </w:t>
      </w:r>
      <w:r w:rsidRPr="007E0AD8">
        <w:t>Ciprofloxacin 500</w:t>
      </w:r>
      <w:r>
        <w:t xml:space="preserve"> </w:t>
      </w:r>
      <w:r w:rsidRPr="007E0AD8">
        <w:t>mg orally as a single dose</w:t>
      </w:r>
      <w:r>
        <w:t xml:space="preserve"> PLUS </w:t>
      </w:r>
      <w:r w:rsidRPr="007E0AD8">
        <w:t>Doxycycline 100</w:t>
      </w:r>
      <w:r>
        <w:t xml:space="preserve"> </w:t>
      </w:r>
      <w:r w:rsidRPr="007E0AD8">
        <w:t>mg orally</w:t>
      </w:r>
      <w:r>
        <w:t xml:space="preserve"> BD </w:t>
      </w:r>
      <w:r w:rsidRPr="007E0AD8">
        <w:t>for 7 days</w:t>
      </w:r>
      <w:r>
        <w:t xml:space="preserve">. </w:t>
      </w:r>
    </w:p>
    <w:p w14:paraId="24FB8E78" w14:textId="77777777" w:rsidR="00C63454" w:rsidRDefault="00C63454" w:rsidP="00047F3E">
      <w:pPr>
        <w:jc w:val="both"/>
      </w:pPr>
      <w:r>
        <w:t xml:space="preserve">If a woman is pregnant and cannot take these medications, use </w:t>
      </w:r>
      <w:r w:rsidRPr="007E0AD8">
        <w:t>azithromycin 2</w:t>
      </w:r>
      <w:r>
        <w:t xml:space="preserve"> </w:t>
      </w:r>
      <w:r w:rsidRPr="007E0AD8">
        <w:t xml:space="preserve">g orally as a single </w:t>
      </w:r>
      <w:r>
        <w:t xml:space="preserve">dose. </w:t>
      </w:r>
    </w:p>
    <w:p w14:paraId="61955268" w14:textId="77777777" w:rsidR="00C63454" w:rsidRDefault="00C63454" w:rsidP="00047F3E">
      <w:pPr>
        <w:jc w:val="both"/>
      </w:pPr>
      <w:r>
        <w:rPr>
          <w:lang w:val="en-GB"/>
        </w:rPr>
        <w:t>Recommend bed rest and scrotal support for men with scrotal swelling until the inflammation has reduced.</w:t>
      </w:r>
    </w:p>
    <w:p w14:paraId="38873E31" w14:textId="77777777" w:rsidR="00C63454" w:rsidRDefault="00C63454" w:rsidP="00047F3E">
      <w:pPr>
        <w:pStyle w:val="Heading3"/>
      </w:pPr>
      <w:r>
        <w:t>Vaginal discharge (not from the cervix)</w:t>
      </w:r>
    </w:p>
    <w:p w14:paraId="3769B28C" w14:textId="77777777" w:rsidR="00C63454" w:rsidRPr="007E0AD8" w:rsidRDefault="00C63454" w:rsidP="00047F3E">
      <w:pPr>
        <w:jc w:val="both"/>
      </w:pPr>
      <w:r>
        <w:t xml:space="preserve">Treat this with </w:t>
      </w:r>
      <w:r w:rsidRPr="007E0AD8">
        <w:t>Metronidazole 500</w:t>
      </w:r>
      <w:r>
        <w:t xml:space="preserve"> </w:t>
      </w:r>
      <w:r w:rsidRPr="007E0AD8">
        <w:t xml:space="preserve">mg </w:t>
      </w:r>
      <w:r>
        <w:t xml:space="preserve">BD </w:t>
      </w:r>
      <w:r w:rsidRPr="007E0AD8">
        <w:t>for 7 days (OR Metronidazole 2</w:t>
      </w:r>
      <w:r>
        <w:t xml:space="preserve"> </w:t>
      </w:r>
      <w:r w:rsidRPr="007E0AD8">
        <w:t>g as a single dose)</w:t>
      </w:r>
      <w:r>
        <w:t xml:space="preserve"> </w:t>
      </w:r>
      <w:r w:rsidRPr="007E0AD8">
        <w:t>PLUS</w:t>
      </w:r>
      <w:r>
        <w:t xml:space="preserve"> </w:t>
      </w:r>
      <w:r w:rsidRPr="007E0AD8">
        <w:t>Clotrimazole 200</w:t>
      </w:r>
      <w:r>
        <w:t xml:space="preserve"> </w:t>
      </w:r>
      <w:r w:rsidRPr="007E0AD8">
        <w:t xml:space="preserve">mg intravaginally </w:t>
      </w:r>
      <w:r>
        <w:t>OD</w:t>
      </w:r>
      <w:r w:rsidRPr="007E0AD8">
        <w:t xml:space="preserve"> for 3 days (OR </w:t>
      </w:r>
      <w:r>
        <w:t>F</w:t>
      </w:r>
      <w:r w:rsidRPr="007E0AD8">
        <w:t>luconazole 150</w:t>
      </w:r>
      <w:r>
        <w:t xml:space="preserve"> </w:t>
      </w:r>
      <w:r w:rsidRPr="007E0AD8">
        <w:t>mg orally as a single dose)</w:t>
      </w:r>
      <w:r>
        <w:t>.</w:t>
      </w:r>
    </w:p>
    <w:p w14:paraId="6CF3690B" w14:textId="77777777" w:rsidR="00C63454" w:rsidRDefault="00C63454" w:rsidP="00047F3E">
      <w:pPr>
        <w:pStyle w:val="Heading3"/>
      </w:pPr>
      <w:r>
        <w:t>Genital ulcer</w:t>
      </w:r>
    </w:p>
    <w:p w14:paraId="5111B013" w14:textId="77777777" w:rsidR="00C63454" w:rsidRPr="007E0AD8" w:rsidRDefault="00C63454" w:rsidP="00047F3E">
      <w:pPr>
        <w:jc w:val="both"/>
      </w:pPr>
      <w:r w:rsidRPr="001873E6">
        <w:rPr>
          <w:b/>
        </w:rPr>
        <w:t>Vesicular, multiple or recurrent</w:t>
      </w:r>
      <w:r w:rsidRPr="007E0AD8">
        <w:t>:</w:t>
      </w:r>
      <w:r>
        <w:t xml:space="preserve"> </w:t>
      </w:r>
      <w:r w:rsidRPr="007E0AD8">
        <w:t>Aciclovir 400</w:t>
      </w:r>
      <w:r>
        <w:t xml:space="preserve"> </w:t>
      </w:r>
      <w:r w:rsidRPr="007E0AD8">
        <w:t xml:space="preserve">mg </w:t>
      </w:r>
      <w:r>
        <w:t>TDS</w:t>
      </w:r>
      <w:r w:rsidRPr="007E0AD8">
        <w:t xml:space="preserve"> for 7 days</w:t>
      </w:r>
    </w:p>
    <w:p w14:paraId="2E9CA417" w14:textId="77777777" w:rsidR="00C63454" w:rsidRDefault="00C63454" w:rsidP="00047F3E">
      <w:pPr>
        <w:jc w:val="both"/>
      </w:pPr>
      <w:r w:rsidRPr="001873E6">
        <w:rPr>
          <w:b/>
        </w:rPr>
        <w:t>Non-vesicular:</w:t>
      </w:r>
      <w:r>
        <w:t xml:space="preserve"> D</w:t>
      </w:r>
      <w:r w:rsidRPr="007E0AD8">
        <w:t>oxycycline 100</w:t>
      </w:r>
      <w:r>
        <w:t xml:space="preserve"> </w:t>
      </w:r>
      <w:r w:rsidRPr="007E0AD8">
        <w:t>mg twice daily for 15 days</w:t>
      </w:r>
      <w:r>
        <w:t xml:space="preserve"> </w:t>
      </w:r>
      <w:r w:rsidRPr="007E0AD8">
        <w:t>PLUS</w:t>
      </w:r>
      <w:r>
        <w:t xml:space="preserve"> </w:t>
      </w:r>
      <w:r w:rsidRPr="007E0AD8">
        <w:t>Ciprofloxacin</w:t>
      </w:r>
      <w:r>
        <w:t xml:space="preserve"> </w:t>
      </w:r>
      <w:r w:rsidRPr="007E0AD8">
        <w:t>500</w:t>
      </w:r>
      <w:r>
        <w:t xml:space="preserve"> </w:t>
      </w:r>
      <w:r w:rsidRPr="007E0AD8">
        <w:t>mg twice daily for 3 days</w:t>
      </w:r>
      <w:r>
        <w:t xml:space="preserve">. This covers chancroid, LGV and syphilis. </w:t>
      </w:r>
    </w:p>
    <w:p w14:paraId="4A4FE25E" w14:textId="77777777" w:rsidR="00C63454" w:rsidRDefault="00C63454" w:rsidP="00047F3E">
      <w:pPr>
        <w:jc w:val="both"/>
      </w:pPr>
      <w:r>
        <w:t xml:space="preserve">If the patient is pregnant, then use im Ceftriaxone 250 mg as a single dose PLUS erythromycin 500 mg QDS for 14 days. </w:t>
      </w:r>
    </w:p>
    <w:p w14:paraId="64587CF6" w14:textId="77777777" w:rsidR="00C63454" w:rsidRDefault="00C63454" w:rsidP="00047F3E">
      <w:pPr>
        <w:pStyle w:val="Heading3"/>
      </w:pPr>
      <w:r>
        <w:t>Lower abdominal pain</w:t>
      </w:r>
    </w:p>
    <w:p w14:paraId="31BEC29C" w14:textId="77777777" w:rsidR="00C63454" w:rsidRDefault="00C63454" w:rsidP="00047F3E">
      <w:pPr>
        <w:jc w:val="both"/>
        <w:rPr>
          <w:lang w:val="en-GB"/>
        </w:rPr>
      </w:pPr>
      <w:r>
        <w:rPr>
          <w:lang w:val="en-GB"/>
        </w:rPr>
        <w:t>Lower abdominal pain may be caused by pelvic inflammatory disease (PID). There may also be pain during intercourse, vaginal discharge, dysuria, increased length and frequency of menses, increased pain during menses, fever, nausea and vomiting.</w:t>
      </w:r>
    </w:p>
    <w:p w14:paraId="7E3C9AF5" w14:textId="77777777" w:rsidR="00C63454" w:rsidRPr="001873E6" w:rsidRDefault="00C63454" w:rsidP="00047F3E">
      <w:pPr>
        <w:jc w:val="both"/>
        <w:rPr>
          <w:lang w:val="en-GB"/>
        </w:rPr>
      </w:pPr>
      <w:r>
        <w:rPr>
          <w:lang w:val="en-GB"/>
        </w:rPr>
        <w:t>Women complaining of lower abdominal pain should be fully examined. On pelvic examination there may be adnexal tenderness, cervical motion tenderness and visible discharge. They may also have a tender pelvic mass, and rebound tenderness.</w:t>
      </w:r>
    </w:p>
    <w:p w14:paraId="7611A35C" w14:textId="77777777" w:rsidR="00C63454" w:rsidRPr="007E0AD8" w:rsidRDefault="00C63454" w:rsidP="00047F3E">
      <w:pPr>
        <w:jc w:val="both"/>
      </w:pPr>
      <w:r w:rsidRPr="007E0AD8">
        <w:t>Inpatient care of patients with acute pelvic inflammatory disease should be considered when one or more of the following are present:</w:t>
      </w:r>
    </w:p>
    <w:p w14:paraId="1DB4F217" w14:textId="77777777" w:rsidR="00C63454" w:rsidRPr="007E0AD8" w:rsidRDefault="00C63454" w:rsidP="00047F3E">
      <w:pPr>
        <w:pStyle w:val="ListParagraph"/>
        <w:numPr>
          <w:ilvl w:val="0"/>
          <w:numId w:val="28"/>
        </w:numPr>
        <w:jc w:val="both"/>
      </w:pPr>
      <w:r w:rsidRPr="007E0AD8">
        <w:t>Uncertain diagnosis</w:t>
      </w:r>
    </w:p>
    <w:p w14:paraId="41B824F6" w14:textId="77777777" w:rsidR="00C63454" w:rsidRPr="007E0AD8" w:rsidRDefault="00C63454" w:rsidP="00047F3E">
      <w:pPr>
        <w:pStyle w:val="ListParagraph"/>
        <w:numPr>
          <w:ilvl w:val="0"/>
          <w:numId w:val="28"/>
        </w:numPr>
        <w:jc w:val="both"/>
      </w:pPr>
      <w:r w:rsidRPr="007E0AD8">
        <w:t xml:space="preserve">Failure to exclude surgical emergencies for example appendicitis and ectopic pregnancy </w:t>
      </w:r>
    </w:p>
    <w:p w14:paraId="506ECB95" w14:textId="77777777" w:rsidR="00C63454" w:rsidRPr="007E0AD8" w:rsidRDefault="00C63454" w:rsidP="00047F3E">
      <w:pPr>
        <w:pStyle w:val="ListParagraph"/>
        <w:numPr>
          <w:ilvl w:val="0"/>
          <w:numId w:val="28"/>
        </w:numPr>
        <w:jc w:val="both"/>
      </w:pPr>
      <w:r w:rsidRPr="007E0AD8">
        <w:lastRenderedPageBreak/>
        <w:t>Suspected pelvic abscess</w:t>
      </w:r>
    </w:p>
    <w:p w14:paraId="4584E147" w14:textId="77777777" w:rsidR="00C63454" w:rsidRPr="007E0AD8" w:rsidRDefault="00C63454" w:rsidP="00047F3E">
      <w:pPr>
        <w:pStyle w:val="ListParagraph"/>
        <w:numPr>
          <w:ilvl w:val="0"/>
          <w:numId w:val="28"/>
        </w:numPr>
        <w:jc w:val="both"/>
      </w:pPr>
      <w:r w:rsidRPr="007E0AD8">
        <w:t>A severe illness which will prevent outpatient management</w:t>
      </w:r>
    </w:p>
    <w:p w14:paraId="15C34BF1" w14:textId="77777777" w:rsidR="00C63454" w:rsidRPr="007E0AD8" w:rsidRDefault="00C63454" w:rsidP="00047F3E">
      <w:pPr>
        <w:pStyle w:val="ListParagraph"/>
        <w:numPr>
          <w:ilvl w:val="0"/>
          <w:numId w:val="28"/>
        </w:numPr>
        <w:jc w:val="both"/>
      </w:pPr>
      <w:r w:rsidRPr="007E0AD8">
        <w:t>A pregnant patient</w:t>
      </w:r>
    </w:p>
    <w:p w14:paraId="00452CA7" w14:textId="77777777" w:rsidR="00C63454" w:rsidRPr="007E0AD8" w:rsidRDefault="00C63454" w:rsidP="00047F3E">
      <w:pPr>
        <w:pStyle w:val="ListParagraph"/>
        <w:numPr>
          <w:ilvl w:val="0"/>
          <w:numId w:val="28"/>
        </w:numPr>
        <w:jc w:val="both"/>
      </w:pPr>
      <w:r w:rsidRPr="007E0AD8">
        <w:t xml:space="preserve">Inability to tolerate outpatient regimen </w:t>
      </w:r>
    </w:p>
    <w:p w14:paraId="78CEBCCF" w14:textId="77777777" w:rsidR="00C63454" w:rsidRDefault="00C63454" w:rsidP="00047F3E">
      <w:pPr>
        <w:pStyle w:val="ListParagraph"/>
        <w:numPr>
          <w:ilvl w:val="0"/>
          <w:numId w:val="28"/>
        </w:numPr>
        <w:jc w:val="both"/>
      </w:pPr>
      <w:r w:rsidRPr="007E0AD8">
        <w:t xml:space="preserve">Failure to respond to therapy on an out-patient basis. </w:t>
      </w:r>
    </w:p>
    <w:p w14:paraId="2E2E4F9B" w14:textId="77777777" w:rsidR="00C63454" w:rsidRPr="007E0AD8" w:rsidRDefault="00C63454" w:rsidP="00047F3E">
      <w:pPr>
        <w:jc w:val="both"/>
      </w:pPr>
      <w:r w:rsidRPr="001873E6">
        <w:rPr>
          <w:b/>
        </w:rPr>
        <w:t>Outpatient management:</w:t>
      </w:r>
      <w:r w:rsidRPr="001873E6">
        <w:t xml:space="preserve"> Ceftriaxone 250</w:t>
      </w:r>
      <w:r>
        <w:t xml:space="preserve"> </w:t>
      </w:r>
      <w:r w:rsidRPr="001873E6">
        <w:t>mg IM as a single dose PLUS Doxycycline 100</w:t>
      </w:r>
      <w:r>
        <w:t xml:space="preserve"> </w:t>
      </w:r>
      <w:r w:rsidRPr="001873E6">
        <w:t xml:space="preserve">mg orally </w:t>
      </w:r>
      <w:r>
        <w:t>BD</w:t>
      </w:r>
      <w:r w:rsidRPr="001873E6">
        <w:t xml:space="preserve"> for 14 days</w:t>
      </w:r>
      <w:r>
        <w:t xml:space="preserve"> </w:t>
      </w:r>
      <w:r w:rsidRPr="008E5B49">
        <w:rPr>
          <w:bCs/>
          <w:i/>
        </w:rPr>
        <w:t>PLUS</w:t>
      </w:r>
      <w:r>
        <w:rPr>
          <w:bCs/>
          <w:i/>
        </w:rPr>
        <w:t xml:space="preserve"> </w:t>
      </w:r>
      <w:r w:rsidRPr="007E0AD8">
        <w:t>Metronidazole 500</w:t>
      </w:r>
      <w:r>
        <w:t xml:space="preserve"> </w:t>
      </w:r>
      <w:r w:rsidRPr="007E0AD8">
        <w:t>mg orally</w:t>
      </w:r>
      <w:r>
        <w:t xml:space="preserve"> BD</w:t>
      </w:r>
      <w:r w:rsidRPr="007E0AD8">
        <w:t xml:space="preserve"> for 14 days</w:t>
      </w:r>
    </w:p>
    <w:p w14:paraId="41B0BFA8" w14:textId="77777777" w:rsidR="00C63454" w:rsidRDefault="00C63454" w:rsidP="00047F3E">
      <w:pPr>
        <w:jc w:val="both"/>
      </w:pPr>
      <w:r>
        <w:t xml:space="preserve">Inpatient management: </w:t>
      </w:r>
      <w:r w:rsidRPr="007E0AD8">
        <w:t>Ceftriaxone 250</w:t>
      </w:r>
      <w:r>
        <w:t xml:space="preserve"> </w:t>
      </w:r>
      <w:r w:rsidRPr="007E0AD8">
        <w:t>mg by intramuscular injection</w:t>
      </w:r>
      <w:r>
        <w:t xml:space="preserve"> OD PLUS </w:t>
      </w:r>
      <w:r w:rsidRPr="007E0AD8">
        <w:t>Doxycycline, 100mg orally or by intravenous injection</w:t>
      </w:r>
      <w:r>
        <w:t xml:space="preserve"> BD PLUS </w:t>
      </w:r>
      <w:r w:rsidRPr="007E0AD8">
        <w:t>Metronidaz</w:t>
      </w:r>
      <w:r>
        <w:t xml:space="preserve">ole </w:t>
      </w:r>
      <w:r w:rsidRPr="007E0AD8">
        <w:t xml:space="preserve">500mg orally or </w:t>
      </w:r>
      <w:r>
        <w:t xml:space="preserve">iv TDS. </w:t>
      </w:r>
    </w:p>
    <w:p w14:paraId="34B55B69" w14:textId="77777777" w:rsidR="00C63454" w:rsidRPr="007E0AD8" w:rsidRDefault="00C63454" w:rsidP="00047F3E">
      <w:pPr>
        <w:jc w:val="both"/>
      </w:pPr>
      <w:r>
        <w:t xml:space="preserve">Inpatient therapy should be continued </w:t>
      </w:r>
      <w:r w:rsidRPr="007E0AD8">
        <w:t>until at least 2 days after the patient has improved</w:t>
      </w:r>
      <w:r>
        <w:t>,</w:t>
      </w:r>
      <w:r w:rsidRPr="007E0AD8">
        <w:t xml:space="preserve"> after which doxycycline should be given at 100mg orally, twice daily for 14 days</w:t>
      </w:r>
      <w:r>
        <w:t>.</w:t>
      </w:r>
    </w:p>
    <w:p w14:paraId="2C809AA5" w14:textId="77777777" w:rsidR="00C63454" w:rsidRDefault="00C63454" w:rsidP="00047F3E">
      <w:pPr>
        <w:pStyle w:val="Heading3"/>
      </w:pPr>
      <w:r>
        <w:t>Ophthalmia neonatorum</w:t>
      </w:r>
    </w:p>
    <w:p w14:paraId="5CB97B10" w14:textId="5288A498" w:rsidR="00C63454" w:rsidRDefault="00C63454" w:rsidP="00047F3E">
      <w:pPr>
        <w:jc w:val="both"/>
      </w:pPr>
      <w:r w:rsidRPr="007E0AD8">
        <w:t>Ceftriaxone 50 mg/kg by intramuscular injection as a single dose, to a maximum of 125</w:t>
      </w:r>
      <w:r>
        <w:t xml:space="preserve"> </w:t>
      </w:r>
      <w:r w:rsidRPr="007E0AD8">
        <w:t>mg</w:t>
      </w:r>
      <w:r>
        <w:t xml:space="preserve"> </w:t>
      </w:r>
      <w:r w:rsidRPr="007E0AD8">
        <w:t>PLUS</w:t>
      </w:r>
      <w:r>
        <w:t xml:space="preserve"> </w:t>
      </w:r>
      <w:r w:rsidRPr="007E0AD8">
        <w:t>Erythromycin syrup 50 mg/kg per day orally, in 4 divided doses for 14 days</w:t>
      </w:r>
      <w:r>
        <w:t>.</w:t>
      </w:r>
    </w:p>
    <w:p w14:paraId="5F1F4DEF" w14:textId="5EDB6B03" w:rsidR="002F4865" w:rsidRDefault="002F4865" w:rsidP="002F4865">
      <w:pPr>
        <w:pStyle w:val="Heading3"/>
      </w:pPr>
      <w:r>
        <w:t>Syphilis</w:t>
      </w:r>
    </w:p>
    <w:p w14:paraId="4F852D63" w14:textId="77777777" w:rsidR="003E3DCF" w:rsidRDefault="003E3DCF" w:rsidP="003E3DCF">
      <w:r>
        <w:t xml:space="preserve">Syphilis is diagnosed </w:t>
      </w:r>
      <w:proofErr w:type="gramStart"/>
      <w:r>
        <w:t>on the basis of</w:t>
      </w:r>
      <w:proofErr w:type="gramEnd"/>
      <w:r>
        <w:t xml:space="preserve"> a combination of serology tests. It may be early or late. Early syphilis implies infection in the last year and can include primary, </w:t>
      </w:r>
      <w:proofErr w:type="gramStart"/>
      <w:r>
        <w:t>secondary</w:t>
      </w:r>
      <w:proofErr w:type="gramEnd"/>
      <w:r>
        <w:t xml:space="preserve"> and early latent syphilis. Late syphilis includes long standing latent disease as well as tertiary disease. Neurosyphilis can occur at any stage in the disease and is treated with a different regime. </w:t>
      </w:r>
    </w:p>
    <w:p w14:paraId="22A5294F" w14:textId="45D0DC7F" w:rsidR="003E3DCF" w:rsidRDefault="003E3DCF" w:rsidP="003E3DCF">
      <w:r>
        <w:t xml:space="preserve">A diagnosis of syphilis is suggested by a positive VDRL or RPR test taken 2-4 weeks after infection. However, there can be both false positive and false negative tests. </w:t>
      </w:r>
      <w:r w:rsidR="00E101FB">
        <w:t xml:space="preserve">If the TPHA is also positive, this confirms the diagnosis. Once the TPHA is positive, it will remain positive for life, whereas the VDRL or RPR will become negative once the infection is treated. </w:t>
      </w:r>
      <w:r w:rsidR="00433190">
        <w:t>Therefore, a patient with a negative VDRL or RPR does not have active infection and does not require treatment.</w:t>
      </w:r>
    </w:p>
    <w:p w14:paraId="3FD50DD1" w14:textId="71631484" w:rsidR="00E101FB" w:rsidRDefault="00E101FB" w:rsidP="003E3DCF">
      <w:r w:rsidRPr="00E101FB">
        <w:rPr>
          <w:u w:val="single"/>
        </w:rPr>
        <w:t>Early syphilis:</w:t>
      </w:r>
      <w:r>
        <w:t xml:space="preserve"> A single dose of 2.4 MU of benzathine penicillin im is adequate, giving cure rates of above 90% even in patients with HIV. For penicillin allergic patients, doxycycline 100 mg BD for 14 days is a suitable alternative.</w:t>
      </w:r>
    </w:p>
    <w:p w14:paraId="290CE72A" w14:textId="1A4D2E7C" w:rsidR="00E101FB" w:rsidRDefault="00E101FB" w:rsidP="003E3DCF">
      <w:r w:rsidRPr="00E101FB">
        <w:rPr>
          <w:u w:val="single"/>
        </w:rPr>
        <w:t>Late syphilis:</w:t>
      </w:r>
      <w:r>
        <w:t xml:space="preserve"> 3 doses of 2.4 MU of benzathine penicillin im each 1 week apart. If a gap of more than 2 weeks occurs between doses, the course should be started again. For penicillin allergic patients, doxycycline 100 mg BD for 28 days is recommended. </w:t>
      </w:r>
    </w:p>
    <w:p w14:paraId="7B347772" w14:textId="2C4AB90D" w:rsidR="00E101FB" w:rsidRPr="003E3DCF" w:rsidRDefault="00E101FB" w:rsidP="003E3DCF">
      <w:r w:rsidRPr="00B93EC3">
        <w:rPr>
          <w:u w:val="single"/>
        </w:rPr>
        <w:t>Neurosyphilis:</w:t>
      </w:r>
      <w:r>
        <w:t xml:space="preserve"> </w:t>
      </w:r>
      <w:r w:rsidR="00B93EC3">
        <w:t>im benzathine penicillin does not penetrate the CSF, so a course of iv benzylpenicillin is given at a dose of 3-4 MU every 4 hours or 18-24 MU over 24 hours as a continuous infusion for 10-14 days. This is followed by a single dose of benzathine penicillin 2.4 MU im to cover for late syphilis. There is no ideal regime for penicillin allergic patients. Those who can tolerate ceftriaxone should be given 2g iv daily for 10-14 days. If there is no other alternative</w:t>
      </w:r>
      <w:r w:rsidR="00FC2CE6">
        <w:t>,</w:t>
      </w:r>
      <w:r w:rsidR="00B93EC3">
        <w:t xml:space="preserve"> a </w:t>
      </w:r>
      <w:proofErr w:type="gramStart"/>
      <w:r w:rsidR="00B93EC3">
        <w:t>28 day</w:t>
      </w:r>
      <w:proofErr w:type="gramEnd"/>
      <w:r w:rsidR="00B93EC3">
        <w:t xml:space="preserve"> course of doxycycline can be used. </w:t>
      </w:r>
    </w:p>
    <w:p w14:paraId="74039C59" w14:textId="77777777" w:rsidR="002F4865" w:rsidRDefault="002F4865">
      <w:pPr>
        <w:spacing w:after="0"/>
        <w:outlineLvl w:val="9"/>
        <w:rPr>
          <w:b/>
          <w:sz w:val="24"/>
          <w:szCs w:val="22"/>
        </w:rPr>
      </w:pPr>
      <w:r>
        <w:rPr>
          <w:szCs w:val="22"/>
        </w:rPr>
        <w:br w:type="page"/>
      </w:r>
    </w:p>
    <w:p w14:paraId="52B30DD2" w14:textId="4EFDA72F" w:rsidR="00C63454" w:rsidRPr="00DC590C" w:rsidRDefault="00C63454" w:rsidP="00047F3E">
      <w:pPr>
        <w:pStyle w:val="Heading2"/>
        <w:jc w:val="both"/>
        <w:rPr>
          <w:rFonts w:cs="Arial"/>
          <w:szCs w:val="22"/>
        </w:rPr>
      </w:pPr>
      <w:r w:rsidRPr="00DC590C">
        <w:rPr>
          <w:rFonts w:cs="Arial"/>
          <w:szCs w:val="22"/>
        </w:rPr>
        <w:lastRenderedPageBreak/>
        <w:t>Key Issues for Nursing care</w:t>
      </w:r>
    </w:p>
    <w:p w14:paraId="3A26188A" w14:textId="1B2D7075" w:rsidR="00C63454" w:rsidRDefault="00C63454" w:rsidP="00047F3E">
      <w:pPr>
        <w:jc w:val="both"/>
        <w:rPr>
          <w:lang w:val="en-GB"/>
        </w:rPr>
      </w:pPr>
      <w:r>
        <w:rPr>
          <w:lang w:val="en-GB"/>
        </w:rPr>
        <w:t>Refer the following patients to see a docto</w:t>
      </w:r>
      <w:r w:rsidR="008079B9">
        <w:rPr>
          <w:lang w:val="en-GB"/>
        </w:rPr>
        <w:t>r</w:t>
      </w:r>
      <w:r>
        <w:rPr>
          <w:lang w:val="en-GB"/>
        </w:rPr>
        <w:t>:</w:t>
      </w:r>
    </w:p>
    <w:p w14:paraId="62884B82" w14:textId="77777777" w:rsidR="00C63454" w:rsidRPr="00066D8E" w:rsidRDefault="00C63454" w:rsidP="00047F3E">
      <w:pPr>
        <w:pStyle w:val="ListParagraph"/>
        <w:numPr>
          <w:ilvl w:val="0"/>
          <w:numId w:val="29"/>
        </w:numPr>
        <w:jc w:val="both"/>
        <w:rPr>
          <w:lang w:val="en-GB"/>
        </w:rPr>
      </w:pPr>
      <w:r w:rsidRPr="00066D8E">
        <w:rPr>
          <w:lang w:val="en-GB"/>
        </w:rPr>
        <w:t>A man with persistent or recurrent urethritis.</w:t>
      </w:r>
    </w:p>
    <w:p w14:paraId="21C5B137" w14:textId="77777777" w:rsidR="00C63454" w:rsidRPr="00066D8E" w:rsidRDefault="00C63454" w:rsidP="00047F3E">
      <w:pPr>
        <w:pStyle w:val="ListParagraph"/>
        <w:numPr>
          <w:ilvl w:val="0"/>
          <w:numId w:val="29"/>
        </w:numPr>
        <w:jc w:val="both"/>
        <w:rPr>
          <w:lang w:val="en-GB"/>
        </w:rPr>
      </w:pPr>
      <w:r w:rsidRPr="00066D8E">
        <w:rPr>
          <w:lang w:val="en-GB"/>
        </w:rPr>
        <w:t>Patients with genital ulcers that do not improve with treatment.</w:t>
      </w:r>
    </w:p>
    <w:p w14:paraId="382C4F8A" w14:textId="77777777" w:rsidR="00C63454" w:rsidRPr="00066D8E" w:rsidRDefault="00C63454" w:rsidP="00047F3E">
      <w:pPr>
        <w:pStyle w:val="ListParagraph"/>
        <w:numPr>
          <w:ilvl w:val="0"/>
          <w:numId w:val="29"/>
        </w:numPr>
        <w:jc w:val="both"/>
        <w:rPr>
          <w:lang w:val="en-GB"/>
        </w:rPr>
      </w:pPr>
      <w:r w:rsidRPr="00066D8E">
        <w:rPr>
          <w:lang w:val="en-GB"/>
        </w:rPr>
        <w:t>Patients with genital ulcers where the diagnosis is unclear.</w:t>
      </w:r>
    </w:p>
    <w:p w14:paraId="16F442B1" w14:textId="77777777" w:rsidR="00C63454" w:rsidRPr="00066D8E" w:rsidRDefault="00C63454" w:rsidP="00047F3E">
      <w:pPr>
        <w:pStyle w:val="ListParagraph"/>
        <w:numPr>
          <w:ilvl w:val="0"/>
          <w:numId w:val="29"/>
        </w:numPr>
        <w:jc w:val="both"/>
        <w:rPr>
          <w:lang w:val="en-GB"/>
        </w:rPr>
      </w:pPr>
      <w:r w:rsidRPr="00066D8E">
        <w:rPr>
          <w:lang w:val="en-GB"/>
        </w:rPr>
        <w:t>Men with inguinal mass which is fluctuant or of uncertain cause.</w:t>
      </w:r>
    </w:p>
    <w:p w14:paraId="33AF46CF" w14:textId="77777777" w:rsidR="00C63454" w:rsidRPr="00066D8E" w:rsidRDefault="00C63454" w:rsidP="00047F3E">
      <w:pPr>
        <w:pStyle w:val="ListParagraph"/>
        <w:numPr>
          <w:ilvl w:val="0"/>
          <w:numId w:val="29"/>
        </w:numPr>
        <w:jc w:val="both"/>
        <w:rPr>
          <w:lang w:val="en-GB"/>
        </w:rPr>
      </w:pPr>
      <w:r w:rsidRPr="00066D8E">
        <w:rPr>
          <w:lang w:val="en-GB"/>
        </w:rPr>
        <w:t>Men with scrotal swelling of uncertain cause.</w:t>
      </w:r>
    </w:p>
    <w:p w14:paraId="663C4A1D" w14:textId="77777777" w:rsidR="00C63454" w:rsidRPr="00066D8E" w:rsidRDefault="00C63454" w:rsidP="00047F3E">
      <w:pPr>
        <w:pStyle w:val="ListParagraph"/>
        <w:numPr>
          <w:ilvl w:val="0"/>
          <w:numId w:val="29"/>
        </w:numPr>
        <w:jc w:val="both"/>
        <w:rPr>
          <w:lang w:val="en-GB"/>
        </w:rPr>
      </w:pPr>
      <w:r w:rsidRPr="00066D8E">
        <w:rPr>
          <w:lang w:val="en-GB"/>
        </w:rPr>
        <w:t>Women with vaginal discharge unless you can do a speculum and pelvic examination yourself.</w:t>
      </w:r>
    </w:p>
    <w:p w14:paraId="31F42F59" w14:textId="77777777" w:rsidR="00C63454" w:rsidRPr="0021353B" w:rsidRDefault="00C63454" w:rsidP="00047F3E">
      <w:pPr>
        <w:pStyle w:val="ListParagraph"/>
        <w:numPr>
          <w:ilvl w:val="0"/>
          <w:numId w:val="29"/>
        </w:numPr>
        <w:jc w:val="both"/>
        <w:rPr>
          <w:lang w:val="en-GB"/>
        </w:rPr>
      </w:pPr>
      <w:r w:rsidRPr="00066D8E">
        <w:rPr>
          <w:lang w:val="en-GB"/>
        </w:rPr>
        <w:t>Women with lower abdominal pain unless you can do a pelvic examination yourself.</w:t>
      </w:r>
    </w:p>
    <w:p w14:paraId="682854E3" w14:textId="77777777" w:rsidR="00C63454" w:rsidRPr="00DC590C" w:rsidRDefault="00C63454" w:rsidP="00047F3E">
      <w:pPr>
        <w:pStyle w:val="Heading2"/>
        <w:jc w:val="both"/>
        <w:rPr>
          <w:rFonts w:cs="Arial"/>
          <w:szCs w:val="22"/>
        </w:rPr>
      </w:pPr>
      <w:r w:rsidRPr="00DC590C">
        <w:rPr>
          <w:rFonts w:cs="Arial"/>
          <w:szCs w:val="22"/>
        </w:rPr>
        <w:t>References</w:t>
      </w:r>
    </w:p>
    <w:p w14:paraId="6E4D6A8B" w14:textId="77777777" w:rsidR="00C63454" w:rsidRPr="0021353B" w:rsidRDefault="00A44EB5" w:rsidP="00047F3E">
      <w:pPr>
        <w:jc w:val="both"/>
        <w:rPr>
          <w:sz w:val="20"/>
          <w:szCs w:val="20"/>
        </w:rPr>
      </w:pPr>
      <w:hyperlink r:id="rId7" w:history="1">
        <w:r w:rsidR="00C63454" w:rsidRPr="0021353B">
          <w:rPr>
            <w:rStyle w:val="Hyperlink"/>
            <w:sz w:val="20"/>
            <w:szCs w:val="20"/>
          </w:rPr>
          <w:t>http://www.who.int/news-room/fact-sheets/detail/sexually-transmitted-infections-(stis)</w:t>
        </w:r>
      </w:hyperlink>
    </w:p>
    <w:p w14:paraId="2AFD4DC9" w14:textId="77777777" w:rsidR="00C63454" w:rsidRPr="0021353B" w:rsidRDefault="00C63454" w:rsidP="00047F3E">
      <w:pPr>
        <w:jc w:val="both"/>
        <w:rPr>
          <w:sz w:val="20"/>
          <w:szCs w:val="20"/>
        </w:rPr>
      </w:pPr>
      <w:r w:rsidRPr="0021353B">
        <w:rPr>
          <w:sz w:val="20"/>
          <w:szCs w:val="20"/>
        </w:rPr>
        <w:t xml:space="preserve">WHO guidelines for management of sexually transmitted infections </w:t>
      </w:r>
      <w:hyperlink r:id="rId8" w:history="1">
        <w:r w:rsidRPr="0021353B">
          <w:rPr>
            <w:rStyle w:val="Hyperlink"/>
            <w:sz w:val="20"/>
            <w:szCs w:val="20"/>
          </w:rPr>
          <w:t>http://apps.who.int/medicinedocs/en/d/Jh2942e/3.1.html</w:t>
        </w:r>
      </w:hyperlink>
    </w:p>
    <w:p w14:paraId="0AC8BED9" w14:textId="25ADF6A5" w:rsidR="00E864B0" w:rsidRPr="00E864B0" w:rsidRDefault="00A44EB5" w:rsidP="00E864B0">
      <w:pPr>
        <w:jc w:val="both"/>
        <w:rPr>
          <w:color w:val="0000FF" w:themeColor="hyperlink"/>
          <w:sz w:val="20"/>
          <w:szCs w:val="20"/>
          <w:u w:val="single"/>
        </w:rPr>
      </w:pPr>
      <w:hyperlink r:id="rId9" w:history="1">
        <w:r w:rsidR="00C63454" w:rsidRPr="0021353B">
          <w:rPr>
            <w:rStyle w:val="Hyperlink"/>
            <w:sz w:val="20"/>
            <w:szCs w:val="20"/>
          </w:rPr>
          <w:t>http://apps.who.int/medicinedocs/documents/s22268en/s22268en.pdf</w:t>
        </w:r>
      </w:hyperlink>
    </w:p>
    <w:p w14:paraId="524E4B1F" w14:textId="5934A4B7" w:rsidR="00E864B0" w:rsidRPr="00874D98" w:rsidRDefault="00E864B0" w:rsidP="00E864B0">
      <w:pPr>
        <w:rPr>
          <w:sz w:val="20"/>
          <w:szCs w:val="20"/>
          <w:shd w:val="clear" w:color="auto" w:fill="FFFFFF"/>
        </w:rPr>
      </w:pPr>
      <w:r>
        <w:rPr>
          <w:sz w:val="20"/>
          <w:szCs w:val="20"/>
          <w:shd w:val="clear" w:color="auto" w:fill="FFFFFF"/>
        </w:rPr>
        <w:t>Hicks and Clement</w:t>
      </w:r>
      <w:r w:rsidRPr="00874D98">
        <w:rPr>
          <w:sz w:val="20"/>
          <w:szCs w:val="20"/>
          <w:shd w:val="clear" w:color="auto" w:fill="FFFFFF"/>
        </w:rPr>
        <w:t>, 202</w:t>
      </w:r>
      <w:r>
        <w:rPr>
          <w:sz w:val="20"/>
          <w:szCs w:val="20"/>
          <w:shd w:val="clear" w:color="auto" w:fill="FFFFFF"/>
        </w:rPr>
        <w:t>1</w:t>
      </w:r>
      <w:r w:rsidRPr="00874D98">
        <w:rPr>
          <w:sz w:val="20"/>
          <w:szCs w:val="20"/>
          <w:shd w:val="clear" w:color="auto" w:fill="FFFFFF"/>
        </w:rPr>
        <w:t xml:space="preserve">. </w:t>
      </w:r>
      <w:r>
        <w:rPr>
          <w:sz w:val="20"/>
          <w:szCs w:val="20"/>
          <w:shd w:val="clear" w:color="auto" w:fill="FFFFFF"/>
        </w:rPr>
        <w:t>Syphilis: Screening and diagnostic testing</w:t>
      </w:r>
      <w:r w:rsidRPr="00874D98">
        <w:rPr>
          <w:sz w:val="20"/>
          <w:szCs w:val="20"/>
          <w:shd w:val="clear" w:color="auto" w:fill="FFFFFF"/>
        </w:rPr>
        <w:t>. In: UpToDate, Post, TW (Ed), UpToDate, Waltham, MA.</w:t>
      </w:r>
    </w:p>
    <w:p w14:paraId="504AC802" w14:textId="32448C57" w:rsidR="0069502A" w:rsidRPr="00874D98" w:rsidRDefault="00AA6962" w:rsidP="0069502A">
      <w:pPr>
        <w:rPr>
          <w:sz w:val="20"/>
          <w:szCs w:val="20"/>
          <w:shd w:val="clear" w:color="auto" w:fill="FFFFFF"/>
        </w:rPr>
      </w:pPr>
      <w:r>
        <w:rPr>
          <w:sz w:val="20"/>
          <w:szCs w:val="20"/>
          <w:shd w:val="clear" w:color="auto" w:fill="FFFFFF"/>
        </w:rPr>
        <w:t>Hicks and Clement</w:t>
      </w:r>
      <w:r w:rsidR="0069502A" w:rsidRPr="00874D98">
        <w:rPr>
          <w:sz w:val="20"/>
          <w:szCs w:val="20"/>
          <w:shd w:val="clear" w:color="auto" w:fill="FFFFFF"/>
        </w:rPr>
        <w:t>, 202</w:t>
      </w:r>
      <w:r>
        <w:rPr>
          <w:sz w:val="20"/>
          <w:szCs w:val="20"/>
          <w:shd w:val="clear" w:color="auto" w:fill="FFFFFF"/>
        </w:rPr>
        <w:t>1</w:t>
      </w:r>
      <w:r w:rsidR="0069502A" w:rsidRPr="00874D98">
        <w:rPr>
          <w:sz w:val="20"/>
          <w:szCs w:val="20"/>
          <w:shd w:val="clear" w:color="auto" w:fill="FFFFFF"/>
        </w:rPr>
        <w:t xml:space="preserve">. </w:t>
      </w:r>
      <w:r>
        <w:rPr>
          <w:sz w:val="20"/>
          <w:szCs w:val="20"/>
          <w:shd w:val="clear" w:color="auto" w:fill="FFFFFF"/>
        </w:rPr>
        <w:t>Syphilis: Treatment and monitoring</w:t>
      </w:r>
      <w:r w:rsidR="0069502A" w:rsidRPr="00874D98">
        <w:rPr>
          <w:sz w:val="20"/>
          <w:szCs w:val="20"/>
          <w:shd w:val="clear" w:color="auto" w:fill="FFFFFF"/>
        </w:rPr>
        <w:t>. In: UpToDate, Post, TW (Ed), UpToDate, Waltham, MA.</w:t>
      </w:r>
    </w:p>
    <w:p w14:paraId="25496FFD" w14:textId="77777777" w:rsidR="00792715" w:rsidRPr="0021353B" w:rsidRDefault="00792715" w:rsidP="00047F3E">
      <w:pPr>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C63454" w:rsidRPr="00515546" w14:paraId="6EB192DA" w14:textId="77777777" w:rsidTr="004D5570">
        <w:trPr>
          <w:trHeight w:val="20"/>
        </w:trPr>
        <w:tc>
          <w:tcPr>
            <w:tcW w:w="2139" w:type="dxa"/>
            <w:shd w:val="clear" w:color="auto" w:fill="auto"/>
            <w:vAlign w:val="bottom"/>
          </w:tcPr>
          <w:p w14:paraId="0B918D6E" w14:textId="77777777" w:rsidR="00C63454" w:rsidRPr="00515546" w:rsidRDefault="00C63454" w:rsidP="00047F3E">
            <w:pPr>
              <w:spacing w:after="0"/>
              <w:jc w:val="both"/>
              <w:rPr>
                <w:b/>
                <w:szCs w:val="22"/>
              </w:rPr>
            </w:pPr>
            <w:r w:rsidRPr="00515546">
              <w:rPr>
                <w:b/>
                <w:szCs w:val="22"/>
              </w:rPr>
              <w:t>Written by:</w:t>
            </w:r>
          </w:p>
        </w:tc>
        <w:tc>
          <w:tcPr>
            <w:tcW w:w="3622" w:type="dxa"/>
            <w:shd w:val="clear" w:color="auto" w:fill="auto"/>
            <w:vAlign w:val="bottom"/>
          </w:tcPr>
          <w:p w14:paraId="69EB7CF7" w14:textId="77777777" w:rsidR="00C63454" w:rsidRPr="00515546" w:rsidRDefault="00C63454" w:rsidP="00047F3E">
            <w:pPr>
              <w:spacing w:after="0"/>
              <w:jc w:val="both"/>
              <w:rPr>
                <w:szCs w:val="22"/>
              </w:rPr>
            </w:pPr>
            <w:r w:rsidRPr="00515546">
              <w:rPr>
                <w:szCs w:val="22"/>
              </w:rPr>
              <w:t xml:space="preserve">Name: </w:t>
            </w:r>
            <w:r>
              <w:rPr>
                <w:szCs w:val="22"/>
              </w:rPr>
              <w:t>Azeezat Sallahdeen</w:t>
            </w:r>
          </w:p>
        </w:tc>
        <w:tc>
          <w:tcPr>
            <w:tcW w:w="2869" w:type="dxa"/>
            <w:shd w:val="clear" w:color="auto" w:fill="auto"/>
            <w:vAlign w:val="bottom"/>
          </w:tcPr>
          <w:p w14:paraId="0A25FEED" w14:textId="2E412EDC" w:rsidR="00C63454" w:rsidRPr="00515546" w:rsidRDefault="00C63454" w:rsidP="00047F3E">
            <w:pPr>
              <w:spacing w:after="0"/>
              <w:jc w:val="both"/>
              <w:rPr>
                <w:szCs w:val="22"/>
              </w:rPr>
            </w:pPr>
            <w:r w:rsidRPr="00515546">
              <w:rPr>
                <w:szCs w:val="22"/>
              </w:rPr>
              <w:t xml:space="preserve">Date: </w:t>
            </w:r>
            <w:r>
              <w:rPr>
                <w:szCs w:val="22"/>
              </w:rPr>
              <w:t>22 May 2018</w:t>
            </w:r>
          </w:p>
        </w:tc>
      </w:tr>
      <w:tr w:rsidR="00C63454" w:rsidRPr="00515546" w14:paraId="639DB949" w14:textId="77777777" w:rsidTr="004D5570">
        <w:trPr>
          <w:trHeight w:val="20"/>
        </w:trPr>
        <w:tc>
          <w:tcPr>
            <w:tcW w:w="2139" w:type="dxa"/>
            <w:shd w:val="clear" w:color="auto" w:fill="auto"/>
            <w:vAlign w:val="bottom"/>
          </w:tcPr>
          <w:p w14:paraId="2D5B9D59" w14:textId="77777777" w:rsidR="00C63454" w:rsidRPr="00515546" w:rsidRDefault="00C63454" w:rsidP="00047F3E">
            <w:pPr>
              <w:spacing w:after="0"/>
              <w:jc w:val="both"/>
              <w:rPr>
                <w:b/>
                <w:szCs w:val="22"/>
              </w:rPr>
            </w:pPr>
            <w:r w:rsidRPr="00515546">
              <w:rPr>
                <w:b/>
                <w:szCs w:val="22"/>
              </w:rPr>
              <w:t>Reviewed by:</w:t>
            </w:r>
          </w:p>
        </w:tc>
        <w:tc>
          <w:tcPr>
            <w:tcW w:w="3622" w:type="dxa"/>
            <w:shd w:val="clear" w:color="auto" w:fill="auto"/>
            <w:vAlign w:val="bottom"/>
          </w:tcPr>
          <w:p w14:paraId="2EB02564" w14:textId="77777777" w:rsidR="00C63454" w:rsidRPr="00515546" w:rsidRDefault="00C63454" w:rsidP="00047F3E">
            <w:pPr>
              <w:spacing w:after="0"/>
              <w:jc w:val="both"/>
              <w:rPr>
                <w:szCs w:val="22"/>
              </w:rPr>
            </w:pPr>
            <w:r w:rsidRPr="00515546">
              <w:rPr>
                <w:szCs w:val="22"/>
              </w:rPr>
              <w:t xml:space="preserve">Name: </w:t>
            </w:r>
            <w:r>
              <w:rPr>
                <w:szCs w:val="22"/>
              </w:rPr>
              <w:t>Fatai Akemokwe</w:t>
            </w:r>
          </w:p>
        </w:tc>
        <w:tc>
          <w:tcPr>
            <w:tcW w:w="2869" w:type="dxa"/>
            <w:shd w:val="clear" w:color="auto" w:fill="auto"/>
            <w:vAlign w:val="bottom"/>
          </w:tcPr>
          <w:p w14:paraId="369740CD" w14:textId="0837A9B1" w:rsidR="00C63454" w:rsidRPr="00515546" w:rsidRDefault="00C63454" w:rsidP="00047F3E">
            <w:pPr>
              <w:spacing w:after="0"/>
              <w:jc w:val="both"/>
              <w:rPr>
                <w:szCs w:val="22"/>
              </w:rPr>
            </w:pPr>
            <w:r w:rsidRPr="00515546">
              <w:rPr>
                <w:szCs w:val="22"/>
              </w:rPr>
              <w:t xml:space="preserve">Date: </w:t>
            </w:r>
            <w:r>
              <w:rPr>
                <w:szCs w:val="22"/>
              </w:rPr>
              <w:t>11 June 2018</w:t>
            </w:r>
          </w:p>
        </w:tc>
      </w:tr>
      <w:tr w:rsidR="00B93EC3" w:rsidRPr="00515546" w14:paraId="04C7F70F" w14:textId="77777777" w:rsidTr="004D5570">
        <w:trPr>
          <w:trHeight w:val="20"/>
        </w:trPr>
        <w:tc>
          <w:tcPr>
            <w:tcW w:w="2139" w:type="dxa"/>
            <w:shd w:val="clear" w:color="auto" w:fill="auto"/>
            <w:vAlign w:val="bottom"/>
          </w:tcPr>
          <w:p w14:paraId="02007157" w14:textId="0B6C19FA" w:rsidR="00B93EC3" w:rsidRPr="00515546" w:rsidRDefault="00B93EC3" w:rsidP="00047F3E">
            <w:pPr>
              <w:spacing w:after="0"/>
              <w:jc w:val="both"/>
              <w:rPr>
                <w:b/>
                <w:szCs w:val="22"/>
              </w:rPr>
            </w:pPr>
            <w:r>
              <w:rPr>
                <w:b/>
                <w:szCs w:val="22"/>
              </w:rPr>
              <w:t>Reviewed by:</w:t>
            </w:r>
          </w:p>
        </w:tc>
        <w:tc>
          <w:tcPr>
            <w:tcW w:w="3622" w:type="dxa"/>
            <w:shd w:val="clear" w:color="auto" w:fill="auto"/>
            <w:vAlign w:val="bottom"/>
          </w:tcPr>
          <w:p w14:paraId="6608BED8" w14:textId="2DF97C4B" w:rsidR="00B93EC3" w:rsidRPr="00515546" w:rsidRDefault="00B93EC3" w:rsidP="00047F3E">
            <w:pPr>
              <w:spacing w:after="0"/>
              <w:jc w:val="both"/>
              <w:rPr>
                <w:szCs w:val="22"/>
              </w:rPr>
            </w:pPr>
            <w:r>
              <w:rPr>
                <w:szCs w:val="22"/>
              </w:rPr>
              <w:t>Name: Fatoumatta Sawaneh</w:t>
            </w:r>
          </w:p>
        </w:tc>
        <w:tc>
          <w:tcPr>
            <w:tcW w:w="2869" w:type="dxa"/>
            <w:shd w:val="clear" w:color="auto" w:fill="auto"/>
            <w:vAlign w:val="bottom"/>
          </w:tcPr>
          <w:p w14:paraId="788E43B2" w14:textId="0881B3D6" w:rsidR="00B93EC3" w:rsidRPr="00515546" w:rsidRDefault="00B93EC3" w:rsidP="00047F3E">
            <w:pPr>
              <w:spacing w:after="0"/>
              <w:jc w:val="both"/>
              <w:rPr>
                <w:szCs w:val="22"/>
              </w:rPr>
            </w:pPr>
            <w:r>
              <w:rPr>
                <w:szCs w:val="22"/>
              </w:rPr>
              <w:t>Date: 15 January 2021</w:t>
            </w:r>
          </w:p>
        </w:tc>
      </w:tr>
      <w:tr w:rsidR="00B93EC3" w:rsidRPr="00515546" w14:paraId="54128683" w14:textId="77777777" w:rsidTr="004D5570">
        <w:trPr>
          <w:trHeight w:val="20"/>
        </w:trPr>
        <w:tc>
          <w:tcPr>
            <w:tcW w:w="2139" w:type="dxa"/>
            <w:shd w:val="clear" w:color="auto" w:fill="auto"/>
            <w:vAlign w:val="bottom"/>
          </w:tcPr>
          <w:p w14:paraId="7B238977" w14:textId="77EF1487" w:rsidR="00B93EC3" w:rsidRDefault="00B93EC3" w:rsidP="00047F3E">
            <w:pPr>
              <w:spacing w:after="0"/>
              <w:jc w:val="both"/>
              <w:rPr>
                <w:b/>
                <w:szCs w:val="22"/>
              </w:rPr>
            </w:pPr>
            <w:r>
              <w:rPr>
                <w:b/>
                <w:szCs w:val="22"/>
              </w:rPr>
              <w:t>Reviewed by:</w:t>
            </w:r>
          </w:p>
        </w:tc>
        <w:tc>
          <w:tcPr>
            <w:tcW w:w="3622" w:type="dxa"/>
            <w:shd w:val="clear" w:color="auto" w:fill="auto"/>
            <w:vAlign w:val="bottom"/>
          </w:tcPr>
          <w:p w14:paraId="1D5D8708" w14:textId="5111ABD2" w:rsidR="00B93EC3" w:rsidRPr="00515546" w:rsidRDefault="00B93EC3" w:rsidP="00047F3E">
            <w:pPr>
              <w:spacing w:after="0"/>
              <w:jc w:val="both"/>
              <w:rPr>
                <w:szCs w:val="22"/>
              </w:rPr>
            </w:pPr>
            <w:r>
              <w:rPr>
                <w:szCs w:val="22"/>
              </w:rPr>
              <w:t>Name: Karen Forrest</w:t>
            </w:r>
          </w:p>
        </w:tc>
        <w:tc>
          <w:tcPr>
            <w:tcW w:w="2869" w:type="dxa"/>
            <w:shd w:val="clear" w:color="auto" w:fill="auto"/>
            <w:vAlign w:val="bottom"/>
          </w:tcPr>
          <w:p w14:paraId="2811F5E1" w14:textId="72DCD488" w:rsidR="00B93EC3" w:rsidRPr="00515546" w:rsidRDefault="00B93EC3" w:rsidP="00047F3E">
            <w:pPr>
              <w:spacing w:after="0"/>
              <w:jc w:val="both"/>
              <w:rPr>
                <w:szCs w:val="22"/>
              </w:rPr>
            </w:pPr>
            <w:r>
              <w:rPr>
                <w:szCs w:val="22"/>
              </w:rPr>
              <w:t>Date: 31 January 2021</w:t>
            </w:r>
          </w:p>
        </w:tc>
      </w:tr>
      <w:tr w:rsidR="00C63454" w:rsidRPr="00515546" w14:paraId="3FF234C4" w14:textId="77777777" w:rsidTr="004D5570">
        <w:trPr>
          <w:trHeight w:val="20"/>
        </w:trPr>
        <w:tc>
          <w:tcPr>
            <w:tcW w:w="2139" w:type="dxa"/>
            <w:shd w:val="clear" w:color="auto" w:fill="auto"/>
            <w:vAlign w:val="bottom"/>
          </w:tcPr>
          <w:p w14:paraId="34DA03EE" w14:textId="77777777" w:rsidR="00C63454" w:rsidRPr="00515546" w:rsidRDefault="00C63454" w:rsidP="00047F3E">
            <w:pPr>
              <w:spacing w:after="0"/>
              <w:jc w:val="both"/>
              <w:rPr>
                <w:szCs w:val="22"/>
              </w:rPr>
            </w:pPr>
            <w:r w:rsidRPr="00515546">
              <w:rPr>
                <w:b/>
                <w:szCs w:val="22"/>
              </w:rPr>
              <w:t>Version:</w:t>
            </w:r>
          </w:p>
        </w:tc>
        <w:tc>
          <w:tcPr>
            <w:tcW w:w="3622" w:type="dxa"/>
            <w:shd w:val="clear" w:color="auto" w:fill="auto"/>
            <w:vAlign w:val="bottom"/>
          </w:tcPr>
          <w:p w14:paraId="2AD59635" w14:textId="77777777" w:rsidR="00C63454" w:rsidRPr="00515546" w:rsidRDefault="00C63454" w:rsidP="00047F3E">
            <w:pPr>
              <w:spacing w:after="0"/>
              <w:jc w:val="both"/>
              <w:rPr>
                <w:szCs w:val="22"/>
              </w:rPr>
            </w:pPr>
            <w:r w:rsidRPr="00515546">
              <w:rPr>
                <w:b/>
                <w:szCs w:val="22"/>
              </w:rPr>
              <w:t>Change history:</w:t>
            </w:r>
          </w:p>
        </w:tc>
        <w:tc>
          <w:tcPr>
            <w:tcW w:w="2869" w:type="dxa"/>
            <w:shd w:val="clear" w:color="auto" w:fill="auto"/>
            <w:vAlign w:val="bottom"/>
          </w:tcPr>
          <w:p w14:paraId="5EF03370" w14:textId="77777777" w:rsidR="00C63454" w:rsidRPr="00515546" w:rsidRDefault="00C63454" w:rsidP="00047F3E">
            <w:pPr>
              <w:spacing w:after="0"/>
              <w:jc w:val="both"/>
              <w:rPr>
                <w:b/>
                <w:szCs w:val="22"/>
              </w:rPr>
            </w:pPr>
            <w:r w:rsidRPr="00515546">
              <w:rPr>
                <w:b/>
                <w:szCs w:val="22"/>
              </w:rPr>
              <w:t>Review due date:</w:t>
            </w:r>
          </w:p>
        </w:tc>
      </w:tr>
      <w:tr w:rsidR="00C63454" w:rsidRPr="00515546" w14:paraId="425BB843" w14:textId="77777777" w:rsidTr="004D5570">
        <w:trPr>
          <w:trHeight w:val="20"/>
        </w:trPr>
        <w:tc>
          <w:tcPr>
            <w:tcW w:w="2139" w:type="dxa"/>
            <w:shd w:val="clear" w:color="auto" w:fill="auto"/>
            <w:vAlign w:val="bottom"/>
          </w:tcPr>
          <w:p w14:paraId="49DF1E51" w14:textId="77777777" w:rsidR="00C63454" w:rsidRPr="00515546" w:rsidRDefault="00C63454" w:rsidP="00047F3E">
            <w:pPr>
              <w:spacing w:after="0"/>
              <w:jc w:val="both"/>
              <w:rPr>
                <w:szCs w:val="22"/>
              </w:rPr>
            </w:pPr>
            <w:r w:rsidRPr="00515546">
              <w:rPr>
                <w:szCs w:val="22"/>
              </w:rPr>
              <w:t>1.0</w:t>
            </w:r>
          </w:p>
        </w:tc>
        <w:tc>
          <w:tcPr>
            <w:tcW w:w="3622" w:type="dxa"/>
            <w:shd w:val="clear" w:color="auto" w:fill="auto"/>
            <w:vAlign w:val="bottom"/>
          </w:tcPr>
          <w:p w14:paraId="0F9ADE79" w14:textId="77777777" w:rsidR="00C63454" w:rsidRPr="00515546" w:rsidRDefault="00C63454" w:rsidP="00047F3E">
            <w:pPr>
              <w:spacing w:after="0"/>
              <w:jc w:val="both"/>
              <w:rPr>
                <w:szCs w:val="22"/>
              </w:rPr>
            </w:pPr>
            <w:r w:rsidRPr="00515546">
              <w:rPr>
                <w:szCs w:val="22"/>
              </w:rPr>
              <w:t>New document</w:t>
            </w:r>
          </w:p>
        </w:tc>
        <w:tc>
          <w:tcPr>
            <w:tcW w:w="2869" w:type="dxa"/>
            <w:shd w:val="clear" w:color="auto" w:fill="auto"/>
            <w:vAlign w:val="bottom"/>
          </w:tcPr>
          <w:p w14:paraId="435581A7" w14:textId="77777777" w:rsidR="00C63454" w:rsidRPr="00515546" w:rsidRDefault="00C63454" w:rsidP="00047F3E">
            <w:pPr>
              <w:spacing w:after="0"/>
              <w:jc w:val="both"/>
              <w:rPr>
                <w:szCs w:val="22"/>
              </w:rPr>
            </w:pPr>
          </w:p>
        </w:tc>
      </w:tr>
      <w:tr w:rsidR="00C63454" w:rsidRPr="00515546" w14:paraId="2676F5CE" w14:textId="77777777" w:rsidTr="004D5570">
        <w:trPr>
          <w:trHeight w:val="20"/>
        </w:trPr>
        <w:tc>
          <w:tcPr>
            <w:tcW w:w="2139" w:type="dxa"/>
            <w:shd w:val="clear" w:color="auto" w:fill="auto"/>
            <w:vAlign w:val="bottom"/>
          </w:tcPr>
          <w:p w14:paraId="03C91335" w14:textId="2C16EE32" w:rsidR="00C63454" w:rsidRPr="00515546" w:rsidRDefault="00C63454" w:rsidP="00047F3E">
            <w:pPr>
              <w:spacing w:after="0"/>
              <w:jc w:val="both"/>
              <w:rPr>
                <w:szCs w:val="22"/>
              </w:rPr>
            </w:pPr>
            <w:r>
              <w:rPr>
                <w:szCs w:val="22"/>
              </w:rPr>
              <w:t>2.0</w:t>
            </w:r>
          </w:p>
        </w:tc>
        <w:tc>
          <w:tcPr>
            <w:tcW w:w="3622" w:type="dxa"/>
            <w:shd w:val="clear" w:color="auto" w:fill="auto"/>
            <w:vAlign w:val="bottom"/>
          </w:tcPr>
          <w:p w14:paraId="53F28210" w14:textId="778C13BC" w:rsidR="00C63454" w:rsidRPr="00515546" w:rsidRDefault="00C63454" w:rsidP="00047F3E">
            <w:pPr>
              <w:spacing w:after="0"/>
              <w:jc w:val="both"/>
              <w:rPr>
                <w:szCs w:val="22"/>
              </w:rPr>
            </w:pPr>
            <w:r>
              <w:rPr>
                <w:szCs w:val="22"/>
              </w:rPr>
              <w:t xml:space="preserve">Adapted from previous version </w:t>
            </w:r>
            <w:r w:rsidR="008D21DA">
              <w:rPr>
                <w:szCs w:val="22"/>
              </w:rPr>
              <w:t>and MeG-CLS-016 to combine into one document relevant to all areas</w:t>
            </w:r>
          </w:p>
        </w:tc>
        <w:tc>
          <w:tcPr>
            <w:tcW w:w="2869" w:type="dxa"/>
            <w:shd w:val="clear" w:color="auto" w:fill="auto"/>
            <w:vAlign w:val="bottom"/>
          </w:tcPr>
          <w:p w14:paraId="1974874B" w14:textId="7CCA1411" w:rsidR="00C63454" w:rsidRPr="00515546" w:rsidRDefault="00C63454" w:rsidP="00047F3E">
            <w:pPr>
              <w:spacing w:after="0"/>
              <w:jc w:val="both"/>
              <w:rPr>
                <w:szCs w:val="22"/>
              </w:rPr>
            </w:pPr>
            <w:r>
              <w:rPr>
                <w:szCs w:val="22"/>
              </w:rPr>
              <w:t xml:space="preserve">31 </w:t>
            </w:r>
            <w:r w:rsidR="00213C24">
              <w:rPr>
                <w:szCs w:val="22"/>
              </w:rPr>
              <w:t>July</w:t>
            </w:r>
            <w:r>
              <w:rPr>
                <w:szCs w:val="22"/>
              </w:rPr>
              <w:t xml:space="preserve"> 2020</w:t>
            </w:r>
          </w:p>
        </w:tc>
      </w:tr>
      <w:tr w:rsidR="008079B9" w:rsidRPr="00515546" w14:paraId="7D02D671" w14:textId="77777777" w:rsidTr="004D5570">
        <w:trPr>
          <w:trHeight w:val="20"/>
        </w:trPr>
        <w:tc>
          <w:tcPr>
            <w:tcW w:w="2139" w:type="dxa"/>
            <w:shd w:val="clear" w:color="auto" w:fill="auto"/>
            <w:vAlign w:val="bottom"/>
          </w:tcPr>
          <w:p w14:paraId="37BBD80A" w14:textId="0C611BB5" w:rsidR="008079B9" w:rsidRDefault="008079B9" w:rsidP="00047F3E">
            <w:pPr>
              <w:spacing w:after="0"/>
              <w:jc w:val="both"/>
              <w:rPr>
                <w:szCs w:val="22"/>
              </w:rPr>
            </w:pPr>
            <w:r>
              <w:rPr>
                <w:szCs w:val="22"/>
              </w:rPr>
              <w:t>2.1</w:t>
            </w:r>
          </w:p>
        </w:tc>
        <w:tc>
          <w:tcPr>
            <w:tcW w:w="3622" w:type="dxa"/>
            <w:shd w:val="clear" w:color="auto" w:fill="auto"/>
            <w:vAlign w:val="bottom"/>
          </w:tcPr>
          <w:p w14:paraId="3C5BBF44" w14:textId="5CD67876" w:rsidR="008079B9" w:rsidRDefault="008079B9" w:rsidP="00047F3E">
            <w:pPr>
              <w:spacing w:after="0"/>
              <w:jc w:val="both"/>
              <w:rPr>
                <w:szCs w:val="22"/>
              </w:rPr>
            </w:pPr>
            <w:r>
              <w:rPr>
                <w:szCs w:val="22"/>
              </w:rPr>
              <w:t>Executive summary added</w:t>
            </w:r>
          </w:p>
        </w:tc>
        <w:tc>
          <w:tcPr>
            <w:tcW w:w="2869" w:type="dxa"/>
            <w:shd w:val="clear" w:color="auto" w:fill="auto"/>
            <w:vAlign w:val="bottom"/>
          </w:tcPr>
          <w:p w14:paraId="26C5600F" w14:textId="4287F91D" w:rsidR="008079B9" w:rsidRDefault="008079B9" w:rsidP="00047F3E">
            <w:pPr>
              <w:spacing w:after="0"/>
              <w:jc w:val="both"/>
              <w:rPr>
                <w:szCs w:val="22"/>
              </w:rPr>
            </w:pPr>
            <w:r>
              <w:rPr>
                <w:szCs w:val="22"/>
              </w:rPr>
              <w:t>31 July 2020</w:t>
            </w:r>
          </w:p>
        </w:tc>
      </w:tr>
      <w:tr w:rsidR="00B93EC3" w:rsidRPr="00515546" w14:paraId="508F3F38" w14:textId="77777777" w:rsidTr="004D5570">
        <w:trPr>
          <w:trHeight w:val="20"/>
        </w:trPr>
        <w:tc>
          <w:tcPr>
            <w:tcW w:w="2139" w:type="dxa"/>
            <w:shd w:val="clear" w:color="auto" w:fill="auto"/>
            <w:vAlign w:val="bottom"/>
          </w:tcPr>
          <w:p w14:paraId="394003C9" w14:textId="26F24F12" w:rsidR="00B93EC3" w:rsidRDefault="00B93EC3" w:rsidP="00047F3E">
            <w:pPr>
              <w:spacing w:after="0"/>
              <w:jc w:val="both"/>
              <w:rPr>
                <w:szCs w:val="22"/>
              </w:rPr>
            </w:pPr>
            <w:r>
              <w:rPr>
                <w:szCs w:val="22"/>
              </w:rPr>
              <w:t>3.0</w:t>
            </w:r>
          </w:p>
        </w:tc>
        <w:tc>
          <w:tcPr>
            <w:tcW w:w="3622" w:type="dxa"/>
            <w:shd w:val="clear" w:color="auto" w:fill="auto"/>
            <w:vAlign w:val="bottom"/>
          </w:tcPr>
          <w:p w14:paraId="67DE122E" w14:textId="25F70C81" w:rsidR="00B93EC3" w:rsidRDefault="00B93EC3" w:rsidP="00047F3E">
            <w:pPr>
              <w:spacing w:after="0"/>
              <w:jc w:val="both"/>
              <w:rPr>
                <w:szCs w:val="22"/>
              </w:rPr>
            </w:pPr>
            <w:r>
              <w:rPr>
                <w:szCs w:val="22"/>
              </w:rPr>
              <w:t>Section on treatment of syphilis added</w:t>
            </w:r>
          </w:p>
        </w:tc>
        <w:tc>
          <w:tcPr>
            <w:tcW w:w="2869" w:type="dxa"/>
            <w:shd w:val="clear" w:color="auto" w:fill="auto"/>
            <w:vAlign w:val="bottom"/>
          </w:tcPr>
          <w:p w14:paraId="4D6C5896" w14:textId="5A338773" w:rsidR="00B93EC3" w:rsidRDefault="00FC2CE6" w:rsidP="00047F3E">
            <w:pPr>
              <w:spacing w:after="0"/>
              <w:jc w:val="both"/>
              <w:rPr>
                <w:szCs w:val="22"/>
              </w:rPr>
            </w:pPr>
            <w:r>
              <w:t>18 February 202</w:t>
            </w:r>
            <w:r>
              <w:t>3</w:t>
            </w:r>
          </w:p>
        </w:tc>
      </w:tr>
      <w:tr w:rsidR="00C63454" w:rsidRPr="00515546" w14:paraId="07BE7028" w14:textId="77777777" w:rsidTr="004D5570">
        <w:trPr>
          <w:trHeight w:val="20"/>
        </w:trPr>
        <w:tc>
          <w:tcPr>
            <w:tcW w:w="2139" w:type="dxa"/>
            <w:shd w:val="clear" w:color="auto" w:fill="auto"/>
            <w:vAlign w:val="bottom"/>
          </w:tcPr>
          <w:p w14:paraId="53B8BEF3" w14:textId="77777777" w:rsidR="00C63454" w:rsidRPr="00515546" w:rsidRDefault="00C63454" w:rsidP="00047F3E">
            <w:pPr>
              <w:spacing w:after="0"/>
              <w:jc w:val="both"/>
              <w:rPr>
                <w:szCs w:val="22"/>
              </w:rPr>
            </w:pPr>
            <w:r w:rsidRPr="00515546">
              <w:rPr>
                <w:szCs w:val="22"/>
              </w:rPr>
              <w:t>Review Comments (</w:t>
            </w:r>
            <w:r w:rsidRPr="00515546">
              <w:rPr>
                <w:i/>
                <w:szCs w:val="22"/>
              </w:rPr>
              <w:t>if applicable)</w:t>
            </w:r>
          </w:p>
        </w:tc>
        <w:tc>
          <w:tcPr>
            <w:tcW w:w="3622" w:type="dxa"/>
            <w:shd w:val="clear" w:color="auto" w:fill="auto"/>
            <w:vAlign w:val="bottom"/>
          </w:tcPr>
          <w:p w14:paraId="71825D98" w14:textId="77777777" w:rsidR="00C63454" w:rsidRPr="00515546" w:rsidRDefault="00C63454" w:rsidP="00047F3E">
            <w:pPr>
              <w:spacing w:after="0"/>
              <w:jc w:val="both"/>
              <w:rPr>
                <w:szCs w:val="22"/>
              </w:rPr>
            </w:pPr>
          </w:p>
        </w:tc>
        <w:tc>
          <w:tcPr>
            <w:tcW w:w="2869" w:type="dxa"/>
            <w:shd w:val="clear" w:color="auto" w:fill="auto"/>
            <w:vAlign w:val="bottom"/>
          </w:tcPr>
          <w:p w14:paraId="314D90F2" w14:textId="77777777" w:rsidR="00C63454" w:rsidRPr="00515546" w:rsidRDefault="00C63454" w:rsidP="00047F3E">
            <w:pPr>
              <w:spacing w:after="0"/>
              <w:jc w:val="both"/>
              <w:rPr>
                <w:b/>
                <w:szCs w:val="22"/>
              </w:rPr>
            </w:pPr>
          </w:p>
        </w:tc>
      </w:tr>
    </w:tbl>
    <w:p w14:paraId="2FE152A6" w14:textId="77777777" w:rsidR="00C63454" w:rsidRPr="00CC3CF5" w:rsidRDefault="00C63454" w:rsidP="002F4865">
      <w:pPr>
        <w:jc w:val="both"/>
        <w:rPr>
          <w:szCs w:val="22"/>
        </w:rPr>
      </w:pPr>
    </w:p>
    <w:sectPr w:rsidR="00C63454" w:rsidRPr="00CC3CF5" w:rsidSect="00D13825">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450A2" w14:textId="77777777" w:rsidR="00A44EB5" w:rsidRDefault="00A44EB5" w:rsidP="00975A60">
      <w:pPr>
        <w:spacing w:after="0"/>
      </w:pPr>
      <w:r>
        <w:separator/>
      </w:r>
    </w:p>
  </w:endnote>
  <w:endnote w:type="continuationSeparator" w:id="0">
    <w:p w14:paraId="4B34647B" w14:textId="77777777" w:rsidR="00A44EB5" w:rsidRDefault="00A44EB5"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4E003"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62B0D3"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98C0F"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FAF7C"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55D5D" w14:textId="77777777" w:rsidR="00A44EB5" w:rsidRDefault="00A44EB5" w:rsidP="00975A60">
      <w:pPr>
        <w:spacing w:after="0"/>
      </w:pPr>
      <w:r>
        <w:separator/>
      </w:r>
    </w:p>
  </w:footnote>
  <w:footnote w:type="continuationSeparator" w:id="0">
    <w:p w14:paraId="2094F0C1" w14:textId="77777777" w:rsidR="00A44EB5" w:rsidRDefault="00A44EB5"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8BF72" w14:textId="75F64831" w:rsidR="00D13825" w:rsidRPr="00C63454" w:rsidRDefault="00D13825" w:rsidP="00D13825">
    <w:pPr>
      <w:pStyle w:val="Header"/>
    </w:pPr>
    <w:r w:rsidRPr="00C63454">
      <w:t>Identification code: MeG-CLS-</w:t>
    </w:r>
    <w:r w:rsidR="00C63454" w:rsidRPr="00C63454">
      <w:t>0</w:t>
    </w:r>
    <w:r w:rsidR="008D21DA">
      <w:t>38</w:t>
    </w:r>
    <w:r w:rsidRPr="00C63454">
      <w:tab/>
    </w:r>
  </w:p>
  <w:p w14:paraId="603564AF" w14:textId="594E6B09" w:rsidR="005D1877" w:rsidRPr="00C63454" w:rsidRDefault="00D13825" w:rsidP="00D13825">
    <w:pPr>
      <w:pStyle w:val="Header"/>
    </w:pPr>
    <w:r w:rsidRPr="00C63454">
      <w:t xml:space="preserve">Version: </w:t>
    </w:r>
    <w:r w:rsidR="00B93EC3">
      <w:t>3.0</w:t>
    </w:r>
    <w:r w:rsidR="00C63454" w:rsidRPr="00C63454">
      <w:t xml:space="preserve"> – </w:t>
    </w:r>
    <w:r w:rsidR="00433190">
      <w:t>18 February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5DE0F"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4D7E4C77" wp14:editId="01485D0E">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484E1DF"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8D9DFE8" w14:textId="77777777" w:rsidR="00D13825" w:rsidRPr="003C0800" w:rsidRDefault="00D13825" w:rsidP="00D13825">
    <w:pPr>
      <w:pStyle w:val="Header"/>
      <w:ind w:firstLine="2880"/>
      <w:rPr>
        <w:rFonts w:cs="Arial"/>
        <w:b/>
      </w:rPr>
    </w:pPr>
  </w:p>
  <w:p w14:paraId="15EEC5B7" w14:textId="53930B22" w:rsidR="00C63454" w:rsidRPr="00C63454" w:rsidRDefault="00C63454" w:rsidP="00C63454">
    <w:pPr>
      <w:pStyle w:val="Header"/>
    </w:pPr>
    <w:r w:rsidRPr="00C63454">
      <w:t>Identification code: MeG-CLS-0</w:t>
    </w:r>
    <w:r w:rsidR="008D21DA">
      <w:t>38</w:t>
    </w:r>
    <w:r w:rsidRPr="00C63454">
      <w:tab/>
    </w:r>
  </w:p>
  <w:p w14:paraId="6C8888DF" w14:textId="67D1794C" w:rsidR="00D13825" w:rsidRDefault="00C63454">
    <w:pPr>
      <w:pStyle w:val="Header"/>
    </w:pPr>
    <w:r w:rsidRPr="00C63454">
      <w:t xml:space="preserve">Version: </w:t>
    </w:r>
    <w:r w:rsidR="00B93EC3">
      <w:t>3.0</w:t>
    </w:r>
    <w:r w:rsidRPr="00C63454">
      <w:t xml:space="preserve"> – </w:t>
    </w:r>
    <w:r w:rsidR="00433190">
      <w:t>18 February 2021</w:t>
    </w:r>
  </w:p>
  <w:p w14:paraId="3AFC89B9" w14:textId="77777777" w:rsidR="00B93EC3" w:rsidRDefault="00B93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542E514"/>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2DB61008"/>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FE4D89"/>
    <w:multiLevelType w:val="hybridMultilevel"/>
    <w:tmpl w:val="7324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1A55A0"/>
    <w:multiLevelType w:val="hybridMultilevel"/>
    <w:tmpl w:val="66121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106C88"/>
    <w:multiLevelType w:val="hybridMultilevel"/>
    <w:tmpl w:val="BB10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5CF3337"/>
    <w:multiLevelType w:val="hybridMultilevel"/>
    <w:tmpl w:val="F75AF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066354"/>
    <w:multiLevelType w:val="hybridMultilevel"/>
    <w:tmpl w:val="A7143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A219C"/>
    <w:multiLevelType w:val="hybridMultilevel"/>
    <w:tmpl w:val="504A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B6E2E18"/>
    <w:multiLevelType w:val="hybridMultilevel"/>
    <w:tmpl w:val="0F26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
  </w:num>
  <w:num w:numId="5">
    <w:abstractNumId w:val="0"/>
  </w:num>
  <w:num w:numId="6">
    <w:abstractNumId w:val="7"/>
  </w:num>
  <w:num w:numId="7">
    <w:abstractNumId w:val="17"/>
  </w:num>
  <w:num w:numId="8">
    <w:abstractNumId w:val="2"/>
  </w:num>
  <w:num w:numId="9">
    <w:abstractNumId w:val="30"/>
  </w:num>
  <w:num w:numId="10">
    <w:abstractNumId w:val="6"/>
  </w:num>
  <w:num w:numId="11">
    <w:abstractNumId w:val="12"/>
  </w:num>
  <w:num w:numId="12">
    <w:abstractNumId w:val="20"/>
  </w:num>
  <w:num w:numId="13">
    <w:abstractNumId w:val="27"/>
  </w:num>
  <w:num w:numId="14">
    <w:abstractNumId w:val="24"/>
  </w:num>
  <w:num w:numId="15">
    <w:abstractNumId w:val="29"/>
  </w:num>
  <w:num w:numId="16">
    <w:abstractNumId w:val="13"/>
  </w:num>
  <w:num w:numId="17">
    <w:abstractNumId w:val="9"/>
  </w:num>
  <w:num w:numId="18">
    <w:abstractNumId w:val="25"/>
  </w:num>
  <w:num w:numId="19">
    <w:abstractNumId w:val="14"/>
  </w:num>
  <w:num w:numId="20">
    <w:abstractNumId w:val="28"/>
  </w:num>
  <w:num w:numId="21">
    <w:abstractNumId w:val="16"/>
  </w:num>
  <w:num w:numId="22">
    <w:abstractNumId w:val="10"/>
  </w:num>
  <w:num w:numId="23">
    <w:abstractNumId w:val="19"/>
  </w:num>
  <w:num w:numId="24">
    <w:abstractNumId w:val="23"/>
  </w:num>
  <w:num w:numId="25">
    <w:abstractNumId w:val="26"/>
  </w:num>
  <w:num w:numId="26">
    <w:abstractNumId w:val="3"/>
  </w:num>
  <w:num w:numId="27">
    <w:abstractNumId w:val="8"/>
  </w:num>
  <w:num w:numId="28">
    <w:abstractNumId w:val="18"/>
  </w:num>
  <w:num w:numId="29">
    <w:abstractNumId w:val="5"/>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2Nba0NDc1NzMyM7dU0lEKTi0uzszPAykwqQUA911HTiwAAAA="/>
  </w:docVars>
  <w:rsids>
    <w:rsidRoot w:val="00C63454"/>
    <w:rsid w:val="000039D9"/>
    <w:rsid w:val="00047F3E"/>
    <w:rsid w:val="0007147C"/>
    <w:rsid w:val="00081642"/>
    <w:rsid w:val="000D4EAA"/>
    <w:rsid w:val="00114AAF"/>
    <w:rsid w:val="001203AE"/>
    <w:rsid w:val="00175153"/>
    <w:rsid w:val="001C1450"/>
    <w:rsid w:val="00213C24"/>
    <w:rsid w:val="00223920"/>
    <w:rsid w:val="00252A11"/>
    <w:rsid w:val="00255444"/>
    <w:rsid w:val="0029357D"/>
    <w:rsid w:val="002A2856"/>
    <w:rsid w:val="002F4865"/>
    <w:rsid w:val="003020A2"/>
    <w:rsid w:val="003038D3"/>
    <w:rsid w:val="003225CD"/>
    <w:rsid w:val="003C0800"/>
    <w:rsid w:val="003E3DCF"/>
    <w:rsid w:val="003F70CA"/>
    <w:rsid w:val="00433190"/>
    <w:rsid w:val="004A25F0"/>
    <w:rsid w:val="004A4C93"/>
    <w:rsid w:val="004C4442"/>
    <w:rsid w:val="005151D8"/>
    <w:rsid w:val="00515546"/>
    <w:rsid w:val="005638D0"/>
    <w:rsid w:val="005D1877"/>
    <w:rsid w:val="00633320"/>
    <w:rsid w:val="0069502A"/>
    <w:rsid w:val="007067BE"/>
    <w:rsid w:val="00792715"/>
    <w:rsid w:val="007B26B1"/>
    <w:rsid w:val="008079B9"/>
    <w:rsid w:val="00857027"/>
    <w:rsid w:val="008D21DA"/>
    <w:rsid w:val="009165E9"/>
    <w:rsid w:val="0091718F"/>
    <w:rsid w:val="009325A7"/>
    <w:rsid w:val="00975A60"/>
    <w:rsid w:val="00994CEB"/>
    <w:rsid w:val="009956F9"/>
    <w:rsid w:val="009B44BE"/>
    <w:rsid w:val="009F5B1B"/>
    <w:rsid w:val="00A312D8"/>
    <w:rsid w:val="00A41080"/>
    <w:rsid w:val="00A44EB5"/>
    <w:rsid w:val="00AA6962"/>
    <w:rsid w:val="00B31AC4"/>
    <w:rsid w:val="00B844E8"/>
    <w:rsid w:val="00B93EC3"/>
    <w:rsid w:val="00BA5C66"/>
    <w:rsid w:val="00BD08AB"/>
    <w:rsid w:val="00C63454"/>
    <w:rsid w:val="00C67021"/>
    <w:rsid w:val="00C913A9"/>
    <w:rsid w:val="00CC3CF5"/>
    <w:rsid w:val="00CD4A1D"/>
    <w:rsid w:val="00D03AB2"/>
    <w:rsid w:val="00D13825"/>
    <w:rsid w:val="00D95724"/>
    <w:rsid w:val="00DA20ED"/>
    <w:rsid w:val="00DC1CC5"/>
    <w:rsid w:val="00DC590C"/>
    <w:rsid w:val="00DE3D6D"/>
    <w:rsid w:val="00DF345F"/>
    <w:rsid w:val="00E101FB"/>
    <w:rsid w:val="00E162DA"/>
    <w:rsid w:val="00E36228"/>
    <w:rsid w:val="00E864B0"/>
    <w:rsid w:val="00F03F25"/>
    <w:rsid w:val="00F53968"/>
    <w:rsid w:val="00F71F11"/>
    <w:rsid w:val="00FC2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50DC4"/>
  <w15:docId w15:val="{04E2B619-E627-4C9A-B56A-8B18F1CD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047F3E"/>
    <w:pPr>
      <w:spacing w:before="120" w:after="180"/>
      <w:jc w:val="both"/>
      <w:outlineLvl w:val="2"/>
    </w:pPr>
    <w:rPr>
      <w:rFonts w:eastAsia="Times New Roman" w:cs="Times New Roman"/>
      <w:b/>
      <w:bCs/>
      <w:sz w:val="24"/>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047F3E"/>
    <w:rPr>
      <w:rFonts w:ascii="Arial" w:eastAsia="Times New Roman" w:hAnsi="Arial" w:cs="Times New Roman"/>
      <w:b/>
      <w:bCs/>
      <w:sz w:val="24"/>
      <w:szCs w:val="24"/>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medicinedocs/en/d/Jh2942e/3.1.htm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who.int/news-room/fact-sheets/detail/sexually-transmitted-infections-(sti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pps.who.int/medicinedocs/documents/s22268en/s22268en.pdf"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sawaneh\Document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12</TotalTime>
  <Pages>6</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8</cp:revision>
  <cp:lastPrinted>2019-05-03T10:48:00Z</cp:lastPrinted>
  <dcterms:created xsi:type="dcterms:W3CDTF">2021-02-02T10:47:00Z</dcterms:created>
  <dcterms:modified xsi:type="dcterms:W3CDTF">2021-02-17T15:53:00Z</dcterms:modified>
</cp:coreProperties>
</file>