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5803" w14:textId="77777777" w:rsidR="00C94E64" w:rsidRPr="00D01639" w:rsidRDefault="00C94E64" w:rsidP="00C94E64">
      <w:pPr>
        <w:pStyle w:val="Heading1"/>
        <w:rPr>
          <w:rFonts w:cs="Arial"/>
          <w:szCs w:val="22"/>
          <w:lang w:val="en-GB"/>
        </w:rPr>
      </w:pPr>
      <w:r w:rsidRPr="00D01639">
        <w:rPr>
          <w:rFonts w:cs="Arial"/>
          <w:szCs w:val="22"/>
          <w:lang w:val="en-GB"/>
        </w:rPr>
        <w:t>Sepsis in adults</w:t>
      </w:r>
    </w:p>
    <w:p w14:paraId="0850E597" w14:textId="77777777" w:rsidR="00A818A4" w:rsidRPr="00D01639" w:rsidRDefault="00A818A4" w:rsidP="00A818A4">
      <w:pPr>
        <w:pStyle w:val="Heading2"/>
        <w:rPr>
          <w:rFonts w:eastAsia="Times New Roman"/>
          <w:i/>
          <w:iCs/>
          <w:szCs w:val="24"/>
          <w:lang w:val="en-GB"/>
        </w:rPr>
      </w:pPr>
      <w:r w:rsidRPr="00D01639">
        <w:rPr>
          <w:rFonts w:eastAsia="Times New Roman"/>
          <w:i/>
          <w:iCs/>
          <w:lang w:val="en-GB"/>
        </w:rPr>
        <w:t>Executive summary</w:t>
      </w:r>
    </w:p>
    <w:p w14:paraId="22848EA0" w14:textId="370C1AD8" w:rsidR="00A818A4" w:rsidRPr="00D01639" w:rsidRDefault="00A818A4" w:rsidP="00A818A4">
      <w:pPr>
        <w:pStyle w:val="Heading2"/>
        <w:rPr>
          <w:rFonts w:eastAsia="Times New Roman"/>
          <w:lang w:val="en-GB"/>
        </w:rPr>
      </w:pPr>
      <w:r w:rsidRPr="00D01639">
        <w:rPr>
          <w:rFonts w:eastAsia="Times New Roman"/>
          <w:lang w:val="en-GB"/>
        </w:rPr>
        <w:t>Introduction</w:t>
      </w:r>
    </w:p>
    <w:p w14:paraId="316C975B" w14:textId="77777777" w:rsidR="005269E8" w:rsidRPr="00D01639" w:rsidRDefault="005269E8" w:rsidP="005269E8">
      <w:pPr>
        <w:spacing w:after="129"/>
        <w:rPr>
          <w:lang w:val="en-GB"/>
        </w:rPr>
      </w:pPr>
      <w:r w:rsidRPr="00D01639">
        <w:rPr>
          <w:lang w:val="en-GB"/>
        </w:rPr>
        <w:t xml:space="preserve">Sepsis is a life-threatening syndrome which must be rapidly recognized and treated. It is a response of the body’s immune system that results in organ dysfunction or failure. Evidence shows that the patient’s chances of survival are directly related to the speed at which treatment is started. </w:t>
      </w:r>
    </w:p>
    <w:p w14:paraId="52604F83" w14:textId="59927FE1" w:rsidR="00A818A4" w:rsidRPr="00D01639" w:rsidRDefault="00A818A4" w:rsidP="00A818A4">
      <w:pPr>
        <w:pStyle w:val="Heading2"/>
        <w:rPr>
          <w:rFonts w:eastAsia="Times New Roman"/>
          <w:lang w:val="en-GB"/>
        </w:rPr>
      </w:pPr>
      <w:r w:rsidRPr="00D01639">
        <w:rPr>
          <w:rFonts w:eastAsia="Times New Roman"/>
          <w:lang w:val="en-GB"/>
        </w:rPr>
        <w:t>Target users</w:t>
      </w:r>
    </w:p>
    <w:p w14:paraId="6440B88C" w14:textId="01C64663" w:rsidR="00C92392" w:rsidRPr="00D01639" w:rsidRDefault="00C92392" w:rsidP="00C92392">
      <w:pPr>
        <w:pStyle w:val="ListParagraph"/>
        <w:numPr>
          <w:ilvl w:val="0"/>
          <w:numId w:val="30"/>
        </w:numPr>
        <w:rPr>
          <w:lang w:val="en-GB"/>
        </w:rPr>
      </w:pPr>
      <w:r w:rsidRPr="00D01639">
        <w:rPr>
          <w:lang w:val="en-GB"/>
        </w:rPr>
        <w:t>Nurses</w:t>
      </w:r>
    </w:p>
    <w:p w14:paraId="42BA40CA" w14:textId="49503289" w:rsidR="00C92392" w:rsidRPr="00D01639" w:rsidRDefault="00C92392" w:rsidP="00C92392">
      <w:pPr>
        <w:pStyle w:val="ListParagraph"/>
        <w:numPr>
          <w:ilvl w:val="0"/>
          <w:numId w:val="30"/>
        </w:numPr>
        <w:rPr>
          <w:lang w:val="en-GB"/>
        </w:rPr>
      </w:pPr>
      <w:r w:rsidRPr="00D01639">
        <w:rPr>
          <w:lang w:val="en-GB"/>
        </w:rPr>
        <w:t>Doctors</w:t>
      </w:r>
    </w:p>
    <w:p w14:paraId="53D7480E" w14:textId="50FAF936" w:rsidR="00A818A4" w:rsidRPr="00D01639" w:rsidRDefault="00A818A4" w:rsidP="00A818A4">
      <w:pPr>
        <w:pStyle w:val="Heading2"/>
        <w:rPr>
          <w:rFonts w:eastAsia="Times New Roman"/>
          <w:lang w:val="en-GB"/>
        </w:rPr>
      </w:pPr>
      <w:r w:rsidRPr="00D01639">
        <w:rPr>
          <w:rFonts w:eastAsia="Times New Roman"/>
          <w:lang w:val="en-GB"/>
        </w:rPr>
        <w:t xml:space="preserve">Target area of use </w:t>
      </w:r>
    </w:p>
    <w:p w14:paraId="4737615C" w14:textId="27FC30ED" w:rsidR="00C92392" w:rsidRPr="00D01639" w:rsidRDefault="00C92392" w:rsidP="00C92392">
      <w:pPr>
        <w:pStyle w:val="ListParagraph"/>
        <w:numPr>
          <w:ilvl w:val="0"/>
          <w:numId w:val="31"/>
        </w:numPr>
        <w:rPr>
          <w:lang w:val="en-GB"/>
        </w:rPr>
      </w:pPr>
      <w:r w:rsidRPr="00D01639">
        <w:rPr>
          <w:lang w:val="en-GB"/>
        </w:rPr>
        <w:t>Outpatient department</w:t>
      </w:r>
    </w:p>
    <w:p w14:paraId="10EDAF12" w14:textId="32A9E50C" w:rsidR="00C92392" w:rsidRPr="00D01639" w:rsidRDefault="00C92392" w:rsidP="00C92392">
      <w:pPr>
        <w:pStyle w:val="ListParagraph"/>
        <w:numPr>
          <w:ilvl w:val="0"/>
          <w:numId w:val="31"/>
        </w:numPr>
        <w:rPr>
          <w:lang w:val="en-GB"/>
        </w:rPr>
      </w:pPr>
      <w:r w:rsidRPr="00D01639">
        <w:rPr>
          <w:lang w:val="en-GB"/>
        </w:rPr>
        <w:t>Ward</w:t>
      </w:r>
    </w:p>
    <w:p w14:paraId="04F41768" w14:textId="344527AB" w:rsidR="00A818A4" w:rsidRPr="00D01639" w:rsidRDefault="00A818A4" w:rsidP="00A818A4">
      <w:pPr>
        <w:pStyle w:val="Heading2"/>
        <w:rPr>
          <w:rFonts w:eastAsia="Times New Roman"/>
          <w:lang w:val="en-GB"/>
        </w:rPr>
      </w:pPr>
      <w:r w:rsidRPr="00D01639">
        <w:rPr>
          <w:rFonts w:eastAsia="Times New Roman"/>
          <w:lang w:val="en-GB"/>
        </w:rPr>
        <w:t xml:space="preserve">Key areas of focus / New additions / Changes </w:t>
      </w:r>
    </w:p>
    <w:p w14:paraId="5C0F9586" w14:textId="2C93E3D4" w:rsidR="00C92392" w:rsidRPr="00D01639" w:rsidRDefault="00C92392" w:rsidP="00C92392">
      <w:pPr>
        <w:rPr>
          <w:lang w:val="en-GB"/>
        </w:rPr>
      </w:pPr>
      <w:r w:rsidRPr="00D01639">
        <w:rPr>
          <w:lang w:val="en-GB"/>
        </w:rPr>
        <w:t xml:space="preserve">This guideline outlines the rapid recognition and response required to treat sepsis. </w:t>
      </w:r>
      <w:r w:rsidR="00D74743" w:rsidRPr="00D01639">
        <w:rPr>
          <w:lang w:val="en-GB"/>
        </w:rPr>
        <w:t>It summarises the empirical antibiotics appropriate in our setting.</w:t>
      </w:r>
    </w:p>
    <w:p w14:paraId="2332ADDA" w14:textId="31EB8B5D" w:rsidR="00A818A4" w:rsidRPr="00D01639" w:rsidRDefault="00A818A4" w:rsidP="00A818A4">
      <w:pPr>
        <w:pStyle w:val="Heading2"/>
        <w:rPr>
          <w:rFonts w:eastAsia="Times New Roman"/>
          <w:lang w:val="en-GB"/>
        </w:rPr>
      </w:pPr>
      <w:r w:rsidRPr="00D01639">
        <w:rPr>
          <w:rFonts w:eastAsia="Times New Roman"/>
          <w:lang w:val="en-GB"/>
        </w:rPr>
        <w:t>Limitations</w:t>
      </w:r>
    </w:p>
    <w:p w14:paraId="344E3538" w14:textId="253A5709" w:rsidR="00B90093" w:rsidRPr="00D01639" w:rsidRDefault="00B90093" w:rsidP="00B90093">
      <w:pPr>
        <w:rPr>
          <w:lang w:val="en-GB"/>
        </w:rPr>
      </w:pPr>
      <w:r w:rsidRPr="00D01639">
        <w:rPr>
          <w:lang w:val="en-GB"/>
        </w:rPr>
        <w:t>We do not have access to HDU level care.</w:t>
      </w:r>
    </w:p>
    <w:p w14:paraId="303F8977" w14:textId="77777777" w:rsidR="00A818A4" w:rsidRPr="00D01639" w:rsidRDefault="00A818A4">
      <w:pPr>
        <w:spacing w:after="0"/>
        <w:outlineLvl w:val="9"/>
        <w:rPr>
          <w:b/>
          <w:sz w:val="24"/>
          <w:szCs w:val="22"/>
          <w:lang w:val="en-GB"/>
        </w:rPr>
      </w:pPr>
      <w:r w:rsidRPr="00D01639">
        <w:rPr>
          <w:szCs w:val="22"/>
          <w:lang w:val="en-GB"/>
        </w:rPr>
        <w:br w:type="page"/>
      </w:r>
    </w:p>
    <w:p w14:paraId="3D4D84B4" w14:textId="328B977E" w:rsidR="00C94E64" w:rsidRPr="00D01639" w:rsidRDefault="00C94E64" w:rsidP="00C94E64">
      <w:pPr>
        <w:pStyle w:val="Heading2"/>
        <w:rPr>
          <w:rFonts w:cs="Arial"/>
          <w:szCs w:val="22"/>
          <w:lang w:val="en-GB"/>
        </w:rPr>
      </w:pPr>
      <w:r w:rsidRPr="00D01639">
        <w:rPr>
          <w:rFonts w:cs="Arial"/>
          <w:szCs w:val="22"/>
          <w:lang w:val="en-GB"/>
        </w:rPr>
        <w:lastRenderedPageBreak/>
        <w:t>Presenting symptoms and signs</w:t>
      </w:r>
    </w:p>
    <w:p w14:paraId="61E8B9AA" w14:textId="77777777" w:rsidR="00C94E64" w:rsidRPr="00D01639" w:rsidRDefault="00C94E64" w:rsidP="00C94E64">
      <w:pPr>
        <w:rPr>
          <w:szCs w:val="22"/>
          <w:lang w:val="en-GB"/>
        </w:rPr>
      </w:pPr>
      <w:r w:rsidRPr="00D01639">
        <w:rPr>
          <w:szCs w:val="22"/>
          <w:lang w:val="en-GB"/>
        </w:rPr>
        <w:t xml:space="preserve">Sepsis can present in </w:t>
      </w:r>
      <w:proofErr w:type="gramStart"/>
      <w:r w:rsidRPr="00D01639">
        <w:rPr>
          <w:szCs w:val="22"/>
          <w:lang w:val="en-GB"/>
        </w:rPr>
        <w:t>many different ways</w:t>
      </w:r>
      <w:proofErr w:type="gramEnd"/>
      <w:r w:rsidRPr="00D01639">
        <w:rPr>
          <w:szCs w:val="22"/>
          <w:lang w:val="en-GB"/>
        </w:rPr>
        <w:t xml:space="preserve"> depending on where the infection is. Immunocompromised patients may not mount the same response as other patients. </w:t>
      </w:r>
    </w:p>
    <w:p w14:paraId="3827AB84" w14:textId="77777777" w:rsidR="00C94E64" w:rsidRPr="00D01639" w:rsidRDefault="00C94E64" w:rsidP="00C94E64">
      <w:pPr>
        <w:rPr>
          <w:szCs w:val="22"/>
          <w:lang w:val="en-GB"/>
        </w:rPr>
      </w:pPr>
      <w:r w:rsidRPr="00D01639">
        <w:rPr>
          <w:szCs w:val="22"/>
          <w:lang w:val="en-GB"/>
        </w:rPr>
        <w:t>Common symptoms are:</w:t>
      </w:r>
    </w:p>
    <w:p w14:paraId="4097394E" w14:textId="77777777" w:rsidR="001862CE" w:rsidRPr="00D01639" w:rsidRDefault="001862CE" w:rsidP="001862CE">
      <w:pPr>
        <w:pStyle w:val="ListParagraph"/>
        <w:numPr>
          <w:ilvl w:val="0"/>
          <w:numId w:val="34"/>
        </w:numPr>
        <w:rPr>
          <w:lang w:val="en-GB"/>
        </w:rPr>
      </w:pPr>
      <w:r w:rsidRPr="00D01639">
        <w:rPr>
          <w:lang w:val="en-GB"/>
        </w:rPr>
        <w:t xml:space="preserve">Fever, with or without shaking chills (Temperature &gt; 38ºC or &lt; 36 ºC) </w:t>
      </w:r>
    </w:p>
    <w:p w14:paraId="047E2AB9" w14:textId="77777777" w:rsidR="001862CE" w:rsidRPr="00D01639" w:rsidRDefault="001862CE" w:rsidP="001862CE">
      <w:pPr>
        <w:pStyle w:val="ListParagraph"/>
        <w:numPr>
          <w:ilvl w:val="0"/>
          <w:numId w:val="34"/>
        </w:numPr>
        <w:rPr>
          <w:lang w:val="en-GB"/>
        </w:rPr>
      </w:pPr>
      <w:r w:rsidRPr="00D01639">
        <w:rPr>
          <w:lang w:val="en-GB"/>
        </w:rPr>
        <w:t xml:space="preserve">Cough  </w:t>
      </w:r>
    </w:p>
    <w:p w14:paraId="7739B653" w14:textId="77777777" w:rsidR="001862CE" w:rsidRPr="00D01639" w:rsidRDefault="001862CE" w:rsidP="001862CE">
      <w:pPr>
        <w:pStyle w:val="ListParagraph"/>
        <w:numPr>
          <w:ilvl w:val="0"/>
          <w:numId w:val="34"/>
        </w:numPr>
        <w:rPr>
          <w:lang w:val="en-GB"/>
        </w:rPr>
      </w:pPr>
      <w:r w:rsidRPr="00D01639">
        <w:rPr>
          <w:lang w:val="en-GB"/>
        </w:rPr>
        <w:t xml:space="preserve">Pain (abdominal, joint, headache)  </w:t>
      </w:r>
    </w:p>
    <w:p w14:paraId="7C14740D" w14:textId="77777777" w:rsidR="001862CE" w:rsidRPr="00D01639" w:rsidRDefault="001862CE" w:rsidP="001862CE">
      <w:pPr>
        <w:pStyle w:val="ListParagraph"/>
        <w:numPr>
          <w:ilvl w:val="0"/>
          <w:numId w:val="34"/>
        </w:numPr>
        <w:rPr>
          <w:lang w:val="en-GB"/>
        </w:rPr>
      </w:pPr>
      <w:r w:rsidRPr="00D01639">
        <w:rPr>
          <w:lang w:val="en-GB"/>
        </w:rPr>
        <w:t>Hypotension</w:t>
      </w:r>
    </w:p>
    <w:p w14:paraId="37B51820" w14:textId="77777777" w:rsidR="001862CE" w:rsidRPr="00D01639" w:rsidRDefault="001862CE" w:rsidP="001862CE">
      <w:pPr>
        <w:pStyle w:val="ListParagraph"/>
        <w:numPr>
          <w:ilvl w:val="0"/>
          <w:numId w:val="34"/>
        </w:numPr>
        <w:rPr>
          <w:lang w:val="en-GB"/>
        </w:rPr>
      </w:pPr>
      <w:r w:rsidRPr="00D01639">
        <w:rPr>
          <w:lang w:val="en-GB"/>
        </w:rPr>
        <w:t>Impaired mental status</w:t>
      </w:r>
    </w:p>
    <w:p w14:paraId="396B51C7" w14:textId="77777777" w:rsidR="001862CE" w:rsidRPr="00D01639" w:rsidRDefault="001862CE" w:rsidP="001862CE">
      <w:pPr>
        <w:pStyle w:val="ListParagraph"/>
        <w:numPr>
          <w:ilvl w:val="0"/>
          <w:numId w:val="34"/>
        </w:numPr>
        <w:rPr>
          <w:lang w:val="en-GB"/>
        </w:rPr>
      </w:pPr>
      <w:r w:rsidRPr="00D01639">
        <w:rPr>
          <w:lang w:val="en-GB"/>
        </w:rPr>
        <w:t>Increased respiratory rate (&gt;20breaths/min)</w:t>
      </w:r>
    </w:p>
    <w:p w14:paraId="652D0413" w14:textId="77777777" w:rsidR="001862CE" w:rsidRPr="00D01639" w:rsidRDefault="001862CE" w:rsidP="001862CE">
      <w:pPr>
        <w:pStyle w:val="ListParagraph"/>
        <w:numPr>
          <w:ilvl w:val="0"/>
          <w:numId w:val="34"/>
        </w:numPr>
        <w:rPr>
          <w:lang w:val="en-GB"/>
        </w:rPr>
      </w:pPr>
      <w:r w:rsidRPr="00D01639">
        <w:rPr>
          <w:lang w:val="en-GB"/>
        </w:rPr>
        <w:t>Signs of end organ perfusion (Warm flushed skin, oligura, ileus or absent bowel signs)</w:t>
      </w:r>
    </w:p>
    <w:p w14:paraId="35EE772A" w14:textId="77777777" w:rsidR="00C94E64" w:rsidRPr="00D01639" w:rsidRDefault="00C94E64" w:rsidP="00C94E64">
      <w:pPr>
        <w:pStyle w:val="Heading2"/>
        <w:rPr>
          <w:rFonts w:cs="Arial"/>
          <w:szCs w:val="22"/>
          <w:lang w:val="en-GB"/>
        </w:rPr>
      </w:pPr>
      <w:r w:rsidRPr="00D01639">
        <w:rPr>
          <w:rFonts w:cs="Arial"/>
          <w:szCs w:val="22"/>
          <w:lang w:val="en-GB"/>
        </w:rPr>
        <w:t>Examination findings</w:t>
      </w:r>
    </w:p>
    <w:p w14:paraId="185E5F20" w14:textId="77777777" w:rsidR="00C94E64" w:rsidRPr="00D01639" w:rsidRDefault="00C94E64" w:rsidP="00C94E64">
      <w:pPr>
        <w:pStyle w:val="Heading2"/>
        <w:rPr>
          <w:rFonts w:cs="Arial"/>
          <w:b w:val="0"/>
          <w:sz w:val="22"/>
          <w:szCs w:val="22"/>
          <w:lang w:val="en-GB"/>
        </w:rPr>
      </w:pPr>
      <w:r w:rsidRPr="00D01639">
        <w:rPr>
          <w:rFonts w:cs="Arial"/>
          <w:b w:val="0"/>
          <w:sz w:val="22"/>
          <w:szCs w:val="22"/>
          <w:lang w:val="en-GB"/>
        </w:rPr>
        <w:t>Depend on the type of sepsis.</w:t>
      </w:r>
    </w:p>
    <w:p w14:paraId="7774126F" w14:textId="77777777" w:rsidR="00C94E64" w:rsidRPr="00D01639" w:rsidRDefault="00C94E64" w:rsidP="00C94E64">
      <w:pPr>
        <w:rPr>
          <w:lang w:val="en-GB"/>
        </w:rPr>
      </w:pPr>
      <w:r w:rsidRPr="00D01639">
        <w:rPr>
          <w:lang w:val="en-GB"/>
        </w:rPr>
        <w:t>Patients should undergo a full examination including:</w:t>
      </w:r>
    </w:p>
    <w:p w14:paraId="3AF414ED" w14:textId="77777777" w:rsidR="00C94E64" w:rsidRPr="00D01639" w:rsidRDefault="00C94E64" w:rsidP="00C94E64">
      <w:pPr>
        <w:pStyle w:val="ListParagraph"/>
        <w:numPr>
          <w:ilvl w:val="0"/>
          <w:numId w:val="26"/>
        </w:numPr>
        <w:rPr>
          <w:szCs w:val="22"/>
          <w:lang w:val="en-GB"/>
        </w:rPr>
      </w:pPr>
      <w:r w:rsidRPr="00D01639">
        <w:rPr>
          <w:szCs w:val="22"/>
          <w:lang w:val="en-GB"/>
        </w:rPr>
        <w:t>Cardiovascular</w:t>
      </w:r>
    </w:p>
    <w:p w14:paraId="40D39174" w14:textId="77777777" w:rsidR="00C94E64" w:rsidRPr="00D01639" w:rsidRDefault="00C94E64" w:rsidP="00C94E64">
      <w:pPr>
        <w:pStyle w:val="ListParagraph"/>
        <w:numPr>
          <w:ilvl w:val="0"/>
          <w:numId w:val="26"/>
        </w:numPr>
        <w:rPr>
          <w:szCs w:val="22"/>
          <w:lang w:val="en-GB"/>
        </w:rPr>
      </w:pPr>
      <w:r w:rsidRPr="00D01639">
        <w:rPr>
          <w:szCs w:val="22"/>
          <w:lang w:val="en-GB"/>
        </w:rPr>
        <w:t xml:space="preserve">Respiratory </w:t>
      </w:r>
    </w:p>
    <w:p w14:paraId="0F7FE250" w14:textId="77777777" w:rsidR="00C94E64" w:rsidRPr="00D01639" w:rsidRDefault="00C94E64" w:rsidP="00C94E64">
      <w:pPr>
        <w:pStyle w:val="ListParagraph"/>
        <w:numPr>
          <w:ilvl w:val="0"/>
          <w:numId w:val="26"/>
        </w:numPr>
        <w:rPr>
          <w:szCs w:val="22"/>
          <w:lang w:val="en-GB"/>
        </w:rPr>
      </w:pPr>
      <w:r w:rsidRPr="00D01639">
        <w:rPr>
          <w:szCs w:val="22"/>
          <w:lang w:val="en-GB"/>
        </w:rPr>
        <w:t>Abdominal</w:t>
      </w:r>
    </w:p>
    <w:p w14:paraId="3819E25E" w14:textId="77777777" w:rsidR="00C94E64" w:rsidRPr="00D01639" w:rsidRDefault="00C94E64" w:rsidP="00C94E64">
      <w:pPr>
        <w:pStyle w:val="ListParagraph"/>
        <w:numPr>
          <w:ilvl w:val="0"/>
          <w:numId w:val="26"/>
        </w:numPr>
        <w:rPr>
          <w:szCs w:val="22"/>
          <w:lang w:val="en-GB"/>
        </w:rPr>
      </w:pPr>
      <w:r w:rsidRPr="00D01639">
        <w:rPr>
          <w:szCs w:val="22"/>
          <w:lang w:val="en-GB"/>
        </w:rPr>
        <w:t xml:space="preserve">Ear, </w:t>
      </w:r>
      <w:proofErr w:type="gramStart"/>
      <w:r w:rsidRPr="00D01639">
        <w:rPr>
          <w:szCs w:val="22"/>
          <w:lang w:val="en-GB"/>
        </w:rPr>
        <w:t>nose</w:t>
      </w:r>
      <w:proofErr w:type="gramEnd"/>
      <w:r w:rsidRPr="00D01639">
        <w:rPr>
          <w:szCs w:val="22"/>
          <w:lang w:val="en-GB"/>
        </w:rPr>
        <w:t xml:space="preserve"> and throat</w:t>
      </w:r>
    </w:p>
    <w:p w14:paraId="540DF8AE" w14:textId="77777777" w:rsidR="00C94E64" w:rsidRPr="00D01639" w:rsidRDefault="00C94E64" w:rsidP="00C94E64">
      <w:pPr>
        <w:pStyle w:val="ListParagraph"/>
        <w:numPr>
          <w:ilvl w:val="0"/>
          <w:numId w:val="26"/>
        </w:numPr>
        <w:rPr>
          <w:szCs w:val="22"/>
          <w:lang w:val="en-GB"/>
        </w:rPr>
      </w:pPr>
      <w:r w:rsidRPr="00D01639">
        <w:rPr>
          <w:szCs w:val="22"/>
          <w:lang w:val="en-GB"/>
        </w:rPr>
        <w:t xml:space="preserve">General; look for any joint swellings, skin </w:t>
      </w:r>
      <w:proofErr w:type="gramStart"/>
      <w:r w:rsidRPr="00D01639">
        <w:rPr>
          <w:szCs w:val="22"/>
          <w:lang w:val="en-GB"/>
        </w:rPr>
        <w:t>rashes ,</w:t>
      </w:r>
      <w:proofErr w:type="gramEnd"/>
      <w:r w:rsidRPr="00D01639">
        <w:rPr>
          <w:szCs w:val="22"/>
          <w:lang w:val="en-GB"/>
        </w:rPr>
        <w:t xml:space="preserve"> abscess </w:t>
      </w:r>
    </w:p>
    <w:p w14:paraId="3709FE75" w14:textId="77777777" w:rsidR="00C94E64" w:rsidRPr="00D01639" w:rsidRDefault="00C94E64" w:rsidP="00C94E64">
      <w:pPr>
        <w:pStyle w:val="ListParagraph"/>
        <w:numPr>
          <w:ilvl w:val="0"/>
          <w:numId w:val="26"/>
        </w:numPr>
        <w:rPr>
          <w:szCs w:val="22"/>
          <w:lang w:val="en-GB"/>
        </w:rPr>
      </w:pPr>
      <w:r w:rsidRPr="00D01639">
        <w:rPr>
          <w:szCs w:val="22"/>
          <w:lang w:val="en-GB"/>
        </w:rPr>
        <w:t xml:space="preserve">Neurological; any signs of meningism </w:t>
      </w:r>
    </w:p>
    <w:p w14:paraId="1573A0C7" w14:textId="77777777" w:rsidR="00C94E64" w:rsidRPr="00D01639" w:rsidRDefault="00C94E64" w:rsidP="00C94E64">
      <w:pPr>
        <w:rPr>
          <w:szCs w:val="22"/>
          <w:lang w:val="en-GB"/>
        </w:rPr>
      </w:pPr>
      <w:r w:rsidRPr="00D01639">
        <w:rPr>
          <w:szCs w:val="22"/>
          <w:lang w:val="en-GB"/>
        </w:rPr>
        <w:t xml:space="preserve">It is very important to look for signs of immunosuppression. </w:t>
      </w:r>
    </w:p>
    <w:p w14:paraId="0FEBB6B5" w14:textId="77777777" w:rsidR="00C94E64" w:rsidRPr="00D01639" w:rsidRDefault="00C94E64" w:rsidP="00C94E64">
      <w:pPr>
        <w:pStyle w:val="Heading3"/>
        <w:rPr>
          <w:rFonts w:cs="Arial"/>
          <w:szCs w:val="22"/>
          <w:lang w:val="en-GB"/>
        </w:rPr>
      </w:pPr>
      <w:r w:rsidRPr="00D01639">
        <w:rPr>
          <w:rFonts w:cs="Arial"/>
          <w:szCs w:val="22"/>
          <w:lang w:val="en-GB"/>
        </w:rPr>
        <w:t>Differential diagnosis</w:t>
      </w:r>
    </w:p>
    <w:p w14:paraId="60CCEB02" w14:textId="77777777" w:rsidR="00C94E64" w:rsidRPr="00D01639" w:rsidRDefault="00C94E64" w:rsidP="00C94E64">
      <w:pPr>
        <w:rPr>
          <w:szCs w:val="22"/>
          <w:lang w:val="en-GB"/>
        </w:rPr>
      </w:pPr>
      <w:r w:rsidRPr="00D01639">
        <w:rPr>
          <w:szCs w:val="22"/>
          <w:lang w:val="en-GB"/>
        </w:rPr>
        <w:t>The list is endless! Heart failure, asthma, severe COPD, hypoglycaemia, tuberculosis can all present like sepsis.</w:t>
      </w:r>
    </w:p>
    <w:p w14:paraId="3060A0D7" w14:textId="77777777" w:rsidR="00C94E64" w:rsidRPr="00D01639" w:rsidRDefault="00C94E64" w:rsidP="00C94E64">
      <w:pPr>
        <w:pStyle w:val="Heading2"/>
        <w:rPr>
          <w:rFonts w:cs="Arial"/>
          <w:szCs w:val="22"/>
          <w:lang w:val="en-GB"/>
        </w:rPr>
      </w:pPr>
      <w:r w:rsidRPr="00D01639">
        <w:rPr>
          <w:rFonts w:cs="Arial"/>
          <w:szCs w:val="22"/>
          <w:lang w:val="en-GB"/>
        </w:rPr>
        <w:t>Management</w:t>
      </w:r>
    </w:p>
    <w:p w14:paraId="06072E47" w14:textId="77777777" w:rsidR="00C94E64" w:rsidRPr="00D01639" w:rsidRDefault="00C94E64" w:rsidP="00C94E64">
      <w:pPr>
        <w:rPr>
          <w:lang w:val="en-GB"/>
        </w:rPr>
      </w:pPr>
      <w:r w:rsidRPr="00D01639">
        <w:rPr>
          <w:lang w:val="en-GB"/>
        </w:rPr>
        <w:t xml:space="preserve">If you think of sepsis, admit to the </w:t>
      </w:r>
      <w:proofErr w:type="gramStart"/>
      <w:r w:rsidRPr="00D01639">
        <w:rPr>
          <w:lang w:val="en-GB"/>
        </w:rPr>
        <w:t>ward</w:t>
      </w:r>
      <w:proofErr w:type="gramEnd"/>
      <w:r w:rsidRPr="00D01639">
        <w:rPr>
          <w:lang w:val="en-GB"/>
        </w:rPr>
        <w:t xml:space="preserve"> and use the sepsis cards to prioritise care.</w:t>
      </w:r>
    </w:p>
    <w:p w14:paraId="5C8708EC" w14:textId="77777777" w:rsidR="00C94E64" w:rsidRPr="00D01639" w:rsidRDefault="00C94E64" w:rsidP="00C94E64">
      <w:pPr>
        <w:rPr>
          <w:lang w:val="en-GB"/>
        </w:rPr>
      </w:pPr>
      <w:r w:rsidRPr="00D01639">
        <w:rPr>
          <w:lang w:val="en-GB"/>
        </w:rPr>
        <w:t>In OPD, you can calculate a qSOFA score. Score 1 for each of:</w:t>
      </w:r>
    </w:p>
    <w:p w14:paraId="436E293D" w14:textId="77777777" w:rsidR="00C94E64" w:rsidRPr="00D01639" w:rsidRDefault="00C94E64" w:rsidP="00C94E64">
      <w:pPr>
        <w:pStyle w:val="ListParagraph"/>
        <w:numPr>
          <w:ilvl w:val="0"/>
          <w:numId w:val="27"/>
        </w:numPr>
        <w:rPr>
          <w:szCs w:val="22"/>
          <w:lang w:val="en-GB"/>
        </w:rPr>
      </w:pPr>
      <w:r w:rsidRPr="00D01639">
        <w:rPr>
          <w:szCs w:val="22"/>
          <w:lang w:val="en-GB"/>
        </w:rPr>
        <w:t xml:space="preserve">Systolic blood pressure (&lt;100mmHg) </w:t>
      </w:r>
    </w:p>
    <w:p w14:paraId="7430EB63" w14:textId="77777777" w:rsidR="00C94E64" w:rsidRPr="00D01639" w:rsidRDefault="00C94E64" w:rsidP="00C94E64">
      <w:pPr>
        <w:pStyle w:val="ListParagraph"/>
        <w:numPr>
          <w:ilvl w:val="0"/>
          <w:numId w:val="27"/>
        </w:numPr>
        <w:rPr>
          <w:szCs w:val="22"/>
          <w:lang w:val="en-GB"/>
        </w:rPr>
      </w:pPr>
      <w:r w:rsidRPr="00D01639">
        <w:rPr>
          <w:szCs w:val="22"/>
          <w:lang w:val="en-GB"/>
        </w:rPr>
        <w:t>Tachypnoea (RR &gt;22 per minute)</w:t>
      </w:r>
    </w:p>
    <w:p w14:paraId="13C33A31" w14:textId="77777777" w:rsidR="00C94E64" w:rsidRPr="00D01639" w:rsidRDefault="00C94E64" w:rsidP="00C94E64">
      <w:pPr>
        <w:pStyle w:val="ListParagraph"/>
        <w:numPr>
          <w:ilvl w:val="0"/>
          <w:numId w:val="27"/>
        </w:numPr>
        <w:rPr>
          <w:szCs w:val="22"/>
          <w:lang w:val="en-GB"/>
        </w:rPr>
      </w:pPr>
      <w:r w:rsidRPr="00D01639">
        <w:rPr>
          <w:szCs w:val="22"/>
          <w:lang w:val="en-GB"/>
        </w:rPr>
        <w:t>Altered mental state</w:t>
      </w:r>
    </w:p>
    <w:p w14:paraId="439C1BC7" w14:textId="77777777" w:rsidR="00C94E64" w:rsidRPr="00D01639" w:rsidRDefault="00C94E64" w:rsidP="00C94E64">
      <w:pPr>
        <w:rPr>
          <w:lang w:val="en-GB"/>
        </w:rPr>
      </w:pPr>
      <w:r w:rsidRPr="00D01639">
        <w:rPr>
          <w:lang w:val="en-GB"/>
        </w:rPr>
        <w:t>A score of 2 or more indicates that a doctor should consider sepsis and intervene rapidly.</w:t>
      </w:r>
    </w:p>
    <w:p w14:paraId="7A98130D" w14:textId="77777777" w:rsidR="00FE693A" w:rsidRDefault="00FE693A">
      <w:pPr>
        <w:spacing w:after="0"/>
        <w:outlineLvl w:val="9"/>
        <w:rPr>
          <w:rFonts w:eastAsia="Times New Roman" w:cs="Times New Roman"/>
          <w:b/>
          <w:bCs/>
          <w:szCs w:val="26"/>
          <w:u w:val="single"/>
          <w:lang w:val="en-GB"/>
        </w:rPr>
      </w:pPr>
      <w:r>
        <w:rPr>
          <w:lang w:val="en-GB"/>
        </w:rPr>
        <w:br w:type="page"/>
      </w:r>
    </w:p>
    <w:p w14:paraId="4A7DAECE" w14:textId="1930A78A" w:rsidR="00C94E64" w:rsidRPr="00D01639" w:rsidRDefault="00C94E64" w:rsidP="00C94E64">
      <w:pPr>
        <w:pStyle w:val="Heading3"/>
        <w:rPr>
          <w:lang w:val="en-GB"/>
        </w:rPr>
      </w:pPr>
      <w:r w:rsidRPr="00D01639">
        <w:rPr>
          <w:lang w:val="en-GB"/>
        </w:rPr>
        <w:lastRenderedPageBreak/>
        <w:t>Investigations</w:t>
      </w:r>
    </w:p>
    <w:p w14:paraId="52A801EE" w14:textId="77777777" w:rsidR="00C94E64" w:rsidRPr="00D01639" w:rsidRDefault="00C94E64" w:rsidP="00C94E64">
      <w:pPr>
        <w:pStyle w:val="ListParagraph"/>
        <w:numPr>
          <w:ilvl w:val="0"/>
          <w:numId w:val="28"/>
        </w:numPr>
        <w:rPr>
          <w:szCs w:val="22"/>
          <w:lang w:val="en-GB"/>
        </w:rPr>
      </w:pPr>
      <w:r w:rsidRPr="00D01639">
        <w:rPr>
          <w:szCs w:val="22"/>
          <w:lang w:val="en-GB"/>
        </w:rPr>
        <w:t>FBC, U+E, LFTs, glucose</w:t>
      </w:r>
    </w:p>
    <w:p w14:paraId="125EF349" w14:textId="77777777" w:rsidR="00C94E64" w:rsidRPr="00D01639" w:rsidRDefault="00C94E64" w:rsidP="00C94E64">
      <w:pPr>
        <w:pStyle w:val="ListParagraph"/>
        <w:numPr>
          <w:ilvl w:val="0"/>
          <w:numId w:val="28"/>
        </w:numPr>
        <w:rPr>
          <w:szCs w:val="22"/>
          <w:lang w:val="en-GB"/>
        </w:rPr>
      </w:pPr>
      <w:r w:rsidRPr="00D01639">
        <w:rPr>
          <w:szCs w:val="22"/>
          <w:lang w:val="en-GB"/>
        </w:rPr>
        <w:t>Take 2 x 10mls for blood culture</w:t>
      </w:r>
    </w:p>
    <w:p w14:paraId="5FA7F99B" w14:textId="77777777" w:rsidR="00C94E64" w:rsidRPr="00D01639" w:rsidRDefault="00C94E64" w:rsidP="00C94E64">
      <w:pPr>
        <w:pStyle w:val="ListParagraph"/>
        <w:numPr>
          <w:ilvl w:val="0"/>
          <w:numId w:val="28"/>
        </w:numPr>
        <w:rPr>
          <w:szCs w:val="22"/>
          <w:lang w:val="en-GB"/>
        </w:rPr>
      </w:pPr>
      <w:r w:rsidRPr="00D01639">
        <w:rPr>
          <w:szCs w:val="22"/>
          <w:lang w:val="en-GB"/>
        </w:rPr>
        <w:t xml:space="preserve">Chest x-ray </w:t>
      </w:r>
    </w:p>
    <w:p w14:paraId="4A1F9117" w14:textId="77777777" w:rsidR="00C94E64" w:rsidRPr="00D01639" w:rsidRDefault="00C94E64" w:rsidP="00C94E64">
      <w:pPr>
        <w:pStyle w:val="ListParagraph"/>
        <w:numPr>
          <w:ilvl w:val="0"/>
          <w:numId w:val="28"/>
        </w:numPr>
        <w:rPr>
          <w:szCs w:val="22"/>
          <w:lang w:val="en-GB"/>
        </w:rPr>
      </w:pPr>
      <w:r w:rsidRPr="00D01639">
        <w:rPr>
          <w:szCs w:val="22"/>
          <w:lang w:val="en-GB"/>
        </w:rPr>
        <w:t>Urine dip</w:t>
      </w:r>
    </w:p>
    <w:p w14:paraId="380DFAC5" w14:textId="77777777" w:rsidR="00C94E64" w:rsidRPr="00D01639" w:rsidRDefault="00C94E64" w:rsidP="00C94E64">
      <w:pPr>
        <w:pStyle w:val="ListParagraph"/>
        <w:numPr>
          <w:ilvl w:val="0"/>
          <w:numId w:val="28"/>
        </w:numPr>
        <w:rPr>
          <w:szCs w:val="22"/>
          <w:lang w:val="en-GB"/>
        </w:rPr>
      </w:pPr>
      <w:r w:rsidRPr="00D01639">
        <w:rPr>
          <w:szCs w:val="22"/>
          <w:lang w:val="en-GB"/>
        </w:rPr>
        <w:t xml:space="preserve">HIV test if status unknown </w:t>
      </w:r>
    </w:p>
    <w:p w14:paraId="572C633A" w14:textId="77777777" w:rsidR="0088223E" w:rsidRPr="00D01639" w:rsidRDefault="00C94E64" w:rsidP="00423A1A">
      <w:pPr>
        <w:pStyle w:val="ListParagraph"/>
        <w:numPr>
          <w:ilvl w:val="0"/>
          <w:numId w:val="28"/>
        </w:numPr>
        <w:spacing w:after="0"/>
        <w:outlineLvl w:val="9"/>
        <w:rPr>
          <w:rFonts w:eastAsia="Times New Roman" w:cs="Times New Roman"/>
          <w:b/>
          <w:bCs/>
          <w:szCs w:val="26"/>
          <w:u w:val="single"/>
          <w:lang w:val="en-GB"/>
        </w:rPr>
      </w:pPr>
      <w:r w:rsidRPr="00D01639">
        <w:rPr>
          <w:szCs w:val="22"/>
          <w:lang w:val="en-GB"/>
        </w:rPr>
        <w:t>Lumbar puncture if meningitis suspected and no focal neurological deficit</w:t>
      </w:r>
    </w:p>
    <w:p w14:paraId="68B3CA9D" w14:textId="33F6F281" w:rsidR="00A818A4" w:rsidRPr="00D01639" w:rsidRDefault="0088223E" w:rsidP="007D1EE3">
      <w:pPr>
        <w:numPr>
          <w:ilvl w:val="0"/>
          <w:numId w:val="28"/>
        </w:numPr>
        <w:spacing w:after="11" w:line="249" w:lineRule="auto"/>
        <w:outlineLvl w:val="9"/>
        <w:rPr>
          <w:lang w:val="en-GB"/>
        </w:rPr>
      </w:pPr>
      <w:r w:rsidRPr="00D01639">
        <w:rPr>
          <w:lang w:val="en-GB"/>
        </w:rPr>
        <w:t>Abdomino-pelvic USS is an intra-abdominal abscess is suspected.</w:t>
      </w:r>
    </w:p>
    <w:p w14:paraId="1BDBCED7" w14:textId="71ABD914" w:rsidR="00C94E64" w:rsidRPr="00D01639" w:rsidRDefault="00C94E64" w:rsidP="00C94E64">
      <w:pPr>
        <w:pStyle w:val="Heading3"/>
        <w:rPr>
          <w:lang w:val="en-GB"/>
        </w:rPr>
      </w:pPr>
      <w:r w:rsidRPr="00D01639">
        <w:rPr>
          <w:lang w:val="en-GB"/>
        </w:rPr>
        <w:t>Management</w:t>
      </w:r>
    </w:p>
    <w:p w14:paraId="5A9ABDD5" w14:textId="77777777" w:rsidR="00C94E64" w:rsidRPr="00D01639" w:rsidRDefault="00C94E64" w:rsidP="00C94E64">
      <w:pPr>
        <w:rPr>
          <w:szCs w:val="22"/>
          <w:lang w:val="en-GB"/>
        </w:rPr>
      </w:pPr>
      <w:r w:rsidRPr="00D01639">
        <w:rPr>
          <w:i/>
          <w:szCs w:val="22"/>
          <w:lang w:val="en-GB"/>
        </w:rPr>
        <w:t>The Golden Hour</w:t>
      </w:r>
      <w:r w:rsidRPr="00D01639">
        <w:rPr>
          <w:szCs w:val="22"/>
          <w:lang w:val="en-GB"/>
        </w:rPr>
        <w:t>: all patients who are septic should have IV fluids, oxygen (if required) and IV antibiotics within the first hour of admission.</w:t>
      </w:r>
    </w:p>
    <w:p w14:paraId="7D718943" w14:textId="77777777" w:rsidR="00C94E64" w:rsidRPr="00D01639" w:rsidRDefault="00C94E64" w:rsidP="00C94E64">
      <w:pPr>
        <w:pStyle w:val="ListParagraph"/>
        <w:numPr>
          <w:ilvl w:val="0"/>
          <w:numId w:val="29"/>
        </w:numPr>
        <w:rPr>
          <w:szCs w:val="22"/>
          <w:lang w:val="en-GB"/>
        </w:rPr>
      </w:pPr>
      <w:r w:rsidRPr="00D01639">
        <w:rPr>
          <w:szCs w:val="22"/>
          <w:lang w:val="en-GB"/>
        </w:rPr>
        <w:t>IV access</w:t>
      </w:r>
    </w:p>
    <w:p w14:paraId="07ABDD55" w14:textId="77777777" w:rsidR="00C94E64" w:rsidRPr="00D01639" w:rsidRDefault="00C94E64" w:rsidP="00C94E64">
      <w:pPr>
        <w:pStyle w:val="ListParagraph"/>
        <w:numPr>
          <w:ilvl w:val="0"/>
          <w:numId w:val="29"/>
        </w:numPr>
        <w:rPr>
          <w:szCs w:val="22"/>
          <w:lang w:val="en-GB"/>
        </w:rPr>
      </w:pPr>
      <w:r w:rsidRPr="00D01639">
        <w:rPr>
          <w:szCs w:val="22"/>
          <w:lang w:val="en-GB"/>
        </w:rPr>
        <w:t xml:space="preserve">Bloods (as above) </w:t>
      </w:r>
    </w:p>
    <w:p w14:paraId="64F5703B" w14:textId="3158E6A8" w:rsidR="00FC7BC9" w:rsidRPr="00CB355C" w:rsidRDefault="00C94E64" w:rsidP="00CB355C">
      <w:pPr>
        <w:pStyle w:val="ListParagraph"/>
        <w:numPr>
          <w:ilvl w:val="0"/>
          <w:numId w:val="29"/>
        </w:numPr>
        <w:rPr>
          <w:lang w:val="en-GB"/>
        </w:rPr>
      </w:pPr>
      <w:r w:rsidRPr="00CB355C">
        <w:rPr>
          <w:szCs w:val="22"/>
          <w:lang w:val="en-GB"/>
        </w:rPr>
        <w:t xml:space="preserve">Assess fluid status – </w:t>
      </w:r>
      <w:r w:rsidR="00FC7BC9" w:rsidRPr="00CB355C">
        <w:rPr>
          <w:lang w:val="en-GB"/>
        </w:rPr>
        <w:t>if hypotensive, which may be severe in s</w:t>
      </w:r>
      <w:r w:rsidR="00E11431" w:rsidRPr="00CB355C">
        <w:rPr>
          <w:lang w:val="en-GB"/>
        </w:rPr>
        <w:t>e</w:t>
      </w:r>
      <w:r w:rsidR="00FC7BC9" w:rsidRPr="00CB355C">
        <w:rPr>
          <w:lang w:val="en-GB"/>
        </w:rPr>
        <w:t>psis</w:t>
      </w:r>
      <w:r w:rsidR="00E11431" w:rsidRPr="00CB355C">
        <w:rPr>
          <w:lang w:val="en-GB"/>
        </w:rPr>
        <w:t>, requires</w:t>
      </w:r>
      <w:r w:rsidR="00FC7BC9" w:rsidRPr="00CB355C">
        <w:rPr>
          <w:lang w:val="en-GB"/>
        </w:rPr>
        <w:t xml:space="preserve"> </w:t>
      </w:r>
      <w:r w:rsidR="00E11431" w:rsidRPr="00CB355C">
        <w:rPr>
          <w:lang w:val="en-GB"/>
        </w:rPr>
        <w:t>r</w:t>
      </w:r>
      <w:r w:rsidR="00FC7BC9" w:rsidRPr="00CB355C">
        <w:rPr>
          <w:lang w:val="en-GB"/>
        </w:rPr>
        <w:t>apid, large volume infusions of IVF (30 </w:t>
      </w:r>
      <w:r w:rsidR="00FC7BC9" w:rsidRPr="00CB355C">
        <w:rPr>
          <w:rStyle w:val="nowrap"/>
          <w:rFonts w:ascii="Helvetica" w:hAnsi="Helvetica" w:cs="Helvetica"/>
          <w:sz w:val="23"/>
          <w:szCs w:val="23"/>
          <w:lang w:val="en-GB"/>
        </w:rPr>
        <w:t>mL/kg)</w:t>
      </w:r>
      <w:r w:rsidR="00E11431" w:rsidRPr="00CB355C">
        <w:rPr>
          <w:lang w:val="en-GB"/>
        </w:rPr>
        <w:t xml:space="preserve"> </w:t>
      </w:r>
      <w:r w:rsidR="00FC7BC9" w:rsidRPr="00CB355C">
        <w:rPr>
          <w:lang w:val="en-GB"/>
        </w:rPr>
        <w:t xml:space="preserve">are indicated as initial therapy for severe sepsis or septic shock, unless there is convincing evidence of significant pulmonary </w:t>
      </w:r>
      <w:r w:rsidR="00E11431" w:rsidRPr="00CB355C">
        <w:rPr>
          <w:lang w:val="en-GB"/>
        </w:rPr>
        <w:t>o</w:t>
      </w:r>
      <w:r w:rsidR="00FC7BC9" w:rsidRPr="00CB355C">
        <w:rPr>
          <w:lang w:val="en-GB"/>
        </w:rPr>
        <w:t>edema.</w:t>
      </w:r>
    </w:p>
    <w:p w14:paraId="36DF64CC" w14:textId="534A1C46" w:rsidR="00FC7BC9" w:rsidRPr="00CB355C" w:rsidRDefault="00FC7BC9" w:rsidP="00CB355C">
      <w:pPr>
        <w:pStyle w:val="ListParagraph"/>
        <w:rPr>
          <w:lang w:val="en-GB"/>
        </w:rPr>
      </w:pPr>
      <w:r w:rsidRPr="00CB355C">
        <w:rPr>
          <w:lang w:val="en-GB"/>
        </w:rPr>
        <w:t xml:space="preserve">Fluid therapy should be administered in well-defined (eg, 500 mL), rapidly infused boluses. The clinical and hemodynamic response and the presence or absence of pulmonary </w:t>
      </w:r>
      <w:r w:rsidR="00D01639" w:rsidRPr="00CB355C">
        <w:rPr>
          <w:lang w:val="en-GB"/>
        </w:rPr>
        <w:t>o</w:t>
      </w:r>
      <w:r w:rsidRPr="00CB355C">
        <w:rPr>
          <w:lang w:val="en-GB"/>
        </w:rPr>
        <w:t xml:space="preserve">edema must be assessed before and after each bolus. Intravenous fluid challenges can be repeated until blood pressure and tissue perfusion are acceptable, pulmonary </w:t>
      </w:r>
      <w:r w:rsidR="00D01639" w:rsidRPr="00CB355C">
        <w:rPr>
          <w:lang w:val="en-GB"/>
        </w:rPr>
        <w:t>o</w:t>
      </w:r>
      <w:r w:rsidRPr="00CB355C">
        <w:rPr>
          <w:lang w:val="en-GB"/>
        </w:rPr>
        <w:t>edema ensues, or fluid fails to augment perfusion.</w:t>
      </w:r>
    </w:p>
    <w:p w14:paraId="06481BC4" w14:textId="332AA606" w:rsidR="00C94E64" w:rsidRPr="00D01639" w:rsidRDefault="00C94E64" w:rsidP="00E77FD3">
      <w:pPr>
        <w:pStyle w:val="ListParagraph"/>
        <w:numPr>
          <w:ilvl w:val="0"/>
          <w:numId w:val="29"/>
        </w:numPr>
        <w:rPr>
          <w:szCs w:val="22"/>
          <w:lang w:val="en-GB"/>
        </w:rPr>
      </w:pPr>
      <w:r w:rsidRPr="00D01639">
        <w:rPr>
          <w:szCs w:val="22"/>
          <w:lang w:val="en-GB"/>
        </w:rPr>
        <w:t>IV antibiotics – see below</w:t>
      </w:r>
    </w:p>
    <w:p w14:paraId="175DF084" w14:textId="77777777" w:rsidR="00C94E64" w:rsidRPr="00D01639" w:rsidRDefault="00C94E64" w:rsidP="00C94E64">
      <w:pPr>
        <w:pStyle w:val="ListParagraph"/>
        <w:numPr>
          <w:ilvl w:val="0"/>
          <w:numId w:val="29"/>
        </w:numPr>
        <w:rPr>
          <w:szCs w:val="22"/>
          <w:lang w:val="en-GB"/>
        </w:rPr>
      </w:pPr>
      <w:r w:rsidRPr="00D01639">
        <w:rPr>
          <w:szCs w:val="22"/>
          <w:lang w:val="en-GB"/>
        </w:rPr>
        <w:t xml:space="preserve">At least 1 hourly observations in first few hours of admission </w:t>
      </w:r>
    </w:p>
    <w:p w14:paraId="09E0C848" w14:textId="77777777" w:rsidR="00C94E64" w:rsidRPr="00D01639" w:rsidRDefault="00C94E64" w:rsidP="00C94E64">
      <w:pPr>
        <w:pStyle w:val="ListParagraph"/>
        <w:numPr>
          <w:ilvl w:val="0"/>
          <w:numId w:val="29"/>
        </w:numPr>
        <w:rPr>
          <w:szCs w:val="22"/>
          <w:lang w:val="en-GB"/>
        </w:rPr>
      </w:pPr>
      <w:r w:rsidRPr="00D01639">
        <w:rPr>
          <w:szCs w:val="22"/>
          <w:lang w:val="en-GB"/>
        </w:rPr>
        <w:t xml:space="preserve">Urinary catheter to monitor fluid status </w:t>
      </w:r>
    </w:p>
    <w:p w14:paraId="589131F4" w14:textId="77777777" w:rsidR="00FE693A" w:rsidRDefault="00FE693A">
      <w:pPr>
        <w:spacing w:after="0"/>
        <w:outlineLvl w:val="9"/>
        <w:rPr>
          <w:lang w:val="en-GB"/>
        </w:rPr>
      </w:pPr>
      <w:r>
        <w:rPr>
          <w:lang w:val="en-GB"/>
        </w:rPr>
        <w:br w:type="page"/>
      </w:r>
    </w:p>
    <w:p w14:paraId="0F701AD8" w14:textId="371FC339" w:rsidR="00C94E64" w:rsidRPr="00D01639" w:rsidRDefault="00C94E64" w:rsidP="00C94E64">
      <w:pPr>
        <w:rPr>
          <w:lang w:val="en-GB"/>
        </w:rPr>
      </w:pPr>
      <w:r w:rsidRPr="00D01639">
        <w:rPr>
          <w:lang w:val="en-GB"/>
        </w:rPr>
        <w:lastRenderedPageBreak/>
        <w:t xml:space="preserve">The antibiotic given depends on the presumed source of sepsis. </w:t>
      </w:r>
    </w:p>
    <w:tbl>
      <w:tblPr>
        <w:tblStyle w:val="TableGrid"/>
        <w:tblW w:w="0" w:type="auto"/>
        <w:tblInd w:w="-147" w:type="dxa"/>
        <w:tblLook w:val="04A0" w:firstRow="1" w:lastRow="0" w:firstColumn="1" w:lastColumn="0" w:noHBand="0" w:noVBand="1"/>
      </w:tblPr>
      <w:tblGrid>
        <w:gridCol w:w="1985"/>
        <w:gridCol w:w="3402"/>
        <w:gridCol w:w="3390"/>
      </w:tblGrid>
      <w:tr w:rsidR="00C94E64" w:rsidRPr="00D01639" w14:paraId="54CE10D2" w14:textId="77777777" w:rsidTr="00BF5278">
        <w:tc>
          <w:tcPr>
            <w:tcW w:w="1985" w:type="dxa"/>
          </w:tcPr>
          <w:p w14:paraId="5AC29C25" w14:textId="77777777" w:rsidR="00C94E64" w:rsidRPr="00D01639" w:rsidRDefault="00C94E64" w:rsidP="00BF5278">
            <w:pPr>
              <w:rPr>
                <w:b/>
                <w:szCs w:val="22"/>
                <w:lang w:val="en-GB"/>
              </w:rPr>
            </w:pPr>
          </w:p>
        </w:tc>
        <w:tc>
          <w:tcPr>
            <w:tcW w:w="3402" w:type="dxa"/>
          </w:tcPr>
          <w:p w14:paraId="76ED22D0" w14:textId="77777777" w:rsidR="00C94E64" w:rsidRPr="00D01639" w:rsidRDefault="00C94E64" w:rsidP="00BF5278">
            <w:pPr>
              <w:rPr>
                <w:b/>
                <w:szCs w:val="22"/>
                <w:lang w:val="en-GB"/>
              </w:rPr>
            </w:pPr>
            <w:r w:rsidRPr="00D01639">
              <w:rPr>
                <w:b/>
                <w:szCs w:val="22"/>
                <w:lang w:val="en-GB"/>
              </w:rPr>
              <w:t>IV therapy</w:t>
            </w:r>
          </w:p>
        </w:tc>
        <w:tc>
          <w:tcPr>
            <w:tcW w:w="3390" w:type="dxa"/>
          </w:tcPr>
          <w:p w14:paraId="025D6A92" w14:textId="77777777" w:rsidR="00C94E64" w:rsidRPr="00D01639" w:rsidRDefault="00C94E64" w:rsidP="00BF5278">
            <w:pPr>
              <w:rPr>
                <w:b/>
                <w:szCs w:val="22"/>
                <w:lang w:val="en-GB"/>
              </w:rPr>
            </w:pPr>
            <w:r w:rsidRPr="00D01639">
              <w:rPr>
                <w:b/>
                <w:szCs w:val="22"/>
                <w:lang w:val="en-GB"/>
              </w:rPr>
              <w:t>Oral therapy for step down</w:t>
            </w:r>
          </w:p>
        </w:tc>
      </w:tr>
      <w:tr w:rsidR="00C94E64" w:rsidRPr="00D01639" w14:paraId="00D4E73E" w14:textId="77777777" w:rsidTr="00BF5278">
        <w:tc>
          <w:tcPr>
            <w:tcW w:w="1985" w:type="dxa"/>
          </w:tcPr>
          <w:p w14:paraId="00682176" w14:textId="77777777" w:rsidR="00C94E64" w:rsidRPr="00D01639" w:rsidRDefault="00C94E64" w:rsidP="00BF5278">
            <w:pPr>
              <w:rPr>
                <w:b/>
                <w:szCs w:val="22"/>
                <w:lang w:val="en-GB"/>
              </w:rPr>
            </w:pPr>
            <w:r w:rsidRPr="00D01639">
              <w:rPr>
                <w:b/>
                <w:szCs w:val="22"/>
                <w:lang w:val="en-GB"/>
              </w:rPr>
              <w:t>Source unknown</w:t>
            </w:r>
          </w:p>
        </w:tc>
        <w:tc>
          <w:tcPr>
            <w:tcW w:w="3402" w:type="dxa"/>
          </w:tcPr>
          <w:p w14:paraId="35D855D4" w14:textId="77777777" w:rsidR="00C94E64" w:rsidRPr="00D01639" w:rsidRDefault="00C94E64" w:rsidP="00BF5278">
            <w:pPr>
              <w:rPr>
                <w:szCs w:val="22"/>
                <w:lang w:val="en-GB"/>
              </w:rPr>
            </w:pPr>
            <w:r w:rsidRPr="00D01639">
              <w:rPr>
                <w:szCs w:val="22"/>
                <w:lang w:val="en-GB"/>
              </w:rPr>
              <w:t>Ampicillin 1 g 8 hourly + Gentamicin 5-7.5 mg/kg once daily</w:t>
            </w:r>
          </w:p>
        </w:tc>
        <w:tc>
          <w:tcPr>
            <w:tcW w:w="3390" w:type="dxa"/>
          </w:tcPr>
          <w:p w14:paraId="47617511" w14:textId="77777777" w:rsidR="00C94E64" w:rsidRPr="00D01639" w:rsidRDefault="00C94E64" w:rsidP="00BF5278">
            <w:pPr>
              <w:rPr>
                <w:szCs w:val="22"/>
                <w:lang w:val="en-GB"/>
              </w:rPr>
            </w:pPr>
          </w:p>
        </w:tc>
      </w:tr>
      <w:tr w:rsidR="00C94E64" w:rsidRPr="00D01639" w14:paraId="6C738092" w14:textId="77777777" w:rsidTr="00BF5278">
        <w:tc>
          <w:tcPr>
            <w:tcW w:w="1985" w:type="dxa"/>
          </w:tcPr>
          <w:p w14:paraId="02B7F5BE" w14:textId="77777777" w:rsidR="00C94E64" w:rsidRPr="00D01639" w:rsidRDefault="00C94E64" w:rsidP="00BF5278">
            <w:pPr>
              <w:rPr>
                <w:b/>
                <w:szCs w:val="22"/>
                <w:lang w:val="en-GB"/>
              </w:rPr>
            </w:pPr>
            <w:r w:rsidRPr="00D01639">
              <w:rPr>
                <w:b/>
                <w:szCs w:val="22"/>
                <w:lang w:val="en-GB"/>
              </w:rPr>
              <w:t>Respiratory</w:t>
            </w:r>
          </w:p>
        </w:tc>
        <w:tc>
          <w:tcPr>
            <w:tcW w:w="3402" w:type="dxa"/>
          </w:tcPr>
          <w:p w14:paraId="665B20B0" w14:textId="7D137902" w:rsidR="00C94E64" w:rsidRPr="00D01639" w:rsidRDefault="00C94E64" w:rsidP="00BF5278">
            <w:pPr>
              <w:rPr>
                <w:szCs w:val="22"/>
                <w:lang w:val="en-GB"/>
              </w:rPr>
            </w:pPr>
            <w:r w:rsidRPr="00D01639">
              <w:rPr>
                <w:szCs w:val="22"/>
                <w:lang w:val="en-GB"/>
              </w:rPr>
              <w:t xml:space="preserve">Benzylpenicillin 1.2 g 6 hourly </w:t>
            </w:r>
            <w:r w:rsidR="00883DF9">
              <w:t xml:space="preserve">increased if </w:t>
            </w:r>
            <w:proofErr w:type="gramStart"/>
            <w:r w:rsidR="00883DF9">
              <w:t>necessary</w:t>
            </w:r>
            <w:proofErr w:type="gramEnd"/>
            <w:r w:rsidR="00883DF9">
              <w:t xml:space="preserve"> to 2.4</w:t>
            </w:r>
            <w:r w:rsidR="00ED16C0">
              <w:t xml:space="preserve"> </w:t>
            </w:r>
            <w:r w:rsidR="00883DF9">
              <w:t xml:space="preserve">g in more serious infections + </w:t>
            </w:r>
            <w:r w:rsidRPr="00D01639">
              <w:rPr>
                <w:szCs w:val="22"/>
                <w:lang w:val="en-GB"/>
              </w:rPr>
              <w:t>Chloramphenicol 500 mg 6 hourly</w:t>
            </w:r>
          </w:p>
          <w:p w14:paraId="5101DAC9" w14:textId="5C4A980D" w:rsidR="00C94E64" w:rsidRPr="00D01639" w:rsidRDefault="00C94E64" w:rsidP="00BF5278">
            <w:pPr>
              <w:rPr>
                <w:szCs w:val="22"/>
                <w:lang w:val="en-GB"/>
              </w:rPr>
            </w:pPr>
            <w:r w:rsidRPr="00D01639">
              <w:rPr>
                <w:szCs w:val="22"/>
                <w:lang w:val="en-GB"/>
              </w:rPr>
              <w:t xml:space="preserve">If atypical suspected, add azithromycin 500mg OD </w:t>
            </w:r>
            <w:r w:rsidR="001A4A91">
              <w:t xml:space="preserve">for 3 days  </w:t>
            </w:r>
          </w:p>
        </w:tc>
        <w:tc>
          <w:tcPr>
            <w:tcW w:w="3390" w:type="dxa"/>
          </w:tcPr>
          <w:p w14:paraId="4F333041" w14:textId="77777777" w:rsidR="00C94E64" w:rsidRPr="00D01639" w:rsidRDefault="00C94E64" w:rsidP="00BF5278">
            <w:pPr>
              <w:rPr>
                <w:szCs w:val="22"/>
                <w:lang w:val="en-GB"/>
              </w:rPr>
            </w:pPr>
            <w:r w:rsidRPr="00D01639">
              <w:rPr>
                <w:szCs w:val="22"/>
                <w:lang w:val="en-GB"/>
              </w:rPr>
              <w:t xml:space="preserve">Amoxicillin 500 mg 8 hourly </w:t>
            </w:r>
          </w:p>
          <w:p w14:paraId="79CF0247" w14:textId="77777777" w:rsidR="00C94E64" w:rsidRPr="00D01639" w:rsidRDefault="00C94E64" w:rsidP="00BF5278">
            <w:pPr>
              <w:rPr>
                <w:szCs w:val="22"/>
                <w:lang w:val="en-GB"/>
              </w:rPr>
            </w:pPr>
            <w:r w:rsidRPr="00D01639">
              <w:rPr>
                <w:szCs w:val="22"/>
                <w:lang w:val="en-GB"/>
              </w:rPr>
              <w:t>OR</w:t>
            </w:r>
          </w:p>
          <w:p w14:paraId="159767BD" w14:textId="77777777" w:rsidR="00C94E64" w:rsidRPr="00D01639" w:rsidRDefault="00C94E64" w:rsidP="00BF5278">
            <w:pPr>
              <w:rPr>
                <w:szCs w:val="22"/>
                <w:lang w:val="en-GB"/>
              </w:rPr>
            </w:pPr>
            <w:r w:rsidRPr="00D01639">
              <w:rPr>
                <w:szCs w:val="22"/>
                <w:lang w:val="en-GB"/>
              </w:rPr>
              <w:t>Doxycycline 200 mg OD</w:t>
            </w:r>
          </w:p>
        </w:tc>
      </w:tr>
      <w:tr w:rsidR="00C94E64" w:rsidRPr="00D01639" w14:paraId="70660F48" w14:textId="77777777" w:rsidTr="00BF5278">
        <w:tc>
          <w:tcPr>
            <w:tcW w:w="1985" w:type="dxa"/>
          </w:tcPr>
          <w:p w14:paraId="261842BF" w14:textId="77777777" w:rsidR="00C94E64" w:rsidRPr="00D01639" w:rsidRDefault="00C94E64" w:rsidP="00BF5278">
            <w:pPr>
              <w:rPr>
                <w:b/>
                <w:szCs w:val="22"/>
                <w:lang w:val="en-GB"/>
              </w:rPr>
            </w:pPr>
            <w:r w:rsidRPr="00D01639">
              <w:rPr>
                <w:b/>
                <w:szCs w:val="22"/>
                <w:lang w:val="en-GB"/>
              </w:rPr>
              <w:t xml:space="preserve">Urinary </w:t>
            </w:r>
          </w:p>
        </w:tc>
        <w:tc>
          <w:tcPr>
            <w:tcW w:w="3402" w:type="dxa"/>
          </w:tcPr>
          <w:p w14:paraId="0BC56DD6" w14:textId="77777777" w:rsidR="00C94E64" w:rsidRPr="00D01639" w:rsidRDefault="00C94E64" w:rsidP="00BF5278">
            <w:pPr>
              <w:rPr>
                <w:szCs w:val="22"/>
                <w:lang w:val="en-GB"/>
              </w:rPr>
            </w:pPr>
            <w:r w:rsidRPr="00D01639">
              <w:rPr>
                <w:szCs w:val="22"/>
                <w:lang w:val="en-GB"/>
              </w:rPr>
              <w:t xml:space="preserve">Ampicillin 1 g 8 hourly + Gentamicin 5-7.5 mg/kg once daily </w:t>
            </w:r>
          </w:p>
        </w:tc>
        <w:tc>
          <w:tcPr>
            <w:tcW w:w="3390" w:type="dxa"/>
          </w:tcPr>
          <w:p w14:paraId="3013530E" w14:textId="77777777" w:rsidR="00C94E64" w:rsidRPr="00D01639" w:rsidRDefault="00C94E64" w:rsidP="00BF5278">
            <w:pPr>
              <w:rPr>
                <w:szCs w:val="22"/>
                <w:lang w:val="en-GB"/>
              </w:rPr>
            </w:pPr>
            <w:r w:rsidRPr="00D01639">
              <w:rPr>
                <w:szCs w:val="22"/>
                <w:lang w:val="en-GB"/>
              </w:rPr>
              <w:t xml:space="preserve">Nitrofurantoin 50 mg QDS </w:t>
            </w:r>
          </w:p>
        </w:tc>
      </w:tr>
      <w:tr w:rsidR="00C94E64" w:rsidRPr="00D01639" w14:paraId="0A48E4C7" w14:textId="77777777" w:rsidTr="00BF5278">
        <w:tc>
          <w:tcPr>
            <w:tcW w:w="1985" w:type="dxa"/>
          </w:tcPr>
          <w:p w14:paraId="16653D23" w14:textId="77777777" w:rsidR="00C94E64" w:rsidRPr="00D01639" w:rsidRDefault="00C94E64" w:rsidP="00BF5278">
            <w:pPr>
              <w:rPr>
                <w:b/>
                <w:szCs w:val="22"/>
                <w:lang w:val="en-GB"/>
              </w:rPr>
            </w:pPr>
            <w:r w:rsidRPr="00D01639">
              <w:rPr>
                <w:b/>
                <w:szCs w:val="22"/>
                <w:lang w:val="en-GB"/>
              </w:rPr>
              <w:t>Soft tissue</w:t>
            </w:r>
          </w:p>
        </w:tc>
        <w:tc>
          <w:tcPr>
            <w:tcW w:w="3402" w:type="dxa"/>
          </w:tcPr>
          <w:p w14:paraId="44E7247B" w14:textId="77777777" w:rsidR="00C94E64" w:rsidRPr="00D01639" w:rsidRDefault="00C94E64" w:rsidP="00BF5278">
            <w:pPr>
              <w:rPr>
                <w:szCs w:val="22"/>
                <w:lang w:val="en-GB"/>
              </w:rPr>
            </w:pPr>
            <w:r w:rsidRPr="00D01639">
              <w:rPr>
                <w:szCs w:val="22"/>
                <w:lang w:val="en-GB"/>
              </w:rPr>
              <w:t xml:space="preserve">Cloxacillin 1 g QDS (2 g in severe </w:t>
            </w:r>
            <w:proofErr w:type="gramStart"/>
            <w:r w:rsidRPr="00D01639">
              <w:rPr>
                <w:szCs w:val="22"/>
                <w:lang w:val="en-GB"/>
              </w:rPr>
              <w:t>infection )</w:t>
            </w:r>
            <w:proofErr w:type="gramEnd"/>
          </w:p>
          <w:p w14:paraId="726F686F" w14:textId="77777777" w:rsidR="00C94E64" w:rsidRPr="00D01639" w:rsidRDefault="00C94E64" w:rsidP="00BF5278">
            <w:pPr>
              <w:rPr>
                <w:b/>
                <w:szCs w:val="22"/>
                <w:lang w:val="en-GB"/>
              </w:rPr>
            </w:pPr>
            <w:r w:rsidRPr="00D01639">
              <w:rPr>
                <w:szCs w:val="22"/>
                <w:lang w:val="en-GB"/>
              </w:rPr>
              <w:t>+ Benzypenicillin or Ampicillin if severe</w:t>
            </w:r>
          </w:p>
        </w:tc>
        <w:tc>
          <w:tcPr>
            <w:tcW w:w="3390" w:type="dxa"/>
          </w:tcPr>
          <w:p w14:paraId="37065DCA" w14:textId="77777777" w:rsidR="00C94E64" w:rsidRPr="00D01639" w:rsidRDefault="00C94E64" w:rsidP="00BF5278">
            <w:pPr>
              <w:rPr>
                <w:szCs w:val="22"/>
                <w:lang w:val="en-GB"/>
              </w:rPr>
            </w:pPr>
            <w:r w:rsidRPr="00D01639">
              <w:rPr>
                <w:szCs w:val="22"/>
                <w:lang w:val="en-GB"/>
              </w:rPr>
              <w:t xml:space="preserve">Cloxacillin 500 mg QDS </w:t>
            </w:r>
          </w:p>
        </w:tc>
      </w:tr>
      <w:tr w:rsidR="00C94E64" w:rsidRPr="00D01639" w14:paraId="26022143" w14:textId="77777777" w:rsidTr="00BF5278">
        <w:tc>
          <w:tcPr>
            <w:tcW w:w="1985" w:type="dxa"/>
          </w:tcPr>
          <w:p w14:paraId="297D6A54" w14:textId="77777777" w:rsidR="00C94E64" w:rsidRPr="00D01639" w:rsidRDefault="00C94E64" w:rsidP="00BF5278">
            <w:pPr>
              <w:rPr>
                <w:b/>
                <w:szCs w:val="22"/>
                <w:lang w:val="en-GB"/>
              </w:rPr>
            </w:pPr>
            <w:r w:rsidRPr="00D01639">
              <w:rPr>
                <w:b/>
                <w:szCs w:val="22"/>
                <w:lang w:val="en-GB"/>
              </w:rPr>
              <w:t>Meningitis</w:t>
            </w:r>
          </w:p>
        </w:tc>
        <w:tc>
          <w:tcPr>
            <w:tcW w:w="3402" w:type="dxa"/>
          </w:tcPr>
          <w:p w14:paraId="4B64EFA8" w14:textId="77777777" w:rsidR="00C94E64" w:rsidRPr="00D01639" w:rsidRDefault="00C94E64" w:rsidP="00BF5278">
            <w:pPr>
              <w:rPr>
                <w:szCs w:val="22"/>
                <w:lang w:val="en-GB"/>
              </w:rPr>
            </w:pPr>
            <w:r w:rsidRPr="00D01639">
              <w:rPr>
                <w:szCs w:val="22"/>
                <w:lang w:val="en-GB"/>
              </w:rPr>
              <w:t xml:space="preserve">Ceftriaxone 2 g 12 hourly for 14 days depending on organism </w:t>
            </w:r>
          </w:p>
        </w:tc>
        <w:tc>
          <w:tcPr>
            <w:tcW w:w="3390" w:type="dxa"/>
          </w:tcPr>
          <w:p w14:paraId="7A4AE362" w14:textId="77777777" w:rsidR="00C94E64" w:rsidRPr="00D01639" w:rsidRDefault="00C94E64" w:rsidP="00BF5278">
            <w:pPr>
              <w:rPr>
                <w:szCs w:val="22"/>
                <w:lang w:val="en-GB"/>
              </w:rPr>
            </w:pPr>
          </w:p>
        </w:tc>
      </w:tr>
      <w:tr w:rsidR="00C94E64" w:rsidRPr="00D01639" w14:paraId="68EEAA01" w14:textId="77777777" w:rsidTr="00BF5278">
        <w:tc>
          <w:tcPr>
            <w:tcW w:w="1985" w:type="dxa"/>
          </w:tcPr>
          <w:p w14:paraId="3AC2C827" w14:textId="77777777" w:rsidR="00C94E64" w:rsidRPr="00D01639" w:rsidRDefault="00C94E64" w:rsidP="00BF5278">
            <w:pPr>
              <w:rPr>
                <w:b/>
                <w:szCs w:val="22"/>
                <w:lang w:val="en-GB"/>
              </w:rPr>
            </w:pPr>
            <w:r w:rsidRPr="00D01639">
              <w:rPr>
                <w:b/>
                <w:szCs w:val="22"/>
                <w:lang w:val="en-GB"/>
              </w:rPr>
              <w:t xml:space="preserve">Abdominal sepsis </w:t>
            </w:r>
          </w:p>
        </w:tc>
        <w:tc>
          <w:tcPr>
            <w:tcW w:w="3402" w:type="dxa"/>
          </w:tcPr>
          <w:p w14:paraId="5D855E93" w14:textId="77777777" w:rsidR="00C94E64" w:rsidRPr="00D01639" w:rsidRDefault="00C94E64" w:rsidP="00BF5278">
            <w:pPr>
              <w:rPr>
                <w:szCs w:val="22"/>
                <w:lang w:val="en-GB"/>
              </w:rPr>
            </w:pPr>
            <w:r w:rsidRPr="00D01639">
              <w:rPr>
                <w:szCs w:val="22"/>
                <w:lang w:val="en-GB"/>
              </w:rPr>
              <w:t>Triple therapy; Ampicillin 1 g 8 hourly + Gentamicin 5-7.5 mg/kg OD + Metronidazole 500 mg TDS</w:t>
            </w:r>
          </w:p>
        </w:tc>
        <w:tc>
          <w:tcPr>
            <w:tcW w:w="3390" w:type="dxa"/>
          </w:tcPr>
          <w:p w14:paraId="608A2882" w14:textId="77777777" w:rsidR="00C94E64" w:rsidRPr="00D01639" w:rsidRDefault="00C94E64" w:rsidP="00BF5278">
            <w:pPr>
              <w:rPr>
                <w:szCs w:val="22"/>
                <w:lang w:val="en-GB"/>
              </w:rPr>
            </w:pPr>
            <w:r w:rsidRPr="00D01639">
              <w:rPr>
                <w:szCs w:val="22"/>
                <w:lang w:val="en-GB"/>
              </w:rPr>
              <w:t>Depends on source; e.</w:t>
            </w:r>
            <w:proofErr w:type="gramStart"/>
            <w:r w:rsidRPr="00D01639">
              <w:rPr>
                <w:szCs w:val="22"/>
                <w:lang w:val="en-GB"/>
              </w:rPr>
              <w:t>g.cholecystitis</w:t>
            </w:r>
            <w:proofErr w:type="gramEnd"/>
            <w:r w:rsidRPr="00D01639">
              <w:rPr>
                <w:szCs w:val="22"/>
                <w:lang w:val="en-GB"/>
              </w:rPr>
              <w:t xml:space="preserve">; amoxicillin and metronidazole </w:t>
            </w:r>
          </w:p>
          <w:p w14:paraId="2F40EDC7" w14:textId="77777777" w:rsidR="00C94E64" w:rsidRPr="00D01639" w:rsidRDefault="00C94E64" w:rsidP="00BF5278">
            <w:pPr>
              <w:rPr>
                <w:szCs w:val="22"/>
                <w:lang w:val="en-GB"/>
              </w:rPr>
            </w:pPr>
            <w:r w:rsidRPr="00D01639">
              <w:rPr>
                <w:szCs w:val="22"/>
                <w:lang w:val="en-GB"/>
              </w:rPr>
              <w:t xml:space="preserve">Spontaneous bacterial peritonitis; ciprofloxacin and metronidazole </w:t>
            </w:r>
          </w:p>
        </w:tc>
      </w:tr>
      <w:tr w:rsidR="00691309" w:rsidRPr="00D01639" w14:paraId="634940B5" w14:textId="77777777" w:rsidTr="00BF5278">
        <w:tc>
          <w:tcPr>
            <w:tcW w:w="1985" w:type="dxa"/>
          </w:tcPr>
          <w:p w14:paraId="44741981" w14:textId="67AB73B6" w:rsidR="00691309" w:rsidRPr="00691309" w:rsidRDefault="00691309" w:rsidP="00691309">
            <w:pPr>
              <w:rPr>
                <w:b/>
                <w:bCs/>
                <w:szCs w:val="22"/>
                <w:lang w:val="en-GB"/>
              </w:rPr>
            </w:pPr>
            <w:r w:rsidRPr="00691309">
              <w:rPr>
                <w:b/>
                <w:bCs/>
              </w:rPr>
              <w:t>Invasive fungal infections</w:t>
            </w:r>
          </w:p>
        </w:tc>
        <w:tc>
          <w:tcPr>
            <w:tcW w:w="3402" w:type="dxa"/>
          </w:tcPr>
          <w:p w14:paraId="3782EDDA" w14:textId="0F8EF094" w:rsidR="00691309" w:rsidRDefault="00691309" w:rsidP="00691309">
            <w:pPr>
              <w:rPr>
                <w:rFonts w:ascii="Helvetica" w:hAnsi="Helvetica" w:cs="Helvetica"/>
                <w:color w:val="000000"/>
                <w:sz w:val="23"/>
                <w:szCs w:val="23"/>
              </w:rPr>
            </w:pPr>
            <w:r>
              <w:rPr>
                <w:rFonts w:ascii="Helvetica" w:hAnsi="Helvetica" w:cs="Helvetica"/>
                <w:color w:val="000000"/>
                <w:sz w:val="23"/>
                <w:szCs w:val="23"/>
              </w:rPr>
              <w:t>Fluconazole</w:t>
            </w:r>
            <w:r>
              <w:rPr>
                <w:rFonts w:ascii="Helvetica" w:hAnsi="Helvetica" w:cs="Helvetica"/>
                <w:color w:val="000000"/>
                <w:sz w:val="23"/>
                <w:szCs w:val="23"/>
              </w:rPr>
              <w:t xml:space="preserve"> </w:t>
            </w:r>
            <w:r>
              <w:rPr>
                <w:rFonts w:ascii="Helvetica" w:hAnsi="Helvetica" w:cs="Helvetica"/>
                <w:color w:val="000000"/>
                <w:sz w:val="23"/>
                <w:szCs w:val="23"/>
              </w:rPr>
              <w:t>(800 mg [12 </w:t>
            </w:r>
            <w:r>
              <w:rPr>
                <w:rStyle w:val="nowrap"/>
                <w:rFonts w:ascii="Helvetica" w:hAnsi="Helvetica" w:cs="Helvetica"/>
                <w:color w:val="000000"/>
                <w:sz w:val="23"/>
                <w:szCs w:val="23"/>
              </w:rPr>
              <w:t>mg/kg]</w:t>
            </w:r>
            <w:r>
              <w:rPr>
                <w:rStyle w:val="nowrap"/>
                <w:rFonts w:ascii="Helvetica" w:hAnsi="Helvetica" w:cs="Helvetica"/>
                <w:color w:val="000000"/>
                <w:sz w:val="23"/>
                <w:szCs w:val="23"/>
              </w:rPr>
              <w:t xml:space="preserve"> </w:t>
            </w:r>
            <w:r>
              <w:rPr>
                <w:rFonts w:ascii="Helvetica" w:hAnsi="Helvetica" w:cs="Helvetica"/>
                <w:color w:val="000000"/>
                <w:sz w:val="23"/>
                <w:szCs w:val="23"/>
              </w:rPr>
              <w:t>loading dose, then 400 mg [6 </w:t>
            </w:r>
            <w:r>
              <w:rPr>
                <w:rStyle w:val="nowrap"/>
                <w:rFonts w:ascii="Helvetica" w:hAnsi="Helvetica" w:cs="Helvetica"/>
                <w:color w:val="000000"/>
                <w:sz w:val="23"/>
                <w:szCs w:val="23"/>
              </w:rPr>
              <w:t>mg/kg]</w:t>
            </w:r>
            <w:r>
              <w:rPr>
                <w:rFonts w:ascii="Helvetica" w:hAnsi="Helvetica" w:cs="Helvetica"/>
                <w:color w:val="000000"/>
                <w:sz w:val="23"/>
                <w:szCs w:val="23"/>
              </w:rPr>
              <w:t xml:space="preserve"> IV daily) </w:t>
            </w:r>
          </w:p>
          <w:p w14:paraId="3503547D" w14:textId="1ED1A546" w:rsidR="00691309" w:rsidRPr="00D01639" w:rsidRDefault="00691309" w:rsidP="00691309">
            <w:pPr>
              <w:rPr>
                <w:szCs w:val="22"/>
                <w:lang w:val="en-GB"/>
              </w:rPr>
            </w:pPr>
            <w:r>
              <w:rPr>
                <w:rFonts w:ascii="Helvetica" w:hAnsi="Helvetica" w:cs="Helvetica"/>
                <w:color w:val="000000"/>
                <w:sz w:val="23"/>
                <w:szCs w:val="23"/>
              </w:rPr>
              <w:t>(</w:t>
            </w:r>
            <w:r>
              <w:rPr>
                <w:rFonts w:ascii="Helvetica" w:hAnsi="Helvetica" w:cs="Helvetica"/>
                <w:color w:val="000000"/>
                <w:sz w:val="23"/>
                <w:szCs w:val="23"/>
              </w:rPr>
              <w:t>Lipid formulation amphotericin B (3 to 5 </w:t>
            </w:r>
            <w:r>
              <w:rPr>
                <w:rStyle w:val="nowrap"/>
                <w:rFonts w:ascii="Helvetica" w:hAnsi="Helvetica" w:cs="Helvetica"/>
                <w:color w:val="000000"/>
                <w:sz w:val="23"/>
                <w:szCs w:val="23"/>
              </w:rPr>
              <w:t>mg/kg</w:t>
            </w:r>
            <w:r>
              <w:rPr>
                <w:rFonts w:ascii="Helvetica" w:hAnsi="Helvetica" w:cs="Helvetica"/>
                <w:color w:val="000000"/>
                <w:sz w:val="23"/>
                <w:szCs w:val="23"/>
              </w:rPr>
              <w:t xml:space="preserve"> IV daily) is an alternative </w:t>
            </w:r>
            <w:r>
              <w:rPr>
                <w:rFonts w:ascii="Helvetica" w:hAnsi="Helvetica" w:cs="Helvetica"/>
                <w:color w:val="000000"/>
                <w:sz w:val="23"/>
                <w:szCs w:val="23"/>
              </w:rPr>
              <w:t>b</w:t>
            </w:r>
            <w:r>
              <w:t>ut is not usually available)</w:t>
            </w:r>
          </w:p>
        </w:tc>
        <w:tc>
          <w:tcPr>
            <w:tcW w:w="3390" w:type="dxa"/>
          </w:tcPr>
          <w:p w14:paraId="5BCD0518" w14:textId="4B37D22E" w:rsidR="00691309" w:rsidRPr="00D01639" w:rsidRDefault="00691309" w:rsidP="00691309">
            <w:pPr>
              <w:rPr>
                <w:szCs w:val="22"/>
                <w:lang w:val="en-GB"/>
              </w:rPr>
            </w:pPr>
            <w:r>
              <w:rPr>
                <w:rFonts w:ascii="Helvetica" w:hAnsi="Helvetica" w:cs="Helvetica"/>
                <w:sz w:val="23"/>
                <w:szCs w:val="23"/>
              </w:rPr>
              <w:t xml:space="preserve">Oral therapy (at the same dose) should be given to patients who are able to take oral medications, </w:t>
            </w:r>
          </w:p>
        </w:tc>
      </w:tr>
    </w:tbl>
    <w:p w14:paraId="26FCE9D7" w14:textId="77777777" w:rsidR="00C94E64" w:rsidRPr="00D01639" w:rsidRDefault="00C94E64" w:rsidP="00C94E64">
      <w:pPr>
        <w:rPr>
          <w:b/>
          <w:szCs w:val="22"/>
          <w:lang w:val="en-GB"/>
        </w:rPr>
      </w:pPr>
      <w:r w:rsidRPr="00D01639">
        <w:rPr>
          <w:b/>
          <w:szCs w:val="22"/>
          <w:lang w:val="en-GB"/>
        </w:rPr>
        <w:t>Notes:</w:t>
      </w:r>
    </w:p>
    <w:p w14:paraId="4FA3B226" w14:textId="77777777" w:rsidR="00C94E64" w:rsidRPr="00D01639" w:rsidRDefault="00C94E64" w:rsidP="00C94E64">
      <w:pPr>
        <w:pStyle w:val="ListParagraph"/>
        <w:numPr>
          <w:ilvl w:val="0"/>
          <w:numId w:val="29"/>
        </w:numPr>
        <w:rPr>
          <w:szCs w:val="22"/>
          <w:lang w:val="en-GB"/>
        </w:rPr>
      </w:pPr>
      <w:r w:rsidRPr="00D01639">
        <w:rPr>
          <w:szCs w:val="22"/>
          <w:lang w:val="en-GB"/>
        </w:rPr>
        <w:t xml:space="preserve">Gentamicin – one dose can be given before the renal function is known, but further doses should only be continued if renal function is normal. There are very few circumstances where a course should continue beyond 5 days. </w:t>
      </w:r>
    </w:p>
    <w:p w14:paraId="55F63BDD" w14:textId="77777777" w:rsidR="00C94E64" w:rsidRPr="00D01639" w:rsidRDefault="00C94E64" w:rsidP="00C94E64">
      <w:pPr>
        <w:pStyle w:val="ListParagraph"/>
        <w:numPr>
          <w:ilvl w:val="0"/>
          <w:numId w:val="29"/>
        </w:numPr>
        <w:rPr>
          <w:szCs w:val="22"/>
          <w:lang w:val="en-GB"/>
        </w:rPr>
      </w:pPr>
      <w:r w:rsidRPr="00D01639">
        <w:rPr>
          <w:szCs w:val="22"/>
          <w:lang w:val="en-GB"/>
        </w:rPr>
        <w:t xml:space="preserve">Ceftriaxone – is often used as a second line option where there seems to be a failure to respond to first line medications. If there is no clear diagnosis, it should usually be stopped after 5 or at most 7 days. </w:t>
      </w:r>
    </w:p>
    <w:p w14:paraId="626361E1" w14:textId="77777777" w:rsidR="00C94E64" w:rsidRPr="00D01639" w:rsidRDefault="00C94E64" w:rsidP="00C94E64">
      <w:pPr>
        <w:pStyle w:val="ListParagraph"/>
        <w:numPr>
          <w:ilvl w:val="0"/>
          <w:numId w:val="29"/>
        </w:numPr>
        <w:rPr>
          <w:szCs w:val="22"/>
          <w:lang w:val="en-GB"/>
        </w:rPr>
      </w:pPr>
      <w:r w:rsidRPr="00D01639">
        <w:rPr>
          <w:szCs w:val="22"/>
          <w:lang w:val="en-GB"/>
        </w:rPr>
        <w:t>If not responding – look for a reason and consider changing the antibiotics.</w:t>
      </w:r>
    </w:p>
    <w:p w14:paraId="19AED15A" w14:textId="77777777" w:rsidR="00C94E64" w:rsidRPr="00D01639" w:rsidRDefault="00C94E64" w:rsidP="00C94E64">
      <w:pPr>
        <w:pStyle w:val="ListParagraph"/>
        <w:numPr>
          <w:ilvl w:val="0"/>
          <w:numId w:val="29"/>
        </w:numPr>
        <w:rPr>
          <w:szCs w:val="22"/>
          <w:lang w:val="en-GB"/>
        </w:rPr>
      </w:pPr>
      <w:r w:rsidRPr="00D01639">
        <w:rPr>
          <w:szCs w:val="22"/>
          <w:lang w:val="en-GB"/>
        </w:rPr>
        <w:lastRenderedPageBreak/>
        <w:t xml:space="preserve">Blood cultures should be followed up after 48 hours with a phone call to </w:t>
      </w:r>
      <w:proofErr w:type="gramStart"/>
      <w:r w:rsidRPr="00D01639">
        <w:rPr>
          <w:szCs w:val="22"/>
          <w:lang w:val="en-GB"/>
        </w:rPr>
        <w:t>the  microbiology</w:t>
      </w:r>
      <w:proofErr w:type="gramEnd"/>
      <w:r w:rsidRPr="00D01639">
        <w:rPr>
          <w:szCs w:val="22"/>
          <w:lang w:val="en-GB"/>
        </w:rPr>
        <w:t xml:space="preserve"> lab.</w:t>
      </w:r>
    </w:p>
    <w:p w14:paraId="62A230A7" w14:textId="77777777" w:rsidR="00C94E64" w:rsidRPr="00D01639" w:rsidRDefault="00C94E64" w:rsidP="00C94E64">
      <w:pPr>
        <w:pStyle w:val="ListParagraph"/>
        <w:numPr>
          <w:ilvl w:val="0"/>
          <w:numId w:val="29"/>
        </w:numPr>
        <w:rPr>
          <w:szCs w:val="22"/>
          <w:lang w:val="en-GB"/>
        </w:rPr>
      </w:pPr>
      <w:r w:rsidRPr="00D01639">
        <w:rPr>
          <w:szCs w:val="22"/>
          <w:lang w:val="en-GB"/>
        </w:rPr>
        <w:t xml:space="preserve">If after 48 hours, there is no clear diagnosis and the patient is clinically improved and stable consider switching to oral antibiotics. </w:t>
      </w:r>
    </w:p>
    <w:p w14:paraId="03315109" w14:textId="77777777" w:rsidR="00C94E64" w:rsidRPr="00D01639" w:rsidRDefault="00C94E64" w:rsidP="00C94E64">
      <w:pPr>
        <w:pStyle w:val="Heading2"/>
        <w:rPr>
          <w:rFonts w:cs="Arial"/>
          <w:szCs w:val="22"/>
          <w:lang w:val="en-GB"/>
        </w:rPr>
      </w:pPr>
      <w:r w:rsidRPr="00D01639">
        <w:rPr>
          <w:rFonts w:cs="Arial"/>
          <w:szCs w:val="22"/>
          <w:lang w:val="en-GB"/>
        </w:rPr>
        <w:t>Key Issues for Nursing care</w:t>
      </w:r>
    </w:p>
    <w:p w14:paraId="15FE7BFF" w14:textId="77777777" w:rsidR="00C94E64" w:rsidRPr="00D01639" w:rsidRDefault="00C94E64" w:rsidP="00D74743">
      <w:pPr>
        <w:pStyle w:val="ListParagraph"/>
        <w:numPr>
          <w:ilvl w:val="0"/>
          <w:numId w:val="32"/>
        </w:numPr>
        <w:rPr>
          <w:szCs w:val="22"/>
          <w:lang w:val="en-GB"/>
        </w:rPr>
      </w:pPr>
      <w:r w:rsidRPr="00D01639">
        <w:rPr>
          <w:szCs w:val="22"/>
          <w:lang w:val="en-GB"/>
        </w:rPr>
        <w:t>The Golden Hour – Make sure antibiotics and fluids are given within the first hour.</w:t>
      </w:r>
    </w:p>
    <w:p w14:paraId="5EE7A22E" w14:textId="77777777" w:rsidR="00C94E64" w:rsidRPr="00D01639" w:rsidRDefault="00C94E64" w:rsidP="00D74743">
      <w:pPr>
        <w:pStyle w:val="ListParagraph"/>
        <w:numPr>
          <w:ilvl w:val="0"/>
          <w:numId w:val="32"/>
        </w:numPr>
        <w:rPr>
          <w:szCs w:val="22"/>
          <w:lang w:val="en-GB"/>
        </w:rPr>
      </w:pPr>
      <w:r w:rsidRPr="00D01639">
        <w:rPr>
          <w:szCs w:val="22"/>
          <w:lang w:val="en-GB"/>
        </w:rPr>
        <w:t xml:space="preserve">Monitor </w:t>
      </w:r>
      <w:proofErr w:type="gramStart"/>
      <w:r w:rsidRPr="00D01639">
        <w:rPr>
          <w:szCs w:val="22"/>
          <w:lang w:val="en-GB"/>
        </w:rPr>
        <w:t>patients  using</w:t>
      </w:r>
      <w:proofErr w:type="gramEnd"/>
      <w:r w:rsidRPr="00D01639">
        <w:rPr>
          <w:szCs w:val="22"/>
          <w:lang w:val="en-GB"/>
        </w:rPr>
        <w:t xml:space="preserve"> the Early Warning Score.</w:t>
      </w:r>
    </w:p>
    <w:p w14:paraId="7745A68F" w14:textId="77777777" w:rsidR="00C94E64" w:rsidRPr="00D01639" w:rsidRDefault="00C94E64" w:rsidP="00C94E64">
      <w:pPr>
        <w:pStyle w:val="Heading2"/>
        <w:rPr>
          <w:rFonts w:cs="Arial"/>
          <w:szCs w:val="22"/>
          <w:lang w:val="en-GB"/>
        </w:rPr>
      </w:pPr>
      <w:r w:rsidRPr="00D01639">
        <w:rPr>
          <w:rFonts w:cs="Arial"/>
          <w:szCs w:val="22"/>
          <w:lang w:val="en-GB"/>
        </w:rPr>
        <w:t>References</w:t>
      </w:r>
    </w:p>
    <w:p w14:paraId="4613B2B6" w14:textId="77777777" w:rsidR="00C94E64" w:rsidRPr="0075658B" w:rsidRDefault="00C94E64" w:rsidP="00C94E64">
      <w:pPr>
        <w:pStyle w:val="Heading2"/>
        <w:rPr>
          <w:rFonts w:cs="Arial"/>
          <w:b w:val="0"/>
          <w:sz w:val="20"/>
          <w:szCs w:val="20"/>
          <w:lang w:val="en-GB"/>
        </w:rPr>
      </w:pPr>
      <w:r w:rsidRPr="0075658B">
        <w:rPr>
          <w:rFonts w:cs="Arial"/>
          <w:b w:val="0"/>
          <w:sz w:val="20"/>
          <w:szCs w:val="20"/>
          <w:lang w:val="en-GB"/>
        </w:rPr>
        <w:t xml:space="preserve">Sepsis; </w:t>
      </w:r>
      <w:proofErr w:type="gramStart"/>
      <w:r w:rsidRPr="0075658B">
        <w:rPr>
          <w:rFonts w:cs="Arial"/>
          <w:b w:val="0"/>
          <w:sz w:val="20"/>
          <w:szCs w:val="20"/>
          <w:lang w:val="en-GB"/>
        </w:rPr>
        <w:t>recognition ,</w:t>
      </w:r>
      <w:proofErr w:type="gramEnd"/>
      <w:r w:rsidRPr="0075658B">
        <w:rPr>
          <w:rFonts w:cs="Arial"/>
          <w:b w:val="0"/>
          <w:sz w:val="20"/>
          <w:szCs w:val="20"/>
          <w:lang w:val="en-GB"/>
        </w:rPr>
        <w:t xml:space="preserve"> diagnosis and early Management. </w:t>
      </w:r>
      <w:proofErr w:type="gramStart"/>
      <w:r w:rsidRPr="0075658B">
        <w:rPr>
          <w:rFonts w:cs="Arial"/>
          <w:b w:val="0"/>
          <w:sz w:val="20"/>
          <w:szCs w:val="20"/>
          <w:lang w:val="en-GB"/>
        </w:rPr>
        <w:t>NICE guidelines,</w:t>
      </w:r>
      <w:proofErr w:type="gramEnd"/>
      <w:r w:rsidRPr="0075658B">
        <w:rPr>
          <w:rFonts w:cs="Arial"/>
          <w:b w:val="0"/>
          <w:sz w:val="20"/>
          <w:szCs w:val="20"/>
          <w:lang w:val="en-GB"/>
        </w:rPr>
        <w:t xml:space="preserve"> published July 2016. Available at </w:t>
      </w:r>
      <w:hyperlink r:id="rId7" w:anchor="stratifying-risk-of-severe-illness-or-death-from-sepsis" w:history="1">
        <w:r w:rsidRPr="0075658B">
          <w:rPr>
            <w:rStyle w:val="Hyperlink"/>
            <w:rFonts w:cs="Arial"/>
            <w:b w:val="0"/>
            <w:sz w:val="20"/>
            <w:szCs w:val="20"/>
            <w:lang w:val="en-GB"/>
          </w:rPr>
          <w:t>https://www.nice.org.uk/guidance/NG51/chapter/Recommendations#stratifying-risk-of-severe-illness-or-death-from-sepsis</w:t>
        </w:r>
      </w:hyperlink>
      <w:r w:rsidRPr="0075658B">
        <w:rPr>
          <w:rFonts w:cs="Arial"/>
          <w:b w:val="0"/>
          <w:sz w:val="20"/>
          <w:szCs w:val="20"/>
          <w:lang w:val="en-GB"/>
        </w:rPr>
        <w:t xml:space="preserve"> </w:t>
      </w:r>
    </w:p>
    <w:p w14:paraId="7CBBC635" w14:textId="77777777" w:rsidR="00C94E64" w:rsidRPr="0075658B" w:rsidRDefault="00C94E64" w:rsidP="00C94E64">
      <w:pPr>
        <w:rPr>
          <w:sz w:val="20"/>
          <w:szCs w:val="20"/>
          <w:lang w:val="en-GB"/>
        </w:rPr>
      </w:pPr>
      <w:r w:rsidRPr="0075658B">
        <w:rPr>
          <w:sz w:val="20"/>
          <w:szCs w:val="20"/>
          <w:lang w:val="en-GB"/>
        </w:rPr>
        <w:t xml:space="preserve">SIRS, qSOFA and new Sepsis definition. Marik P, Taeb A. Journal of Throacic disease, 2017 Apr; 9(4): 943-945. Available at </w:t>
      </w:r>
      <w:hyperlink r:id="rId8" w:history="1">
        <w:r w:rsidRPr="0075658B">
          <w:rPr>
            <w:rStyle w:val="Hyperlink"/>
            <w:sz w:val="20"/>
            <w:szCs w:val="20"/>
            <w:lang w:val="en-GB"/>
          </w:rPr>
          <w:t>https://www.ncbi.nlm.nih.gov/pmc/articles/PMC5418298/</w:t>
        </w:r>
      </w:hyperlink>
      <w:r w:rsidRPr="0075658B">
        <w:rPr>
          <w:sz w:val="20"/>
          <w:szCs w:val="20"/>
          <w:lang w:val="en-GB"/>
        </w:rPr>
        <w:t xml:space="preserve"> </w:t>
      </w:r>
    </w:p>
    <w:p w14:paraId="4AAFD424" w14:textId="77777777" w:rsidR="00C94E64" w:rsidRDefault="00C94E64" w:rsidP="00C94E64">
      <w:pPr>
        <w:rPr>
          <w:sz w:val="20"/>
          <w:szCs w:val="20"/>
          <w:lang w:val="en-GB"/>
        </w:rPr>
      </w:pPr>
      <w:r w:rsidRPr="0075658B">
        <w:rPr>
          <w:sz w:val="20"/>
          <w:szCs w:val="20"/>
          <w:lang w:val="en-GB"/>
        </w:rPr>
        <w:t xml:space="preserve">qSOFA Score for Patients with Sepsis in </w:t>
      </w:r>
      <w:proofErr w:type="gramStart"/>
      <w:r w:rsidRPr="0075658B">
        <w:rPr>
          <w:sz w:val="20"/>
          <w:szCs w:val="20"/>
          <w:lang w:val="en-GB"/>
        </w:rPr>
        <w:t>Low and Middle Income</w:t>
      </w:r>
      <w:proofErr w:type="gramEnd"/>
      <w:r w:rsidRPr="0075658B">
        <w:rPr>
          <w:sz w:val="20"/>
          <w:szCs w:val="20"/>
          <w:lang w:val="en-GB"/>
        </w:rPr>
        <w:t xml:space="preserve"> countries. Adhikari N, Rubenfeld D. JAMA, published online May 2018 DOI 10.1001/jama.2018.6413. Available at </w:t>
      </w:r>
      <w:hyperlink r:id="rId9" w:history="1">
        <w:r w:rsidRPr="0075658B">
          <w:rPr>
            <w:rStyle w:val="Hyperlink"/>
            <w:sz w:val="20"/>
            <w:szCs w:val="20"/>
            <w:lang w:val="en-GB"/>
          </w:rPr>
          <w:t>https://jamanetwork.com/journals/jama/fullarticle/2681800</w:t>
        </w:r>
      </w:hyperlink>
      <w:r w:rsidRPr="0075658B">
        <w:rPr>
          <w:sz w:val="20"/>
          <w:szCs w:val="20"/>
          <w:lang w:val="en-GB"/>
        </w:rPr>
        <w:t xml:space="preserve"> </w:t>
      </w:r>
    </w:p>
    <w:p w14:paraId="1F11B7CB" w14:textId="77777777" w:rsidR="00FE693A" w:rsidRPr="0075658B" w:rsidRDefault="00FE693A" w:rsidP="00C94E64">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C94E64" w:rsidRPr="00D01639" w14:paraId="1512C780" w14:textId="77777777" w:rsidTr="00BF5278">
        <w:trPr>
          <w:trHeight w:val="20"/>
        </w:trPr>
        <w:tc>
          <w:tcPr>
            <w:tcW w:w="2139" w:type="dxa"/>
            <w:shd w:val="clear" w:color="auto" w:fill="auto"/>
            <w:vAlign w:val="bottom"/>
          </w:tcPr>
          <w:p w14:paraId="566A50B4" w14:textId="77777777" w:rsidR="00C94E64" w:rsidRPr="00D01639" w:rsidRDefault="00C94E64" w:rsidP="00BF5278">
            <w:pPr>
              <w:spacing w:after="0"/>
              <w:rPr>
                <w:b/>
                <w:szCs w:val="22"/>
                <w:lang w:val="en-GB"/>
              </w:rPr>
            </w:pPr>
            <w:r w:rsidRPr="00D01639">
              <w:rPr>
                <w:b/>
                <w:szCs w:val="22"/>
                <w:lang w:val="en-GB"/>
              </w:rPr>
              <w:t>Written by:</w:t>
            </w:r>
          </w:p>
        </w:tc>
        <w:tc>
          <w:tcPr>
            <w:tcW w:w="3622" w:type="dxa"/>
            <w:shd w:val="clear" w:color="auto" w:fill="auto"/>
            <w:vAlign w:val="bottom"/>
          </w:tcPr>
          <w:p w14:paraId="47A6EB3F" w14:textId="77777777" w:rsidR="00C94E64" w:rsidRPr="00D01639" w:rsidRDefault="00C94E64" w:rsidP="00BF5278">
            <w:pPr>
              <w:spacing w:after="0"/>
              <w:rPr>
                <w:szCs w:val="22"/>
                <w:lang w:val="en-GB"/>
              </w:rPr>
            </w:pPr>
            <w:r w:rsidRPr="00D01639">
              <w:rPr>
                <w:szCs w:val="22"/>
                <w:lang w:val="en-GB"/>
              </w:rPr>
              <w:t>Name: Caitlin Jones</w:t>
            </w:r>
          </w:p>
        </w:tc>
        <w:tc>
          <w:tcPr>
            <w:tcW w:w="2869" w:type="dxa"/>
            <w:shd w:val="clear" w:color="auto" w:fill="auto"/>
            <w:vAlign w:val="bottom"/>
          </w:tcPr>
          <w:p w14:paraId="699BB244" w14:textId="4B25ACC6" w:rsidR="00C94E64" w:rsidRPr="00D01639" w:rsidRDefault="00C94E64" w:rsidP="00BF5278">
            <w:pPr>
              <w:spacing w:after="0"/>
              <w:rPr>
                <w:szCs w:val="22"/>
                <w:lang w:val="en-GB"/>
              </w:rPr>
            </w:pPr>
            <w:r w:rsidRPr="00D01639">
              <w:rPr>
                <w:szCs w:val="22"/>
                <w:lang w:val="en-GB"/>
              </w:rPr>
              <w:t>Date: 31</w:t>
            </w:r>
            <w:r w:rsidR="007508EA">
              <w:rPr>
                <w:szCs w:val="22"/>
                <w:lang w:val="en-GB"/>
              </w:rPr>
              <w:t xml:space="preserve"> May </w:t>
            </w:r>
            <w:r w:rsidRPr="00D01639">
              <w:rPr>
                <w:szCs w:val="22"/>
                <w:lang w:val="en-GB"/>
              </w:rPr>
              <w:t>2018</w:t>
            </w:r>
          </w:p>
        </w:tc>
      </w:tr>
      <w:tr w:rsidR="00C94E64" w:rsidRPr="00D01639" w14:paraId="47127989" w14:textId="77777777" w:rsidTr="00BF5278">
        <w:trPr>
          <w:trHeight w:val="20"/>
        </w:trPr>
        <w:tc>
          <w:tcPr>
            <w:tcW w:w="2139" w:type="dxa"/>
            <w:shd w:val="clear" w:color="auto" w:fill="auto"/>
            <w:vAlign w:val="bottom"/>
          </w:tcPr>
          <w:p w14:paraId="0C7C4974" w14:textId="77777777" w:rsidR="00C94E64" w:rsidRPr="00D01639" w:rsidRDefault="00C94E64" w:rsidP="00BF5278">
            <w:pPr>
              <w:spacing w:after="0"/>
              <w:rPr>
                <w:b/>
                <w:szCs w:val="22"/>
                <w:lang w:val="en-GB"/>
              </w:rPr>
            </w:pPr>
            <w:r w:rsidRPr="00D01639">
              <w:rPr>
                <w:b/>
                <w:szCs w:val="22"/>
                <w:lang w:val="en-GB"/>
              </w:rPr>
              <w:t>Reviewed by:</w:t>
            </w:r>
          </w:p>
        </w:tc>
        <w:tc>
          <w:tcPr>
            <w:tcW w:w="3622" w:type="dxa"/>
            <w:shd w:val="clear" w:color="auto" w:fill="auto"/>
            <w:vAlign w:val="bottom"/>
          </w:tcPr>
          <w:p w14:paraId="171A935A" w14:textId="77777777" w:rsidR="00C94E64" w:rsidRPr="00D01639" w:rsidRDefault="00C94E64" w:rsidP="00BF5278">
            <w:pPr>
              <w:spacing w:after="0"/>
              <w:rPr>
                <w:szCs w:val="22"/>
                <w:lang w:val="en-GB"/>
              </w:rPr>
            </w:pPr>
            <w:r w:rsidRPr="00D01639">
              <w:rPr>
                <w:szCs w:val="22"/>
                <w:lang w:val="en-GB"/>
              </w:rPr>
              <w:t>Name: Karen Forrest</w:t>
            </w:r>
          </w:p>
        </w:tc>
        <w:tc>
          <w:tcPr>
            <w:tcW w:w="2869" w:type="dxa"/>
            <w:shd w:val="clear" w:color="auto" w:fill="auto"/>
            <w:vAlign w:val="bottom"/>
          </w:tcPr>
          <w:p w14:paraId="71939D9D" w14:textId="57336069" w:rsidR="00C94E64" w:rsidRPr="00D01639" w:rsidRDefault="00C94E64" w:rsidP="00BF5278">
            <w:pPr>
              <w:spacing w:after="0"/>
              <w:rPr>
                <w:szCs w:val="22"/>
                <w:lang w:val="en-GB"/>
              </w:rPr>
            </w:pPr>
            <w:r w:rsidRPr="00D01639">
              <w:rPr>
                <w:szCs w:val="22"/>
                <w:lang w:val="en-GB"/>
              </w:rPr>
              <w:t>Date: 14</w:t>
            </w:r>
            <w:r w:rsidR="007508EA">
              <w:rPr>
                <w:szCs w:val="22"/>
                <w:lang w:val="en-GB"/>
              </w:rPr>
              <w:t xml:space="preserve"> June </w:t>
            </w:r>
            <w:r w:rsidRPr="00D01639">
              <w:rPr>
                <w:szCs w:val="22"/>
                <w:lang w:val="en-GB"/>
              </w:rPr>
              <w:t>2018</w:t>
            </w:r>
          </w:p>
        </w:tc>
      </w:tr>
      <w:tr w:rsidR="007508EA" w:rsidRPr="00D01639" w14:paraId="4016291C" w14:textId="77777777" w:rsidTr="002A3C5B">
        <w:trPr>
          <w:trHeight w:val="20"/>
        </w:trPr>
        <w:tc>
          <w:tcPr>
            <w:tcW w:w="2139" w:type="dxa"/>
            <w:shd w:val="clear" w:color="auto" w:fill="auto"/>
            <w:vAlign w:val="bottom"/>
          </w:tcPr>
          <w:p w14:paraId="5F382B18" w14:textId="77777777" w:rsidR="007508EA" w:rsidRPr="00D01639" w:rsidRDefault="007508EA" w:rsidP="007508EA">
            <w:pPr>
              <w:spacing w:after="0"/>
              <w:rPr>
                <w:b/>
                <w:szCs w:val="22"/>
                <w:lang w:val="en-GB"/>
              </w:rPr>
            </w:pPr>
          </w:p>
        </w:tc>
        <w:tc>
          <w:tcPr>
            <w:tcW w:w="3622" w:type="dxa"/>
            <w:shd w:val="clear" w:color="auto" w:fill="auto"/>
          </w:tcPr>
          <w:p w14:paraId="08DA1DED" w14:textId="2DF3C015" w:rsidR="007508EA" w:rsidRPr="00D01639" w:rsidRDefault="007508EA" w:rsidP="007508EA">
            <w:pPr>
              <w:spacing w:after="0"/>
              <w:rPr>
                <w:szCs w:val="22"/>
                <w:lang w:val="en-GB"/>
              </w:rPr>
            </w:pPr>
            <w:r>
              <w:t>Name: Amie Secka</w:t>
            </w:r>
          </w:p>
        </w:tc>
        <w:tc>
          <w:tcPr>
            <w:tcW w:w="2869" w:type="dxa"/>
            <w:shd w:val="clear" w:color="auto" w:fill="auto"/>
          </w:tcPr>
          <w:p w14:paraId="32BAB749" w14:textId="6EDE0BFD" w:rsidR="007508EA" w:rsidRPr="00D01639" w:rsidRDefault="007508EA" w:rsidP="007508EA">
            <w:pPr>
              <w:spacing w:after="0"/>
              <w:rPr>
                <w:szCs w:val="22"/>
                <w:lang w:val="en-GB"/>
              </w:rPr>
            </w:pPr>
            <w:r>
              <w:t>Date: 06</w:t>
            </w:r>
            <w:r>
              <w:t xml:space="preserve"> July </w:t>
            </w:r>
            <w:r>
              <w:t>2020</w:t>
            </w:r>
          </w:p>
        </w:tc>
      </w:tr>
      <w:tr w:rsidR="007508EA" w:rsidRPr="00D01639" w14:paraId="2445B2B2" w14:textId="77777777" w:rsidTr="00BF5278">
        <w:trPr>
          <w:trHeight w:val="20"/>
        </w:trPr>
        <w:tc>
          <w:tcPr>
            <w:tcW w:w="2139" w:type="dxa"/>
            <w:shd w:val="clear" w:color="auto" w:fill="auto"/>
            <w:vAlign w:val="bottom"/>
          </w:tcPr>
          <w:p w14:paraId="2ACD4D05" w14:textId="77777777" w:rsidR="007508EA" w:rsidRPr="00D01639" w:rsidRDefault="007508EA" w:rsidP="007508EA">
            <w:pPr>
              <w:spacing w:after="0"/>
              <w:rPr>
                <w:szCs w:val="22"/>
                <w:lang w:val="en-GB"/>
              </w:rPr>
            </w:pPr>
            <w:r w:rsidRPr="00D01639">
              <w:rPr>
                <w:b/>
                <w:szCs w:val="22"/>
                <w:lang w:val="en-GB"/>
              </w:rPr>
              <w:t>Version:</w:t>
            </w:r>
          </w:p>
        </w:tc>
        <w:tc>
          <w:tcPr>
            <w:tcW w:w="3622" w:type="dxa"/>
            <w:shd w:val="clear" w:color="auto" w:fill="auto"/>
            <w:vAlign w:val="bottom"/>
          </w:tcPr>
          <w:p w14:paraId="211080E6" w14:textId="77777777" w:rsidR="007508EA" w:rsidRPr="00D01639" w:rsidRDefault="007508EA" w:rsidP="007508EA">
            <w:pPr>
              <w:spacing w:after="0"/>
              <w:rPr>
                <w:szCs w:val="22"/>
                <w:lang w:val="en-GB"/>
              </w:rPr>
            </w:pPr>
            <w:r w:rsidRPr="00D01639">
              <w:rPr>
                <w:b/>
                <w:szCs w:val="22"/>
                <w:lang w:val="en-GB"/>
              </w:rPr>
              <w:t>Change history:</w:t>
            </w:r>
          </w:p>
        </w:tc>
        <w:tc>
          <w:tcPr>
            <w:tcW w:w="2869" w:type="dxa"/>
            <w:shd w:val="clear" w:color="auto" w:fill="auto"/>
            <w:vAlign w:val="bottom"/>
          </w:tcPr>
          <w:p w14:paraId="112DC75B" w14:textId="77777777" w:rsidR="007508EA" w:rsidRPr="00D01639" w:rsidRDefault="007508EA" w:rsidP="007508EA">
            <w:pPr>
              <w:spacing w:after="0"/>
              <w:rPr>
                <w:b/>
                <w:szCs w:val="22"/>
                <w:lang w:val="en-GB"/>
              </w:rPr>
            </w:pPr>
            <w:r w:rsidRPr="00D01639">
              <w:rPr>
                <w:b/>
                <w:szCs w:val="22"/>
                <w:lang w:val="en-GB"/>
              </w:rPr>
              <w:t>Review due date:</w:t>
            </w:r>
          </w:p>
        </w:tc>
      </w:tr>
      <w:tr w:rsidR="007508EA" w:rsidRPr="00D01639" w14:paraId="7CABF60B" w14:textId="77777777" w:rsidTr="00BF5278">
        <w:trPr>
          <w:trHeight w:val="20"/>
        </w:trPr>
        <w:tc>
          <w:tcPr>
            <w:tcW w:w="2139" w:type="dxa"/>
            <w:shd w:val="clear" w:color="auto" w:fill="auto"/>
            <w:vAlign w:val="bottom"/>
          </w:tcPr>
          <w:p w14:paraId="20E518D4" w14:textId="77777777" w:rsidR="007508EA" w:rsidRPr="00D01639" w:rsidRDefault="007508EA" w:rsidP="007508EA">
            <w:pPr>
              <w:spacing w:after="0"/>
              <w:rPr>
                <w:szCs w:val="22"/>
                <w:lang w:val="en-GB"/>
              </w:rPr>
            </w:pPr>
            <w:r w:rsidRPr="00D01639">
              <w:rPr>
                <w:szCs w:val="22"/>
                <w:lang w:val="en-GB"/>
              </w:rPr>
              <w:t>1.0</w:t>
            </w:r>
          </w:p>
        </w:tc>
        <w:tc>
          <w:tcPr>
            <w:tcW w:w="3622" w:type="dxa"/>
            <w:shd w:val="clear" w:color="auto" w:fill="auto"/>
            <w:vAlign w:val="bottom"/>
          </w:tcPr>
          <w:p w14:paraId="0FF63F68" w14:textId="77777777" w:rsidR="007508EA" w:rsidRPr="00D01639" w:rsidRDefault="007508EA" w:rsidP="007508EA">
            <w:pPr>
              <w:spacing w:after="0"/>
              <w:rPr>
                <w:szCs w:val="22"/>
                <w:lang w:val="en-GB"/>
              </w:rPr>
            </w:pPr>
            <w:r w:rsidRPr="00D01639">
              <w:rPr>
                <w:szCs w:val="22"/>
                <w:lang w:val="en-GB"/>
              </w:rPr>
              <w:t>New document</w:t>
            </w:r>
          </w:p>
        </w:tc>
        <w:tc>
          <w:tcPr>
            <w:tcW w:w="2869" w:type="dxa"/>
            <w:shd w:val="clear" w:color="auto" w:fill="auto"/>
            <w:vAlign w:val="bottom"/>
          </w:tcPr>
          <w:p w14:paraId="74EB29B5" w14:textId="62B6B541" w:rsidR="007508EA" w:rsidRPr="00D01639" w:rsidRDefault="007508EA" w:rsidP="007508EA">
            <w:pPr>
              <w:spacing w:after="0"/>
              <w:rPr>
                <w:szCs w:val="22"/>
                <w:lang w:val="en-GB"/>
              </w:rPr>
            </w:pPr>
            <w:r w:rsidRPr="00D01639">
              <w:rPr>
                <w:szCs w:val="22"/>
                <w:lang w:val="en-GB"/>
              </w:rPr>
              <w:t>31 July 2020</w:t>
            </w:r>
          </w:p>
        </w:tc>
      </w:tr>
      <w:tr w:rsidR="007508EA" w:rsidRPr="00D01639" w14:paraId="23B0EAD4" w14:textId="77777777" w:rsidTr="00BF5278">
        <w:trPr>
          <w:trHeight w:val="20"/>
        </w:trPr>
        <w:tc>
          <w:tcPr>
            <w:tcW w:w="2139" w:type="dxa"/>
            <w:shd w:val="clear" w:color="auto" w:fill="auto"/>
            <w:vAlign w:val="bottom"/>
          </w:tcPr>
          <w:p w14:paraId="671D2B8C" w14:textId="551B7FCA" w:rsidR="007508EA" w:rsidRPr="00D01639" w:rsidRDefault="007508EA" w:rsidP="007508EA">
            <w:pPr>
              <w:spacing w:after="0"/>
              <w:rPr>
                <w:szCs w:val="22"/>
                <w:lang w:val="en-GB"/>
              </w:rPr>
            </w:pPr>
            <w:r w:rsidRPr="00D01639">
              <w:rPr>
                <w:szCs w:val="22"/>
                <w:lang w:val="en-GB"/>
              </w:rPr>
              <w:t>1.1</w:t>
            </w:r>
          </w:p>
        </w:tc>
        <w:tc>
          <w:tcPr>
            <w:tcW w:w="3622" w:type="dxa"/>
            <w:shd w:val="clear" w:color="auto" w:fill="auto"/>
            <w:vAlign w:val="bottom"/>
          </w:tcPr>
          <w:p w14:paraId="651C76D8" w14:textId="37C477F7" w:rsidR="007508EA" w:rsidRPr="00D01639" w:rsidRDefault="007508EA" w:rsidP="007508EA">
            <w:pPr>
              <w:spacing w:after="0"/>
              <w:rPr>
                <w:szCs w:val="22"/>
                <w:lang w:val="en-GB"/>
              </w:rPr>
            </w:pPr>
            <w:r w:rsidRPr="00D01639">
              <w:rPr>
                <w:szCs w:val="22"/>
                <w:lang w:val="en-GB"/>
              </w:rPr>
              <w:t>Executive summary added</w:t>
            </w:r>
          </w:p>
        </w:tc>
        <w:tc>
          <w:tcPr>
            <w:tcW w:w="2869" w:type="dxa"/>
            <w:shd w:val="clear" w:color="auto" w:fill="auto"/>
            <w:vAlign w:val="bottom"/>
          </w:tcPr>
          <w:p w14:paraId="10082645" w14:textId="7F6FBEA0" w:rsidR="007508EA" w:rsidRPr="00D01639" w:rsidRDefault="007508EA" w:rsidP="007508EA">
            <w:pPr>
              <w:spacing w:after="0"/>
              <w:rPr>
                <w:szCs w:val="22"/>
                <w:lang w:val="en-GB"/>
              </w:rPr>
            </w:pPr>
            <w:r w:rsidRPr="00D01639">
              <w:rPr>
                <w:szCs w:val="22"/>
                <w:lang w:val="en-GB"/>
              </w:rPr>
              <w:t>31 July 2020</w:t>
            </w:r>
          </w:p>
        </w:tc>
      </w:tr>
      <w:tr w:rsidR="007508EA" w:rsidRPr="00D01639" w14:paraId="5D34DE6B" w14:textId="77777777" w:rsidTr="00BF5278">
        <w:trPr>
          <w:trHeight w:val="20"/>
        </w:trPr>
        <w:tc>
          <w:tcPr>
            <w:tcW w:w="2139" w:type="dxa"/>
            <w:shd w:val="clear" w:color="auto" w:fill="auto"/>
            <w:vAlign w:val="bottom"/>
          </w:tcPr>
          <w:p w14:paraId="3C58E64D" w14:textId="74FFEB1A" w:rsidR="007508EA" w:rsidRPr="00D01639" w:rsidRDefault="00ED34F5" w:rsidP="007508EA">
            <w:pPr>
              <w:spacing w:after="0"/>
              <w:rPr>
                <w:szCs w:val="22"/>
                <w:lang w:val="en-GB"/>
              </w:rPr>
            </w:pPr>
            <w:r>
              <w:rPr>
                <w:szCs w:val="22"/>
                <w:lang w:val="en-GB"/>
              </w:rPr>
              <w:t>2.0</w:t>
            </w:r>
          </w:p>
        </w:tc>
        <w:tc>
          <w:tcPr>
            <w:tcW w:w="3622" w:type="dxa"/>
            <w:shd w:val="clear" w:color="auto" w:fill="auto"/>
            <w:vAlign w:val="bottom"/>
          </w:tcPr>
          <w:p w14:paraId="3987F256" w14:textId="6A0A2748" w:rsidR="007508EA" w:rsidRPr="00D01639" w:rsidRDefault="00ED34F5" w:rsidP="007508EA">
            <w:pPr>
              <w:spacing w:after="0"/>
              <w:rPr>
                <w:szCs w:val="22"/>
                <w:lang w:val="en-GB"/>
              </w:rPr>
            </w:pPr>
            <w:r>
              <w:t>Reviewed with changes</w:t>
            </w:r>
          </w:p>
        </w:tc>
        <w:tc>
          <w:tcPr>
            <w:tcW w:w="2869" w:type="dxa"/>
            <w:shd w:val="clear" w:color="auto" w:fill="auto"/>
            <w:vAlign w:val="bottom"/>
          </w:tcPr>
          <w:p w14:paraId="2F68A955" w14:textId="3E3EADA6" w:rsidR="007508EA" w:rsidRPr="00D01639" w:rsidRDefault="00ED34F5" w:rsidP="007508EA">
            <w:pPr>
              <w:spacing w:after="0"/>
              <w:rPr>
                <w:szCs w:val="22"/>
                <w:lang w:val="en-GB"/>
              </w:rPr>
            </w:pPr>
            <w:r>
              <w:rPr>
                <w:szCs w:val="22"/>
                <w:lang w:val="en-GB"/>
              </w:rPr>
              <w:t>01 November 2022</w:t>
            </w:r>
          </w:p>
        </w:tc>
      </w:tr>
      <w:tr w:rsidR="007508EA" w:rsidRPr="00D01639" w14:paraId="7724CD1F" w14:textId="77777777" w:rsidTr="00BF5278">
        <w:trPr>
          <w:trHeight w:val="20"/>
        </w:trPr>
        <w:tc>
          <w:tcPr>
            <w:tcW w:w="2139" w:type="dxa"/>
            <w:shd w:val="clear" w:color="auto" w:fill="auto"/>
            <w:vAlign w:val="bottom"/>
          </w:tcPr>
          <w:p w14:paraId="6C0AF669" w14:textId="77777777" w:rsidR="007508EA" w:rsidRPr="00D01639" w:rsidRDefault="007508EA" w:rsidP="007508EA">
            <w:pPr>
              <w:spacing w:after="0"/>
              <w:rPr>
                <w:szCs w:val="22"/>
                <w:lang w:val="en-GB"/>
              </w:rPr>
            </w:pPr>
            <w:r w:rsidRPr="00D01639">
              <w:rPr>
                <w:szCs w:val="22"/>
                <w:lang w:val="en-GB"/>
              </w:rPr>
              <w:t>Review Comments (</w:t>
            </w:r>
            <w:r w:rsidRPr="00D01639">
              <w:rPr>
                <w:i/>
                <w:szCs w:val="22"/>
                <w:lang w:val="en-GB"/>
              </w:rPr>
              <w:t>if applicable)</w:t>
            </w:r>
          </w:p>
        </w:tc>
        <w:tc>
          <w:tcPr>
            <w:tcW w:w="3622" w:type="dxa"/>
            <w:shd w:val="clear" w:color="auto" w:fill="auto"/>
            <w:vAlign w:val="bottom"/>
          </w:tcPr>
          <w:p w14:paraId="7B9C0211" w14:textId="77777777" w:rsidR="007508EA" w:rsidRPr="00D01639" w:rsidRDefault="007508EA" w:rsidP="007508EA">
            <w:pPr>
              <w:spacing w:after="0"/>
              <w:rPr>
                <w:szCs w:val="22"/>
                <w:lang w:val="en-GB"/>
              </w:rPr>
            </w:pPr>
          </w:p>
        </w:tc>
        <w:tc>
          <w:tcPr>
            <w:tcW w:w="2869" w:type="dxa"/>
            <w:shd w:val="clear" w:color="auto" w:fill="auto"/>
            <w:vAlign w:val="bottom"/>
          </w:tcPr>
          <w:p w14:paraId="2B0843FB" w14:textId="77777777" w:rsidR="007508EA" w:rsidRPr="00D01639" w:rsidRDefault="007508EA" w:rsidP="007508EA">
            <w:pPr>
              <w:spacing w:after="0"/>
              <w:rPr>
                <w:b/>
                <w:szCs w:val="22"/>
                <w:lang w:val="en-GB"/>
              </w:rPr>
            </w:pPr>
          </w:p>
        </w:tc>
      </w:tr>
    </w:tbl>
    <w:p w14:paraId="59DE0F67" w14:textId="77777777" w:rsidR="00C94E64" w:rsidRPr="00D01639" w:rsidRDefault="00C94E64" w:rsidP="00C94E64">
      <w:pPr>
        <w:rPr>
          <w:szCs w:val="22"/>
          <w:lang w:val="en-GB"/>
        </w:rPr>
      </w:pPr>
    </w:p>
    <w:p w14:paraId="621E5231" w14:textId="77777777" w:rsidR="00975A60" w:rsidRPr="00D01639" w:rsidRDefault="00975A60" w:rsidP="00C94E64">
      <w:pPr>
        <w:rPr>
          <w:lang w:val="en-GB"/>
        </w:rPr>
      </w:pPr>
    </w:p>
    <w:sectPr w:rsidR="00975A60" w:rsidRPr="00D01639" w:rsidSect="00D1382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B160C" w14:textId="77777777" w:rsidR="00745A9C" w:rsidRDefault="00745A9C" w:rsidP="00975A60">
      <w:pPr>
        <w:spacing w:after="0"/>
      </w:pPr>
      <w:r>
        <w:separator/>
      </w:r>
    </w:p>
  </w:endnote>
  <w:endnote w:type="continuationSeparator" w:id="0">
    <w:p w14:paraId="46B289A0" w14:textId="77777777" w:rsidR="00745A9C" w:rsidRDefault="00745A9C"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F13C2"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65B8DF"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14113"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15B5D"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ECFF4" w14:textId="77777777" w:rsidR="00745A9C" w:rsidRDefault="00745A9C" w:rsidP="00975A60">
      <w:pPr>
        <w:spacing w:after="0"/>
      </w:pPr>
      <w:r>
        <w:separator/>
      </w:r>
    </w:p>
  </w:footnote>
  <w:footnote w:type="continuationSeparator" w:id="0">
    <w:p w14:paraId="77C0D437" w14:textId="77777777" w:rsidR="00745A9C" w:rsidRDefault="00745A9C"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F90C3" w14:textId="77777777" w:rsidR="00FE693A" w:rsidRDefault="00FE6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1B7D9" w14:textId="77777777" w:rsidR="00C94E64" w:rsidRPr="00C94E64" w:rsidRDefault="00C94E64" w:rsidP="00C94E64">
    <w:pPr>
      <w:pStyle w:val="Header"/>
    </w:pPr>
    <w:r w:rsidRPr="00C94E64">
      <w:t>Identification code: MeG-CLS-043</w:t>
    </w:r>
    <w:r w:rsidRPr="00C94E64">
      <w:tab/>
    </w:r>
  </w:p>
  <w:p w14:paraId="4496D09B" w14:textId="3B1D1E18" w:rsidR="00C94E64" w:rsidRPr="00C94E64" w:rsidRDefault="00C94E64" w:rsidP="00C94E64">
    <w:pPr>
      <w:pStyle w:val="Header"/>
    </w:pPr>
    <w:r w:rsidRPr="00C94E64">
      <w:t xml:space="preserve">Version: </w:t>
    </w:r>
    <w:r w:rsidR="00E4541C">
      <w:t xml:space="preserve">2.0 </w:t>
    </w:r>
    <w:r w:rsidRPr="00C94E64">
      <w:t xml:space="preserve">– </w:t>
    </w:r>
    <w:r w:rsidR="00E4541C">
      <w:t>01 November 2020</w:t>
    </w:r>
  </w:p>
  <w:p w14:paraId="4226AF5F" w14:textId="1C6AE6B7" w:rsidR="005D1877" w:rsidRPr="00C94E64" w:rsidRDefault="005D1877" w:rsidP="00C94E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4E9DF"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4511A8AE" wp14:editId="5180F75F">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84CCD73"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572B2E2" w14:textId="77777777" w:rsidR="00D13825" w:rsidRPr="003C0800" w:rsidRDefault="00D13825" w:rsidP="00D13825">
    <w:pPr>
      <w:pStyle w:val="Header"/>
      <w:ind w:firstLine="2880"/>
      <w:rPr>
        <w:rFonts w:cs="Arial"/>
        <w:b/>
      </w:rPr>
    </w:pPr>
  </w:p>
  <w:p w14:paraId="0C45568E" w14:textId="6735BB9A" w:rsidR="00D13825" w:rsidRPr="00C94E64" w:rsidRDefault="00D13825" w:rsidP="00D13825">
    <w:pPr>
      <w:pStyle w:val="Header"/>
    </w:pPr>
    <w:r w:rsidRPr="00C94E64">
      <w:t>Identification code: MeG-CLS-</w:t>
    </w:r>
    <w:r w:rsidR="00C94E64" w:rsidRPr="00C94E64">
      <w:t>043</w:t>
    </w:r>
    <w:r w:rsidRPr="00C94E64">
      <w:tab/>
    </w:r>
  </w:p>
  <w:p w14:paraId="5B163FE1" w14:textId="34E177E9" w:rsidR="00D13825" w:rsidRPr="00C94E64" w:rsidRDefault="00D13825" w:rsidP="00D13825">
    <w:pPr>
      <w:pStyle w:val="Header"/>
    </w:pPr>
    <w:r w:rsidRPr="00C94E64">
      <w:t xml:space="preserve">Version: </w:t>
    </w:r>
    <w:r w:rsidR="00FD7557">
      <w:t>2.0 – 01 November 2020</w:t>
    </w:r>
  </w:p>
  <w:p w14:paraId="7F9D80B6"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514FF6"/>
    <w:multiLevelType w:val="hybridMultilevel"/>
    <w:tmpl w:val="BF8E2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AF7C45"/>
    <w:multiLevelType w:val="hybridMultilevel"/>
    <w:tmpl w:val="8C143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AC42C49"/>
    <w:multiLevelType w:val="hybridMultilevel"/>
    <w:tmpl w:val="5828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9721CA"/>
    <w:multiLevelType w:val="hybridMultilevel"/>
    <w:tmpl w:val="15CE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FF6EEE"/>
    <w:multiLevelType w:val="hybridMultilevel"/>
    <w:tmpl w:val="D848E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F256BE"/>
    <w:multiLevelType w:val="hybridMultilevel"/>
    <w:tmpl w:val="1B74A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8D0BAB"/>
    <w:multiLevelType w:val="hybridMultilevel"/>
    <w:tmpl w:val="51CC7D2E"/>
    <w:lvl w:ilvl="0" w:tplc="BFB4DB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F8FD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123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AA2A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C8F9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AC06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D67E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6264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0AF2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F5D5702"/>
    <w:multiLevelType w:val="hybridMultilevel"/>
    <w:tmpl w:val="515E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024DD0"/>
    <w:multiLevelType w:val="hybridMultilevel"/>
    <w:tmpl w:val="B2804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F026F29"/>
    <w:multiLevelType w:val="hybridMultilevel"/>
    <w:tmpl w:val="689A698A"/>
    <w:lvl w:ilvl="0" w:tplc="4C0CD3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BCC9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828E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4AA2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B2CF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EECE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C21E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E01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8C3E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E12612"/>
    <w:multiLevelType w:val="hybridMultilevel"/>
    <w:tmpl w:val="131C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0"/>
  </w:num>
  <w:num w:numId="4">
    <w:abstractNumId w:val="1"/>
  </w:num>
  <w:num w:numId="5">
    <w:abstractNumId w:val="0"/>
  </w:num>
  <w:num w:numId="6">
    <w:abstractNumId w:val="4"/>
  </w:num>
  <w:num w:numId="7">
    <w:abstractNumId w:val="19"/>
  </w:num>
  <w:num w:numId="8">
    <w:abstractNumId w:val="2"/>
  </w:num>
  <w:num w:numId="9">
    <w:abstractNumId w:val="34"/>
  </w:num>
  <w:num w:numId="10">
    <w:abstractNumId w:val="3"/>
  </w:num>
  <w:num w:numId="11">
    <w:abstractNumId w:val="11"/>
  </w:num>
  <w:num w:numId="12">
    <w:abstractNumId w:val="24"/>
  </w:num>
  <w:num w:numId="13">
    <w:abstractNumId w:val="30"/>
  </w:num>
  <w:num w:numId="14">
    <w:abstractNumId w:val="27"/>
  </w:num>
  <w:num w:numId="15">
    <w:abstractNumId w:val="33"/>
  </w:num>
  <w:num w:numId="16">
    <w:abstractNumId w:val="14"/>
  </w:num>
  <w:num w:numId="17">
    <w:abstractNumId w:val="7"/>
  </w:num>
  <w:num w:numId="18">
    <w:abstractNumId w:val="28"/>
  </w:num>
  <w:num w:numId="19">
    <w:abstractNumId w:val="16"/>
  </w:num>
  <w:num w:numId="20">
    <w:abstractNumId w:val="31"/>
  </w:num>
  <w:num w:numId="21">
    <w:abstractNumId w:val="18"/>
  </w:num>
  <w:num w:numId="22">
    <w:abstractNumId w:val="8"/>
  </w:num>
  <w:num w:numId="23">
    <w:abstractNumId w:val="23"/>
  </w:num>
  <w:num w:numId="24">
    <w:abstractNumId w:val="26"/>
  </w:num>
  <w:num w:numId="25">
    <w:abstractNumId w:val="22"/>
  </w:num>
  <w:num w:numId="26">
    <w:abstractNumId w:val="21"/>
  </w:num>
  <w:num w:numId="27">
    <w:abstractNumId w:val="13"/>
  </w:num>
  <w:num w:numId="28">
    <w:abstractNumId w:val="5"/>
  </w:num>
  <w:num w:numId="29">
    <w:abstractNumId w:val="32"/>
  </w:num>
  <w:num w:numId="30">
    <w:abstractNumId w:val="6"/>
  </w:num>
  <w:num w:numId="31">
    <w:abstractNumId w:val="9"/>
  </w:num>
  <w:num w:numId="32">
    <w:abstractNumId w:val="12"/>
  </w:num>
  <w:num w:numId="33">
    <w:abstractNumId w:val="29"/>
  </w:num>
  <w:num w:numId="34">
    <w:abstractNumId w:val="1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MgJiYyMTE2NDAyUdpeDU4uLM/DyQAqNaAIIA/nQsAAAA"/>
  </w:docVars>
  <w:rsids>
    <w:rsidRoot w:val="00C94E64"/>
    <w:rsid w:val="000039D9"/>
    <w:rsid w:val="0007147C"/>
    <w:rsid w:val="00081642"/>
    <w:rsid w:val="00114AAF"/>
    <w:rsid w:val="001203AE"/>
    <w:rsid w:val="00175153"/>
    <w:rsid w:val="001862CE"/>
    <w:rsid w:val="001A4A91"/>
    <w:rsid w:val="001C1450"/>
    <w:rsid w:val="00223920"/>
    <w:rsid w:val="00252A11"/>
    <w:rsid w:val="0029357D"/>
    <w:rsid w:val="002A2856"/>
    <w:rsid w:val="003020A2"/>
    <w:rsid w:val="003038D3"/>
    <w:rsid w:val="00306565"/>
    <w:rsid w:val="003225CD"/>
    <w:rsid w:val="003C0800"/>
    <w:rsid w:val="003F70CA"/>
    <w:rsid w:val="004A25F0"/>
    <w:rsid w:val="004A4C93"/>
    <w:rsid w:val="004C4442"/>
    <w:rsid w:val="005151D8"/>
    <w:rsid w:val="00515546"/>
    <w:rsid w:val="005269E8"/>
    <w:rsid w:val="005638D0"/>
    <w:rsid w:val="005D1877"/>
    <w:rsid w:val="00633320"/>
    <w:rsid w:val="00691309"/>
    <w:rsid w:val="007067BE"/>
    <w:rsid w:val="00745A9C"/>
    <w:rsid w:val="007508EA"/>
    <w:rsid w:val="0075658B"/>
    <w:rsid w:val="007B26B1"/>
    <w:rsid w:val="007D1EE3"/>
    <w:rsid w:val="00857027"/>
    <w:rsid w:val="0088223E"/>
    <w:rsid w:val="00883DF9"/>
    <w:rsid w:val="009165E9"/>
    <w:rsid w:val="009325A7"/>
    <w:rsid w:val="00975A60"/>
    <w:rsid w:val="009956F9"/>
    <w:rsid w:val="009B44BE"/>
    <w:rsid w:val="009F5B1B"/>
    <w:rsid w:val="00A312D8"/>
    <w:rsid w:val="00A41080"/>
    <w:rsid w:val="00A818A4"/>
    <w:rsid w:val="00B31AC4"/>
    <w:rsid w:val="00B844E8"/>
    <w:rsid w:val="00B90093"/>
    <w:rsid w:val="00BD08AB"/>
    <w:rsid w:val="00C67021"/>
    <w:rsid w:val="00C92392"/>
    <w:rsid w:val="00C94E64"/>
    <w:rsid w:val="00CB355C"/>
    <w:rsid w:val="00CC3CF5"/>
    <w:rsid w:val="00CD4A1D"/>
    <w:rsid w:val="00D01639"/>
    <w:rsid w:val="00D03AB2"/>
    <w:rsid w:val="00D13825"/>
    <w:rsid w:val="00D74743"/>
    <w:rsid w:val="00DA20ED"/>
    <w:rsid w:val="00DC1CC5"/>
    <w:rsid w:val="00DC590C"/>
    <w:rsid w:val="00DE3D6D"/>
    <w:rsid w:val="00DF345F"/>
    <w:rsid w:val="00E11431"/>
    <w:rsid w:val="00E162DA"/>
    <w:rsid w:val="00E4541C"/>
    <w:rsid w:val="00E53AFE"/>
    <w:rsid w:val="00ED0937"/>
    <w:rsid w:val="00ED16C0"/>
    <w:rsid w:val="00ED34F5"/>
    <w:rsid w:val="00F03F25"/>
    <w:rsid w:val="00F07438"/>
    <w:rsid w:val="00F53968"/>
    <w:rsid w:val="00F71F11"/>
    <w:rsid w:val="00FC7BC9"/>
    <w:rsid w:val="00FD7557"/>
    <w:rsid w:val="00FE6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95FB0"/>
  <w15:docId w15:val="{412715C3-6542-4313-B46F-1A906BA7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94E64"/>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customStyle="1" w:styleId="nowrap">
    <w:name w:val="nowrap"/>
    <w:basedOn w:val="DefaultParagraphFont"/>
    <w:rsid w:val="00FC7BC9"/>
  </w:style>
  <w:style w:type="paragraph" w:customStyle="1" w:styleId="bulletindent1">
    <w:name w:val="bulletindent1"/>
    <w:basedOn w:val="Normal"/>
    <w:rsid w:val="00691309"/>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glyph">
    <w:name w:val="glyph"/>
    <w:basedOn w:val="DefaultParagraphFont"/>
    <w:rsid w:val="00691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929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418298/"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ice.org.uk/guidance/NG51/chapter/Recommendation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amanetwork.com/journals/jama/fullarticle/2681800"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14</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21</cp:revision>
  <cp:lastPrinted>2019-04-29T14:39:00Z</cp:lastPrinted>
  <dcterms:created xsi:type="dcterms:W3CDTF">2020-10-28T12:40:00Z</dcterms:created>
  <dcterms:modified xsi:type="dcterms:W3CDTF">2020-10-28T12:57:00Z</dcterms:modified>
</cp:coreProperties>
</file>