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9A8AF" w14:textId="4CBFC206" w:rsidR="001203AE" w:rsidRPr="003C0800" w:rsidRDefault="001133C3" w:rsidP="00504405">
      <w:pPr>
        <w:pStyle w:val="Heading1"/>
      </w:pPr>
      <w:bookmarkStart w:id="0" w:name="_GoBack"/>
      <w:bookmarkEnd w:id="0"/>
      <w:r>
        <w:t>Sinusitis</w:t>
      </w:r>
    </w:p>
    <w:p w14:paraId="62493D94" w14:textId="77777777" w:rsidR="00584E1E" w:rsidRPr="00F94418" w:rsidRDefault="00584E1E" w:rsidP="00584E1E">
      <w:pPr>
        <w:pStyle w:val="Heading2"/>
        <w:rPr>
          <w:rFonts w:cs="Arial"/>
          <w:i/>
          <w:szCs w:val="22"/>
        </w:rPr>
      </w:pPr>
      <w:r w:rsidRPr="00F94418">
        <w:rPr>
          <w:rFonts w:cs="Arial"/>
          <w:i/>
          <w:szCs w:val="22"/>
        </w:rPr>
        <w:t>Executive summary</w:t>
      </w:r>
    </w:p>
    <w:p w14:paraId="2ECC4849" w14:textId="77777777" w:rsidR="00584E1E" w:rsidRDefault="00584E1E" w:rsidP="00584E1E">
      <w:pPr>
        <w:pStyle w:val="Heading2"/>
        <w:rPr>
          <w:rFonts w:cs="Arial"/>
          <w:szCs w:val="22"/>
        </w:rPr>
      </w:pPr>
      <w:r w:rsidRPr="00DC590C">
        <w:rPr>
          <w:rFonts w:cs="Arial"/>
          <w:szCs w:val="22"/>
        </w:rPr>
        <w:t>Introduction</w:t>
      </w:r>
    </w:p>
    <w:p w14:paraId="7A515D0C" w14:textId="61AE67AD" w:rsidR="00226568" w:rsidRPr="00205762" w:rsidRDefault="00226568" w:rsidP="00226568">
      <w:pPr>
        <w:spacing w:before="120" w:after="240"/>
        <w:outlineLvl w:val="1"/>
        <w:rPr>
          <w:szCs w:val="22"/>
        </w:rPr>
      </w:pPr>
      <w:r w:rsidRPr="00205762">
        <w:rPr>
          <w:szCs w:val="22"/>
        </w:rPr>
        <w:t xml:space="preserve">Sinusitis is an acute inflammatory condition of one or more of the paranasal sinuses. Infection plays an important role in this affliction. Sinusitis often results from infections of other sites of the respiratory tract since the paranasal sinuses are contiguous to, and communicate with, the upper respiratory tract. Acute sinusitis is commonly viral but </w:t>
      </w:r>
      <w:r>
        <w:rPr>
          <w:szCs w:val="22"/>
        </w:rPr>
        <w:t xml:space="preserve">a </w:t>
      </w:r>
      <w:r w:rsidRPr="00205762">
        <w:rPr>
          <w:szCs w:val="22"/>
        </w:rPr>
        <w:t xml:space="preserve">bacterial </w:t>
      </w:r>
      <w:r>
        <w:rPr>
          <w:szCs w:val="22"/>
        </w:rPr>
        <w:t xml:space="preserve">cause is </w:t>
      </w:r>
      <w:r w:rsidRPr="00205762">
        <w:rPr>
          <w:szCs w:val="22"/>
        </w:rPr>
        <w:t>likely if it persists for 7-10 days or worsen</w:t>
      </w:r>
      <w:r>
        <w:rPr>
          <w:szCs w:val="22"/>
        </w:rPr>
        <w:t>s</w:t>
      </w:r>
      <w:r w:rsidRPr="00205762">
        <w:rPr>
          <w:szCs w:val="22"/>
        </w:rPr>
        <w:t xml:space="preserve"> within 10 days after initial relief.</w:t>
      </w:r>
    </w:p>
    <w:p w14:paraId="1E6B9317" w14:textId="13C4CCBE" w:rsidR="00226568" w:rsidRDefault="00226568" w:rsidP="00226568">
      <w:pPr>
        <w:spacing w:before="120" w:after="240"/>
        <w:outlineLvl w:val="1"/>
        <w:rPr>
          <w:szCs w:val="22"/>
        </w:rPr>
      </w:pPr>
      <w:r w:rsidRPr="00102F18">
        <w:rPr>
          <w:i/>
          <w:szCs w:val="22"/>
        </w:rPr>
        <w:t>Streptococcus pneumoniae</w:t>
      </w:r>
      <w:r w:rsidRPr="00205762">
        <w:rPr>
          <w:szCs w:val="22"/>
        </w:rPr>
        <w:t xml:space="preserve">, </w:t>
      </w:r>
      <w:proofErr w:type="spellStart"/>
      <w:r w:rsidRPr="00102F18">
        <w:rPr>
          <w:i/>
          <w:szCs w:val="22"/>
        </w:rPr>
        <w:t>Haemophilus</w:t>
      </w:r>
      <w:proofErr w:type="spellEnd"/>
      <w:r w:rsidRPr="00102F18">
        <w:rPr>
          <w:i/>
          <w:szCs w:val="22"/>
        </w:rPr>
        <w:t xml:space="preserve"> influenzae</w:t>
      </w:r>
      <w:r w:rsidRPr="00205762">
        <w:rPr>
          <w:szCs w:val="22"/>
        </w:rPr>
        <w:t xml:space="preserve">, and </w:t>
      </w:r>
      <w:r w:rsidRPr="00102F18">
        <w:rPr>
          <w:i/>
          <w:szCs w:val="22"/>
        </w:rPr>
        <w:t>Moraxella catarrhalis</w:t>
      </w:r>
      <w:r w:rsidRPr="00205762">
        <w:rPr>
          <w:szCs w:val="22"/>
        </w:rPr>
        <w:t xml:space="preserve"> are the commonest bacterial </w:t>
      </w:r>
      <w:proofErr w:type="spellStart"/>
      <w:r w:rsidRPr="00205762">
        <w:rPr>
          <w:szCs w:val="22"/>
        </w:rPr>
        <w:t>aetiology</w:t>
      </w:r>
      <w:proofErr w:type="spellEnd"/>
      <w:r w:rsidRPr="00205762">
        <w:rPr>
          <w:szCs w:val="22"/>
        </w:rPr>
        <w:t xml:space="preserve"> for acute sinusitis. Chronic sinusitis is commonly a mixed infection of aerobic and anaerobic organisms. </w:t>
      </w:r>
    </w:p>
    <w:p w14:paraId="54ABD055" w14:textId="77777777" w:rsidR="00226568" w:rsidRPr="00226568" w:rsidRDefault="00226568" w:rsidP="00226568">
      <w:pPr>
        <w:spacing w:before="120" w:after="240"/>
        <w:jc w:val="both"/>
        <w:outlineLvl w:val="1"/>
        <w:rPr>
          <w:szCs w:val="22"/>
        </w:rPr>
      </w:pPr>
      <w:r w:rsidRPr="00226568">
        <w:rPr>
          <w:szCs w:val="22"/>
        </w:rPr>
        <w:t>Sinusitis is classified as:</w:t>
      </w:r>
    </w:p>
    <w:p w14:paraId="5E643C39" w14:textId="77777777" w:rsidR="00226568" w:rsidRPr="00D94331" w:rsidRDefault="00226568" w:rsidP="00226568">
      <w:pPr>
        <w:pStyle w:val="ListParagraph"/>
        <w:numPr>
          <w:ilvl w:val="0"/>
          <w:numId w:val="30"/>
        </w:numPr>
        <w:spacing w:before="120" w:after="240"/>
        <w:outlineLvl w:val="1"/>
        <w:rPr>
          <w:szCs w:val="22"/>
        </w:rPr>
      </w:pPr>
      <w:r w:rsidRPr="00D94331">
        <w:rPr>
          <w:szCs w:val="22"/>
        </w:rPr>
        <w:t>Acute: an infection lasting 7-30 days.</w:t>
      </w:r>
    </w:p>
    <w:p w14:paraId="46672D66" w14:textId="77777777" w:rsidR="00226568" w:rsidRPr="00D94331" w:rsidRDefault="00226568" w:rsidP="00226568">
      <w:pPr>
        <w:pStyle w:val="ListParagraph"/>
        <w:numPr>
          <w:ilvl w:val="0"/>
          <w:numId w:val="30"/>
        </w:numPr>
        <w:spacing w:before="120" w:after="240"/>
        <w:outlineLvl w:val="1"/>
        <w:rPr>
          <w:szCs w:val="22"/>
        </w:rPr>
      </w:pPr>
      <w:r w:rsidRPr="00D94331">
        <w:rPr>
          <w:szCs w:val="22"/>
        </w:rPr>
        <w:t>Subacute: the inflammation lasts 4-12 weeks.</w:t>
      </w:r>
    </w:p>
    <w:p w14:paraId="7F4581F6" w14:textId="77777777" w:rsidR="00226568" w:rsidRPr="00D94331" w:rsidRDefault="00226568" w:rsidP="00226568">
      <w:pPr>
        <w:pStyle w:val="ListParagraph"/>
        <w:numPr>
          <w:ilvl w:val="0"/>
          <w:numId w:val="30"/>
        </w:numPr>
        <w:spacing w:before="120" w:after="240"/>
        <w:outlineLvl w:val="1"/>
        <w:rPr>
          <w:szCs w:val="22"/>
        </w:rPr>
      </w:pPr>
      <w:r w:rsidRPr="00D94331">
        <w:rPr>
          <w:szCs w:val="22"/>
        </w:rPr>
        <w:t>Recurring: there are &gt;3 significant acute episodes in a year lasting ≥10 days with no intervening symptoms.</w:t>
      </w:r>
    </w:p>
    <w:p w14:paraId="7FEF6186" w14:textId="65E2E31C" w:rsidR="00226568" w:rsidRPr="00226568" w:rsidRDefault="00226568" w:rsidP="00226568">
      <w:pPr>
        <w:pStyle w:val="ListParagraph"/>
        <w:numPr>
          <w:ilvl w:val="0"/>
          <w:numId w:val="30"/>
        </w:numPr>
        <w:spacing w:before="120" w:after="240"/>
        <w:outlineLvl w:val="1"/>
        <w:rPr>
          <w:szCs w:val="22"/>
        </w:rPr>
      </w:pPr>
      <w:r w:rsidRPr="00D94331">
        <w:rPr>
          <w:szCs w:val="22"/>
        </w:rPr>
        <w:t>Chronic: symptoms persist for &gt;90 days (these may be caused by irreversible changes in the mucosal lining of the sinuses), with or without acute exacerbations.</w:t>
      </w:r>
    </w:p>
    <w:p w14:paraId="3D98DB06" w14:textId="77777777" w:rsidR="00584E1E" w:rsidRDefault="00584E1E" w:rsidP="00226568">
      <w:pPr>
        <w:pStyle w:val="Heading2"/>
        <w:jc w:val="both"/>
        <w:rPr>
          <w:bCs/>
        </w:rPr>
      </w:pPr>
      <w:r w:rsidRPr="00612AEE">
        <w:t xml:space="preserve">Target </w:t>
      </w:r>
      <w:r>
        <w:t>u</w:t>
      </w:r>
      <w:r w:rsidRPr="00612AEE">
        <w:t>ser</w:t>
      </w:r>
      <w:r>
        <w:t>s</w:t>
      </w:r>
    </w:p>
    <w:p w14:paraId="2C1746C7" w14:textId="4A747504" w:rsidR="00584E1E" w:rsidRDefault="00226568" w:rsidP="00584E1E">
      <w:pPr>
        <w:pStyle w:val="ListParagraph"/>
        <w:numPr>
          <w:ilvl w:val="0"/>
          <w:numId w:val="29"/>
        </w:numPr>
      </w:pPr>
      <w:r>
        <w:t>Doctors</w:t>
      </w:r>
    </w:p>
    <w:p w14:paraId="140312B8" w14:textId="309F659E" w:rsidR="00584E1E" w:rsidRPr="00584E1E" w:rsidRDefault="00226568" w:rsidP="00584E1E">
      <w:pPr>
        <w:pStyle w:val="ListParagraph"/>
        <w:numPr>
          <w:ilvl w:val="0"/>
          <w:numId w:val="29"/>
        </w:numPr>
      </w:pPr>
      <w:r>
        <w:t>Nurses</w:t>
      </w:r>
    </w:p>
    <w:p w14:paraId="54F1C8D3" w14:textId="77777777" w:rsidR="00584E1E" w:rsidRDefault="00584E1E" w:rsidP="00504405">
      <w:pPr>
        <w:pStyle w:val="Heading2"/>
        <w:rPr>
          <w:bCs/>
        </w:rPr>
      </w:pPr>
      <w:r w:rsidRPr="00612AEE">
        <w:t xml:space="preserve">Target area of use </w:t>
      </w:r>
    </w:p>
    <w:p w14:paraId="5AB23864" w14:textId="46CD0A83" w:rsidR="00584E1E" w:rsidRDefault="00226568" w:rsidP="00584E1E">
      <w:pPr>
        <w:pStyle w:val="ListParagraph"/>
        <w:numPr>
          <w:ilvl w:val="0"/>
          <w:numId w:val="29"/>
        </w:numPr>
      </w:pPr>
      <w:r>
        <w:t>Gate clinic</w:t>
      </w:r>
    </w:p>
    <w:p w14:paraId="022A4A32" w14:textId="2E095D90" w:rsidR="00584E1E" w:rsidRDefault="00226568" w:rsidP="00584E1E">
      <w:pPr>
        <w:pStyle w:val="ListParagraph"/>
        <w:numPr>
          <w:ilvl w:val="0"/>
          <w:numId w:val="29"/>
        </w:numPr>
      </w:pPr>
      <w:r>
        <w:t>Outpatient department</w:t>
      </w:r>
    </w:p>
    <w:p w14:paraId="385717E8" w14:textId="7C724564" w:rsidR="00226568" w:rsidRPr="00584E1E" w:rsidRDefault="00226568" w:rsidP="00584E1E">
      <w:pPr>
        <w:pStyle w:val="ListParagraph"/>
        <w:numPr>
          <w:ilvl w:val="0"/>
          <w:numId w:val="29"/>
        </w:numPr>
      </w:pPr>
      <w:r>
        <w:t>Ward</w:t>
      </w:r>
    </w:p>
    <w:p w14:paraId="2B6D08ED"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10FC3EC0" w14:textId="3C75F1AA" w:rsidR="00584E1E" w:rsidRPr="00584E1E" w:rsidRDefault="00226568" w:rsidP="00504405">
      <w:pPr>
        <w:rPr>
          <w:b/>
        </w:rPr>
      </w:pPr>
      <w:proofErr w:type="gramStart"/>
      <w:r>
        <w:t>This guidelines</w:t>
      </w:r>
      <w:proofErr w:type="gramEnd"/>
      <w:r>
        <w:t xml:space="preserve"> addresses the diagnosis and management of sinusitis.</w:t>
      </w:r>
    </w:p>
    <w:p w14:paraId="37FFFD47" w14:textId="77777777" w:rsidR="00584E1E" w:rsidRDefault="00584E1E" w:rsidP="00504405">
      <w:pPr>
        <w:pStyle w:val="Heading2"/>
      </w:pPr>
      <w:r w:rsidRPr="00504405">
        <w:t>Limitations</w:t>
      </w:r>
    </w:p>
    <w:p w14:paraId="72A4691A" w14:textId="1F09224F" w:rsidR="00584E1E" w:rsidRPr="00504405" w:rsidRDefault="00226568" w:rsidP="00584E1E">
      <w:pPr>
        <w:rPr>
          <w:b/>
        </w:rPr>
      </w:pPr>
      <w:r>
        <w:t>None</w:t>
      </w:r>
    </w:p>
    <w:p w14:paraId="28610242" w14:textId="77777777" w:rsidR="00584E1E" w:rsidRDefault="00584E1E">
      <w:pPr>
        <w:spacing w:after="0"/>
        <w:outlineLvl w:val="9"/>
        <w:rPr>
          <w:b/>
          <w:sz w:val="24"/>
          <w:szCs w:val="22"/>
        </w:rPr>
      </w:pPr>
      <w:r>
        <w:rPr>
          <w:szCs w:val="22"/>
        </w:rPr>
        <w:br w:type="page"/>
      </w:r>
    </w:p>
    <w:p w14:paraId="5B50BBBE" w14:textId="433F611C" w:rsidR="00226568" w:rsidRDefault="00226568" w:rsidP="00226568">
      <w:pPr>
        <w:spacing w:before="120" w:after="240"/>
        <w:jc w:val="both"/>
        <w:outlineLvl w:val="1"/>
        <w:rPr>
          <w:b/>
          <w:sz w:val="24"/>
          <w:szCs w:val="22"/>
        </w:rPr>
      </w:pPr>
      <w:r w:rsidRPr="00205762">
        <w:rPr>
          <w:b/>
          <w:sz w:val="24"/>
          <w:szCs w:val="22"/>
        </w:rPr>
        <w:lastRenderedPageBreak/>
        <w:t>Presenting symptoms and signs</w:t>
      </w:r>
    </w:p>
    <w:p w14:paraId="671BA7FA"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 xml:space="preserve">The maxillary and ethmoid sinuses are most commonly involved in sinusitis. The frontal sinuses are less often involved and the sphenoid sinuses are rarely affected. </w:t>
      </w:r>
    </w:p>
    <w:p w14:paraId="2B0806AD"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 xml:space="preserve">Facial pain, sensation of pressure and tenderness over the affected sinus are present. </w:t>
      </w:r>
    </w:p>
    <w:p w14:paraId="6DF4E10E"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Purulent nasal discharge</w:t>
      </w:r>
    </w:p>
    <w:p w14:paraId="666AB77E"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Fever, fatigue and headache</w:t>
      </w:r>
    </w:p>
    <w:p w14:paraId="270E3BB6"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 xml:space="preserve">Postnasal discharge </w:t>
      </w:r>
    </w:p>
    <w:p w14:paraId="68156DE9"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Persistent coughing</w:t>
      </w:r>
    </w:p>
    <w:p w14:paraId="192677B6"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Hyposmia or anosmia</w:t>
      </w:r>
    </w:p>
    <w:p w14:paraId="73CB4274"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Ear pressure or fullness</w:t>
      </w:r>
    </w:p>
    <w:p w14:paraId="57C144F7" w14:textId="77777777" w:rsidR="00226568" w:rsidRPr="00D94331" w:rsidRDefault="00226568" w:rsidP="00226568">
      <w:pPr>
        <w:pStyle w:val="ListParagraph"/>
        <w:numPr>
          <w:ilvl w:val="0"/>
          <w:numId w:val="31"/>
        </w:numPr>
        <w:spacing w:before="120" w:after="240"/>
        <w:jc w:val="both"/>
        <w:outlineLvl w:val="1"/>
        <w:rPr>
          <w:szCs w:val="22"/>
        </w:rPr>
      </w:pPr>
      <w:r w:rsidRPr="00D94331">
        <w:rPr>
          <w:szCs w:val="22"/>
        </w:rPr>
        <w:t>Halitosis</w:t>
      </w:r>
    </w:p>
    <w:p w14:paraId="2C7F9611" w14:textId="717D3707" w:rsidR="00226568" w:rsidRDefault="00226568" w:rsidP="00226568">
      <w:pPr>
        <w:pStyle w:val="ListParagraph"/>
        <w:numPr>
          <w:ilvl w:val="0"/>
          <w:numId w:val="31"/>
        </w:numPr>
        <w:spacing w:before="120" w:after="240"/>
        <w:jc w:val="both"/>
        <w:outlineLvl w:val="1"/>
        <w:rPr>
          <w:szCs w:val="22"/>
        </w:rPr>
      </w:pPr>
      <w:r w:rsidRPr="00D94331">
        <w:rPr>
          <w:szCs w:val="22"/>
        </w:rPr>
        <w:t>Maxillary dental pain</w:t>
      </w:r>
    </w:p>
    <w:p w14:paraId="7F2A2B0A" w14:textId="77777777" w:rsidR="00226568" w:rsidRPr="00226568" w:rsidRDefault="00226568" w:rsidP="00226568">
      <w:pPr>
        <w:pStyle w:val="Heading3"/>
      </w:pPr>
      <w:r w:rsidRPr="00226568">
        <w:t>Sinusitis in children</w:t>
      </w:r>
    </w:p>
    <w:p w14:paraId="6BB4E8CC" w14:textId="37F90098" w:rsidR="00226568" w:rsidRPr="00226568" w:rsidRDefault="00226568" w:rsidP="00226568">
      <w:pPr>
        <w:spacing w:before="120" w:after="240"/>
        <w:outlineLvl w:val="1"/>
        <w:rPr>
          <w:b/>
          <w:szCs w:val="22"/>
        </w:rPr>
      </w:pPr>
      <w:r w:rsidRPr="00226568">
        <w:rPr>
          <w:szCs w:val="22"/>
        </w:rPr>
        <w:t xml:space="preserve">There is some controversy as to whether this diagnosis can be made in young children who have very poorly developed sinuses - radiographic evidence of sinuses is only visible from about 9 years of age. Current consensus is that it can occur in children over the age of 1 year. Symptoms may vary a little from those of adults and can include </w:t>
      </w:r>
      <w:r w:rsidRPr="00226568">
        <w:rPr>
          <w:b/>
          <w:szCs w:val="22"/>
        </w:rPr>
        <w:t xml:space="preserve">irritability, lethargy, snoring, mouth breathing, feeding difficulty and </w:t>
      </w:r>
      <w:proofErr w:type="spellStart"/>
      <w:r w:rsidRPr="00226568">
        <w:rPr>
          <w:b/>
          <w:szCs w:val="22"/>
        </w:rPr>
        <w:t>hyponasal</w:t>
      </w:r>
      <w:proofErr w:type="spellEnd"/>
      <w:r w:rsidRPr="00226568">
        <w:rPr>
          <w:b/>
          <w:szCs w:val="22"/>
        </w:rPr>
        <w:t xml:space="preserve"> speech.</w:t>
      </w:r>
    </w:p>
    <w:p w14:paraId="35ACD7F4" w14:textId="77777777" w:rsidR="00226568" w:rsidRDefault="00226568" w:rsidP="00226568">
      <w:pPr>
        <w:spacing w:before="120" w:after="240"/>
        <w:jc w:val="both"/>
        <w:outlineLvl w:val="1"/>
        <w:rPr>
          <w:b/>
          <w:sz w:val="24"/>
          <w:szCs w:val="22"/>
        </w:rPr>
      </w:pPr>
      <w:r w:rsidRPr="00205762">
        <w:rPr>
          <w:b/>
          <w:sz w:val="24"/>
          <w:szCs w:val="22"/>
        </w:rPr>
        <w:t>Examination findings</w:t>
      </w:r>
    </w:p>
    <w:p w14:paraId="42E573F2" w14:textId="5EDA7674" w:rsidR="00226568" w:rsidRPr="00D94331" w:rsidRDefault="00226568" w:rsidP="00226568">
      <w:pPr>
        <w:jc w:val="both"/>
        <w:rPr>
          <w:rFonts w:asciiTheme="minorHAnsi" w:hAnsiTheme="minorHAnsi"/>
          <w:szCs w:val="22"/>
          <w:lang w:val="en-GB"/>
        </w:rPr>
      </w:pPr>
      <w:r>
        <w:rPr>
          <w:szCs w:val="22"/>
        </w:rPr>
        <w:t>T</w:t>
      </w:r>
      <w:r w:rsidRPr="00D94331">
        <w:rPr>
          <w:szCs w:val="22"/>
        </w:rPr>
        <w:t>he most helpful examination technique is simple palpation, as this is quick and easy to perform. Percussion and transillumination are also described although these are not reliable.</w:t>
      </w:r>
    </w:p>
    <w:p w14:paraId="00FE5F09" w14:textId="77777777" w:rsidR="00226568" w:rsidRPr="00F40B02" w:rsidRDefault="00226568" w:rsidP="00226568">
      <w:pPr>
        <w:spacing w:after="160" w:line="256" w:lineRule="auto"/>
        <w:jc w:val="both"/>
        <w:outlineLvl w:val="9"/>
        <w:rPr>
          <w:szCs w:val="22"/>
        </w:rPr>
      </w:pPr>
      <w:r w:rsidRPr="00F40B02">
        <w:rPr>
          <w:szCs w:val="22"/>
        </w:rPr>
        <w:t>All but the sphenoidal sinuses can be palpated for tenderness:</w:t>
      </w:r>
    </w:p>
    <w:p w14:paraId="39909FA1" w14:textId="77777777" w:rsidR="00226568" w:rsidRPr="00226568" w:rsidRDefault="00226568" w:rsidP="00226568">
      <w:pPr>
        <w:pStyle w:val="ListParagraph"/>
        <w:numPr>
          <w:ilvl w:val="0"/>
          <w:numId w:val="37"/>
        </w:numPr>
        <w:spacing w:after="160" w:line="256" w:lineRule="auto"/>
        <w:outlineLvl w:val="9"/>
        <w:rPr>
          <w:szCs w:val="22"/>
        </w:rPr>
      </w:pPr>
      <w:r w:rsidRPr="00226568">
        <w:rPr>
          <w:b/>
          <w:szCs w:val="22"/>
        </w:rPr>
        <w:t>Frontal sinus</w:t>
      </w:r>
      <w:r w:rsidRPr="00226568">
        <w:rPr>
          <w:szCs w:val="22"/>
        </w:rPr>
        <w:t xml:space="preserve"> - press upward beneath the medial side of the supraorbital ridge.</w:t>
      </w:r>
    </w:p>
    <w:p w14:paraId="7C48C8A4" w14:textId="77777777" w:rsidR="00226568" w:rsidRPr="00226568" w:rsidRDefault="00226568" w:rsidP="00226568">
      <w:pPr>
        <w:pStyle w:val="ListParagraph"/>
        <w:numPr>
          <w:ilvl w:val="0"/>
          <w:numId w:val="37"/>
        </w:numPr>
        <w:spacing w:after="160" w:line="256" w:lineRule="auto"/>
        <w:outlineLvl w:val="9"/>
        <w:rPr>
          <w:szCs w:val="22"/>
        </w:rPr>
      </w:pPr>
      <w:r w:rsidRPr="00226568">
        <w:rPr>
          <w:b/>
          <w:szCs w:val="22"/>
        </w:rPr>
        <w:t>Maxillary sinus</w:t>
      </w:r>
      <w:r w:rsidRPr="00226568">
        <w:rPr>
          <w:szCs w:val="22"/>
        </w:rPr>
        <w:t xml:space="preserve"> - press against the anterior wall, below the inferior orbital margin.</w:t>
      </w:r>
    </w:p>
    <w:p w14:paraId="0F462920" w14:textId="77777777" w:rsidR="00226568" w:rsidRPr="00226568" w:rsidRDefault="00226568" w:rsidP="00226568">
      <w:pPr>
        <w:pStyle w:val="ListParagraph"/>
        <w:numPr>
          <w:ilvl w:val="0"/>
          <w:numId w:val="37"/>
        </w:numPr>
        <w:spacing w:after="160" w:line="256" w:lineRule="auto"/>
        <w:outlineLvl w:val="9"/>
        <w:rPr>
          <w:szCs w:val="22"/>
        </w:rPr>
      </w:pPr>
      <w:r w:rsidRPr="00226568">
        <w:rPr>
          <w:b/>
          <w:szCs w:val="22"/>
        </w:rPr>
        <w:t>Ethmoidal sinus</w:t>
      </w:r>
      <w:r w:rsidRPr="00226568">
        <w:rPr>
          <w:szCs w:val="22"/>
        </w:rPr>
        <w:t xml:space="preserve"> - press medially against the medial wall of the orbit.</w:t>
      </w:r>
    </w:p>
    <w:p w14:paraId="11A479AF" w14:textId="5B74D44E" w:rsidR="00226568" w:rsidRPr="00D94331" w:rsidRDefault="00226568" w:rsidP="00226568">
      <w:pPr>
        <w:jc w:val="both"/>
        <w:rPr>
          <w:szCs w:val="22"/>
        </w:rPr>
      </w:pPr>
      <w:r w:rsidRPr="00D94331">
        <w:rPr>
          <w:szCs w:val="22"/>
        </w:rPr>
        <w:t>Other examination findings include</w:t>
      </w:r>
    </w:p>
    <w:p w14:paraId="6DDCE5DE" w14:textId="77777777" w:rsidR="00226568" w:rsidRPr="00226568" w:rsidRDefault="00226568" w:rsidP="00226568">
      <w:pPr>
        <w:pStyle w:val="ListParagraph"/>
        <w:numPr>
          <w:ilvl w:val="0"/>
          <w:numId w:val="38"/>
        </w:numPr>
        <w:spacing w:after="160" w:line="256" w:lineRule="auto"/>
        <w:jc w:val="both"/>
        <w:outlineLvl w:val="9"/>
        <w:rPr>
          <w:szCs w:val="22"/>
        </w:rPr>
      </w:pPr>
      <w:proofErr w:type="spellStart"/>
      <w:r w:rsidRPr="00226568">
        <w:rPr>
          <w:szCs w:val="22"/>
        </w:rPr>
        <w:t>Oedematous</w:t>
      </w:r>
      <w:proofErr w:type="spellEnd"/>
      <w:r w:rsidRPr="00226568">
        <w:rPr>
          <w:szCs w:val="22"/>
        </w:rPr>
        <w:t xml:space="preserve"> and </w:t>
      </w:r>
      <w:proofErr w:type="spellStart"/>
      <w:r w:rsidRPr="00226568">
        <w:rPr>
          <w:szCs w:val="22"/>
        </w:rPr>
        <w:t>hyperaemic</w:t>
      </w:r>
      <w:proofErr w:type="spellEnd"/>
      <w:r w:rsidRPr="00226568">
        <w:rPr>
          <w:szCs w:val="22"/>
        </w:rPr>
        <w:t xml:space="preserve"> nasal mucosa</w:t>
      </w:r>
    </w:p>
    <w:p w14:paraId="4E6B77CC" w14:textId="77777777" w:rsidR="00226568" w:rsidRPr="00226568" w:rsidRDefault="00226568" w:rsidP="00226568">
      <w:pPr>
        <w:pStyle w:val="ListParagraph"/>
        <w:numPr>
          <w:ilvl w:val="0"/>
          <w:numId w:val="38"/>
        </w:numPr>
        <w:spacing w:after="160" w:line="256" w:lineRule="auto"/>
        <w:jc w:val="both"/>
        <w:outlineLvl w:val="9"/>
        <w:rPr>
          <w:szCs w:val="22"/>
        </w:rPr>
      </w:pPr>
      <w:r w:rsidRPr="00226568">
        <w:rPr>
          <w:szCs w:val="22"/>
        </w:rPr>
        <w:t>Purulent nasal secretions</w:t>
      </w:r>
    </w:p>
    <w:p w14:paraId="0BDFBA95" w14:textId="77777777" w:rsidR="00226568" w:rsidRPr="00226568" w:rsidRDefault="00226568" w:rsidP="00226568">
      <w:pPr>
        <w:pStyle w:val="ListParagraph"/>
        <w:numPr>
          <w:ilvl w:val="0"/>
          <w:numId w:val="38"/>
        </w:numPr>
        <w:spacing w:after="160" w:line="256" w:lineRule="auto"/>
        <w:jc w:val="both"/>
        <w:outlineLvl w:val="9"/>
        <w:rPr>
          <w:szCs w:val="22"/>
        </w:rPr>
      </w:pPr>
      <w:r w:rsidRPr="00226568">
        <w:rPr>
          <w:szCs w:val="22"/>
        </w:rPr>
        <w:t>Purulent posterior pharyngeal secretions</w:t>
      </w:r>
    </w:p>
    <w:p w14:paraId="2105A811" w14:textId="77777777" w:rsidR="00226568" w:rsidRPr="00226568" w:rsidRDefault="00226568" w:rsidP="00226568">
      <w:pPr>
        <w:pStyle w:val="ListParagraph"/>
        <w:numPr>
          <w:ilvl w:val="0"/>
          <w:numId w:val="38"/>
        </w:numPr>
        <w:spacing w:after="160" w:line="256" w:lineRule="auto"/>
        <w:jc w:val="both"/>
        <w:outlineLvl w:val="9"/>
        <w:rPr>
          <w:szCs w:val="22"/>
        </w:rPr>
      </w:pPr>
      <w:r w:rsidRPr="00226568">
        <w:rPr>
          <w:szCs w:val="22"/>
        </w:rPr>
        <w:t xml:space="preserve">Periorbital </w:t>
      </w:r>
      <w:proofErr w:type="spellStart"/>
      <w:r w:rsidRPr="00226568">
        <w:rPr>
          <w:szCs w:val="22"/>
        </w:rPr>
        <w:t>oedema</w:t>
      </w:r>
      <w:proofErr w:type="spellEnd"/>
    </w:p>
    <w:p w14:paraId="710D6805" w14:textId="77777777" w:rsidR="00226568" w:rsidRPr="00226568" w:rsidRDefault="00226568" w:rsidP="00226568">
      <w:pPr>
        <w:pStyle w:val="ListParagraph"/>
        <w:numPr>
          <w:ilvl w:val="0"/>
          <w:numId w:val="38"/>
        </w:numPr>
        <w:spacing w:after="160" w:line="256" w:lineRule="auto"/>
        <w:jc w:val="both"/>
        <w:outlineLvl w:val="9"/>
        <w:rPr>
          <w:szCs w:val="22"/>
        </w:rPr>
      </w:pPr>
      <w:r w:rsidRPr="00226568">
        <w:rPr>
          <w:szCs w:val="22"/>
        </w:rPr>
        <w:t>Air-fluid levels on transillumination of the sinuses</w:t>
      </w:r>
    </w:p>
    <w:p w14:paraId="5F47DFC5" w14:textId="77777777" w:rsidR="001133C3" w:rsidRDefault="001133C3">
      <w:pPr>
        <w:spacing w:after="0"/>
        <w:outlineLvl w:val="9"/>
        <w:rPr>
          <w:rFonts w:cs="Times New Roman"/>
          <w:b/>
          <w:sz w:val="24"/>
          <w:szCs w:val="28"/>
        </w:rPr>
      </w:pPr>
      <w:r>
        <w:br w:type="page"/>
      </w:r>
    </w:p>
    <w:p w14:paraId="3693CAEA" w14:textId="04662FE4" w:rsidR="00226568" w:rsidRDefault="00226568" w:rsidP="00226568">
      <w:pPr>
        <w:pStyle w:val="Heading2"/>
      </w:pPr>
      <w:r>
        <w:lastRenderedPageBreak/>
        <w:t>Investigations</w:t>
      </w:r>
    </w:p>
    <w:p w14:paraId="21B266AA" w14:textId="0AF31719" w:rsidR="00226568" w:rsidRPr="00D94331" w:rsidRDefault="00226568" w:rsidP="00226568">
      <w:pPr>
        <w:jc w:val="both"/>
        <w:rPr>
          <w:szCs w:val="22"/>
        </w:rPr>
      </w:pPr>
      <w:r w:rsidRPr="00D94331">
        <w:rPr>
          <w:szCs w:val="22"/>
        </w:rPr>
        <w:t xml:space="preserve">Diagnosis is clinical. Investigations are not necessary </w:t>
      </w:r>
      <w:r>
        <w:rPr>
          <w:szCs w:val="22"/>
        </w:rPr>
        <w:t xml:space="preserve">but may be </w:t>
      </w:r>
      <w:r w:rsidRPr="00D94331">
        <w:rPr>
          <w:szCs w:val="22"/>
        </w:rPr>
        <w:t xml:space="preserve">done in the case of diagnostic uncertainty. </w:t>
      </w:r>
    </w:p>
    <w:p w14:paraId="5EDC3132" w14:textId="1BB451B0" w:rsidR="00226568" w:rsidRPr="00D94331" w:rsidRDefault="00226568" w:rsidP="00226568">
      <w:pPr>
        <w:jc w:val="both"/>
        <w:rPr>
          <w:rFonts w:asciiTheme="minorHAnsi" w:hAnsiTheme="minorHAnsi"/>
          <w:szCs w:val="22"/>
          <w:lang w:val="en-GB"/>
        </w:rPr>
      </w:pPr>
      <w:r>
        <w:rPr>
          <w:b/>
          <w:szCs w:val="22"/>
        </w:rPr>
        <w:t>X-ray findings</w:t>
      </w:r>
      <w:r w:rsidRPr="00D94331">
        <w:rPr>
          <w:szCs w:val="22"/>
        </w:rPr>
        <w:t>: Thickening of the sinus mucosa and a fluid level are usually seen in x-ray films or magnetic resonance imaging. X</w:t>
      </w:r>
      <w:r>
        <w:rPr>
          <w:szCs w:val="22"/>
        </w:rPr>
        <w:t>-</w:t>
      </w:r>
      <w:r w:rsidRPr="00D94331">
        <w:rPr>
          <w:szCs w:val="22"/>
        </w:rPr>
        <w:t xml:space="preserve">rays </w:t>
      </w:r>
      <w:r>
        <w:rPr>
          <w:szCs w:val="22"/>
        </w:rPr>
        <w:t xml:space="preserve">are </w:t>
      </w:r>
      <w:r w:rsidRPr="00D94331">
        <w:rPr>
          <w:szCs w:val="22"/>
        </w:rPr>
        <w:t>not needed to make a diagnosis.</w:t>
      </w:r>
    </w:p>
    <w:p w14:paraId="4058423A" w14:textId="77777777" w:rsidR="00226568" w:rsidRPr="00D94331" w:rsidRDefault="00226568" w:rsidP="00226568">
      <w:pPr>
        <w:jc w:val="both"/>
        <w:rPr>
          <w:szCs w:val="22"/>
        </w:rPr>
      </w:pPr>
      <w:r w:rsidRPr="00D94331">
        <w:rPr>
          <w:szCs w:val="22"/>
        </w:rPr>
        <w:t>Diagnosis of acute bacterial sinusitis should be suspected if</w:t>
      </w:r>
    </w:p>
    <w:p w14:paraId="14F1769A" w14:textId="77777777" w:rsidR="00226568" w:rsidRPr="00D94331" w:rsidRDefault="00226568" w:rsidP="00226568">
      <w:pPr>
        <w:pStyle w:val="ListParagraph"/>
        <w:numPr>
          <w:ilvl w:val="0"/>
          <w:numId w:val="34"/>
        </w:numPr>
        <w:spacing w:after="160" w:line="256" w:lineRule="auto"/>
        <w:jc w:val="both"/>
        <w:outlineLvl w:val="9"/>
        <w:rPr>
          <w:szCs w:val="22"/>
        </w:rPr>
      </w:pPr>
      <w:r w:rsidRPr="00D94331">
        <w:rPr>
          <w:szCs w:val="22"/>
        </w:rPr>
        <w:t>Presence of symptoms or signs for 10 days or more</w:t>
      </w:r>
    </w:p>
    <w:p w14:paraId="0E5FA905" w14:textId="6FAE8D13" w:rsidR="00226568" w:rsidRPr="00D94331" w:rsidRDefault="00226568" w:rsidP="00226568">
      <w:pPr>
        <w:pStyle w:val="ListParagraph"/>
        <w:numPr>
          <w:ilvl w:val="0"/>
          <w:numId w:val="34"/>
        </w:numPr>
        <w:spacing w:after="160" w:line="256" w:lineRule="auto"/>
        <w:jc w:val="both"/>
        <w:outlineLvl w:val="9"/>
        <w:rPr>
          <w:szCs w:val="22"/>
        </w:rPr>
      </w:pPr>
      <w:r w:rsidRPr="00D94331">
        <w:rPr>
          <w:szCs w:val="22"/>
        </w:rPr>
        <w:t>Worsening of symptoms or signs after an initial improvement</w:t>
      </w:r>
      <w:r>
        <w:rPr>
          <w:szCs w:val="22"/>
        </w:rPr>
        <w:t>.</w:t>
      </w:r>
    </w:p>
    <w:p w14:paraId="06E3EBB4" w14:textId="77777777" w:rsidR="00226568" w:rsidRDefault="00226568" w:rsidP="00226568">
      <w:pPr>
        <w:pStyle w:val="Heading2"/>
      </w:pPr>
      <w:r w:rsidRPr="00205762">
        <w:t xml:space="preserve">Management </w:t>
      </w:r>
    </w:p>
    <w:p w14:paraId="70D6056B" w14:textId="61A0D703" w:rsidR="00226568" w:rsidRPr="00F40B02" w:rsidRDefault="00226568" w:rsidP="00226568">
      <w:pPr>
        <w:pStyle w:val="ListParagraph"/>
        <w:numPr>
          <w:ilvl w:val="0"/>
          <w:numId w:val="24"/>
        </w:numPr>
        <w:spacing w:after="160" w:line="256" w:lineRule="auto"/>
        <w:jc w:val="both"/>
        <w:outlineLvl w:val="9"/>
        <w:rPr>
          <w:rFonts w:asciiTheme="minorHAnsi" w:hAnsiTheme="minorHAnsi"/>
          <w:szCs w:val="22"/>
          <w:lang w:val="en-GB"/>
        </w:rPr>
      </w:pPr>
      <w:r w:rsidRPr="00F40B02">
        <w:rPr>
          <w:szCs w:val="22"/>
        </w:rPr>
        <w:t>Paracetamol (1</w:t>
      </w:r>
      <w:r>
        <w:rPr>
          <w:szCs w:val="22"/>
        </w:rPr>
        <w:t xml:space="preserve"> </w:t>
      </w:r>
      <w:r w:rsidRPr="00F40B02">
        <w:rPr>
          <w:szCs w:val="22"/>
        </w:rPr>
        <w:t>g TDS/QDS)</w:t>
      </w:r>
      <w:r>
        <w:rPr>
          <w:szCs w:val="22"/>
        </w:rPr>
        <w:t xml:space="preserve"> or </w:t>
      </w:r>
      <w:r w:rsidRPr="00F40B02">
        <w:rPr>
          <w:szCs w:val="22"/>
        </w:rPr>
        <w:t>ibuprofen (200-600</w:t>
      </w:r>
      <w:r>
        <w:rPr>
          <w:szCs w:val="22"/>
        </w:rPr>
        <w:t xml:space="preserve"> </w:t>
      </w:r>
      <w:r w:rsidRPr="00F40B02">
        <w:rPr>
          <w:szCs w:val="22"/>
        </w:rPr>
        <w:t>mg TDS) for pain/fever.</w:t>
      </w:r>
    </w:p>
    <w:p w14:paraId="5D9AE071" w14:textId="77777777" w:rsidR="00226568" w:rsidRPr="00F40B02" w:rsidRDefault="00226568" w:rsidP="00226568">
      <w:pPr>
        <w:pStyle w:val="ListParagraph"/>
        <w:numPr>
          <w:ilvl w:val="0"/>
          <w:numId w:val="24"/>
        </w:numPr>
        <w:spacing w:after="160" w:line="256" w:lineRule="auto"/>
        <w:jc w:val="both"/>
        <w:outlineLvl w:val="9"/>
        <w:rPr>
          <w:szCs w:val="22"/>
        </w:rPr>
      </w:pPr>
      <w:r w:rsidRPr="00F40B02">
        <w:rPr>
          <w:szCs w:val="22"/>
        </w:rPr>
        <w:t>Intranasal decongestant (oral is not recommended for sinusitis) for a maximum of a week.</w:t>
      </w:r>
    </w:p>
    <w:p w14:paraId="19A13196" w14:textId="77777777" w:rsidR="00226568" w:rsidRPr="00F40B02" w:rsidRDefault="00226568" w:rsidP="00226568">
      <w:pPr>
        <w:pStyle w:val="ListParagraph"/>
        <w:numPr>
          <w:ilvl w:val="0"/>
          <w:numId w:val="24"/>
        </w:numPr>
        <w:spacing w:after="160" w:line="256" w:lineRule="auto"/>
        <w:jc w:val="both"/>
        <w:outlineLvl w:val="9"/>
        <w:rPr>
          <w:szCs w:val="22"/>
        </w:rPr>
      </w:pPr>
      <w:r w:rsidRPr="00F40B02">
        <w:rPr>
          <w:szCs w:val="22"/>
        </w:rPr>
        <w:t>Nasal irrigation with warm saline solution.</w:t>
      </w:r>
    </w:p>
    <w:p w14:paraId="57F7F57F" w14:textId="77777777" w:rsidR="00226568" w:rsidRPr="00F40B02" w:rsidRDefault="00226568" w:rsidP="00226568">
      <w:pPr>
        <w:pStyle w:val="ListParagraph"/>
        <w:numPr>
          <w:ilvl w:val="0"/>
          <w:numId w:val="24"/>
        </w:numPr>
        <w:spacing w:after="160" w:line="256" w:lineRule="auto"/>
        <w:jc w:val="both"/>
        <w:outlineLvl w:val="9"/>
        <w:rPr>
          <w:szCs w:val="22"/>
        </w:rPr>
      </w:pPr>
      <w:r>
        <w:rPr>
          <w:szCs w:val="22"/>
        </w:rPr>
        <w:t xml:space="preserve">Warm face packs </w:t>
      </w:r>
      <w:r w:rsidRPr="00F40B02">
        <w:rPr>
          <w:szCs w:val="22"/>
        </w:rPr>
        <w:t xml:space="preserve">may provide </w:t>
      </w:r>
      <w:proofErr w:type="spellStart"/>
      <w:r w:rsidRPr="00F40B02">
        <w:rPr>
          <w:szCs w:val="22"/>
        </w:rPr>
        <w:t>localised</w:t>
      </w:r>
      <w:proofErr w:type="spellEnd"/>
      <w:r w:rsidRPr="00F40B02">
        <w:rPr>
          <w:szCs w:val="22"/>
        </w:rPr>
        <w:t xml:space="preserve"> pain relief.</w:t>
      </w:r>
    </w:p>
    <w:p w14:paraId="5E91F734" w14:textId="77777777" w:rsidR="00226568" w:rsidRPr="00F40B02" w:rsidRDefault="00226568" w:rsidP="00226568">
      <w:pPr>
        <w:pStyle w:val="ListParagraph"/>
        <w:numPr>
          <w:ilvl w:val="0"/>
          <w:numId w:val="24"/>
        </w:numPr>
        <w:spacing w:after="160" w:line="256" w:lineRule="auto"/>
        <w:jc w:val="both"/>
        <w:outlineLvl w:val="9"/>
        <w:rPr>
          <w:szCs w:val="22"/>
        </w:rPr>
      </w:pPr>
      <w:r w:rsidRPr="00F40B02">
        <w:rPr>
          <w:szCs w:val="22"/>
        </w:rPr>
        <w:t>Adequate fluids and rest.</w:t>
      </w:r>
    </w:p>
    <w:p w14:paraId="20C57F94" w14:textId="77777777" w:rsidR="00226568" w:rsidRPr="00102F18" w:rsidRDefault="00226568" w:rsidP="00226568">
      <w:pPr>
        <w:pStyle w:val="ListParagraph"/>
        <w:numPr>
          <w:ilvl w:val="0"/>
          <w:numId w:val="24"/>
        </w:numPr>
        <w:spacing w:after="160" w:line="256" w:lineRule="auto"/>
        <w:jc w:val="both"/>
        <w:outlineLvl w:val="9"/>
        <w:rPr>
          <w:szCs w:val="22"/>
        </w:rPr>
      </w:pPr>
      <w:r w:rsidRPr="00F40B02">
        <w:rPr>
          <w:szCs w:val="22"/>
        </w:rPr>
        <w:t>Antibiotics: for suspected bacterial sinusitis</w:t>
      </w:r>
    </w:p>
    <w:tbl>
      <w:tblPr>
        <w:tblStyle w:val="TableGrid"/>
        <w:tblpPr w:leftFromText="180" w:rightFromText="180" w:vertAnchor="text" w:tblpY="114"/>
        <w:tblW w:w="8784" w:type="dxa"/>
        <w:tblLook w:val="04A0" w:firstRow="1" w:lastRow="0" w:firstColumn="1" w:lastColumn="0" w:noHBand="0" w:noVBand="1"/>
      </w:tblPr>
      <w:tblGrid>
        <w:gridCol w:w="2689"/>
        <w:gridCol w:w="6095"/>
      </w:tblGrid>
      <w:tr w:rsidR="00226568" w:rsidRPr="00226568" w14:paraId="28E13F44" w14:textId="77777777" w:rsidTr="00226568">
        <w:tc>
          <w:tcPr>
            <w:tcW w:w="2689" w:type="dxa"/>
            <w:tcBorders>
              <w:top w:val="single" w:sz="4" w:space="0" w:color="auto"/>
              <w:left w:val="single" w:sz="4" w:space="0" w:color="auto"/>
              <w:bottom w:val="single" w:sz="4" w:space="0" w:color="auto"/>
              <w:right w:val="single" w:sz="4" w:space="0" w:color="auto"/>
            </w:tcBorders>
          </w:tcPr>
          <w:p w14:paraId="6EE4913A" w14:textId="0D9D36CA" w:rsidR="00226568" w:rsidRPr="00226568" w:rsidRDefault="00226568" w:rsidP="004F1028">
            <w:pPr>
              <w:spacing w:after="0"/>
              <w:jc w:val="both"/>
              <w:rPr>
                <w:b/>
                <w:szCs w:val="22"/>
              </w:rPr>
            </w:pPr>
            <w:r w:rsidRPr="00226568">
              <w:rPr>
                <w:b/>
                <w:szCs w:val="22"/>
              </w:rPr>
              <w:t>1</w:t>
            </w:r>
            <w:r w:rsidRPr="00226568">
              <w:rPr>
                <w:b/>
                <w:szCs w:val="22"/>
                <w:vertAlign w:val="superscript"/>
              </w:rPr>
              <w:t>st</w:t>
            </w:r>
            <w:r w:rsidRPr="00226568">
              <w:rPr>
                <w:b/>
                <w:szCs w:val="22"/>
              </w:rPr>
              <w:t xml:space="preserve"> line antibiotics</w:t>
            </w:r>
          </w:p>
        </w:tc>
        <w:tc>
          <w:tcPr>
            <w:tcW w:w="6095" w:type="dxa"/>
            <w:tcBorders>
              <w:top w:val="single" w:sz="4" w:space="0" w:color="auto"/>
              <w:left w:val="single" w:sz="4" w:space="0" w:color="auto"/>
              <w:bottom w:val="single" w:sz="4" w:space="0" w:color="auto"/>
              <w:right w:val="single" w:sz="4" w:space="0" w:color="auto"/>
            </w:tcBorders>
          </w:tcPr>
          <w:p w14:paraId="51A4586D" w14:textId="0F98C910" w:rsidR="00226568" w:rsidRPr="00226568" w:rsidRDefault="00226568" w:rsidP="004F1028">
            <w:pPr>
              <w:spacing w:after="0"/>
              <w:jc w:val="both"/>
              <w:rPr>
                <w:b/>
                <w:szCs w:val="22"/>
              </w:rPr>
            </w:pPr>
          </w:p>
        </w:tc>
      </w:tr>
      <w:tr w:rsidR="00226568" w:rsidRPr="00F40B02" w14:paraId="49A2DD93" w14:textId="7E7D340D" w:rsidTr="00226568">
        <w:tc>
          <w:tcPr>
            <w:tcW w:w="2689" w:type="dxa"/>
            <w:tcBorders>
              <w:top w:val="single" w:sz="4" w:space="0" w:color="auto"/>
              <w:left w:val="single" w:sz="4" w:space="0" w:color="auto"/>
              <w:bottom w:val="single" w:sz="4" w:space="0" w:color="auto"/>
              <w:right w:val="single" w:sz="4" w:space="0" w:color="auto"/>
            </w:tcBorders>
          </w:tcPr>
          <w:p w14:paraId="1D5D8AC3" w14:textId="1169820C" w:rsidR="00226568" w:rsidRPr="00F40B02" w:rsidRDefault="00226568" w:rsidP="00226568">
            <w:pPr>
              <w:spacing w:after="0"/>
              <w:jc w:val="both"/>
              <w:rPr>
                <w:szCs w:val="22"/>
              </w:rPr>
            </w:pPr>
            <w:r w:rsidRPr="00F40B02">
              <w:rPr>
                <w:szCs w:val="22"/>
              </w:rPr>
              <w:t>Amoxicillin</w:t>
            </w:r>
          </w:p>
        </w:tc>
        <w:tc>
          <w:tcPr>
            <w:tcW w:w="6095" w:type="dxa"/>
            <w:tcBorders>
              <w:top w:val="single" w:sz="4" w:space="0" w:color="auto"/>
              <w:left w:val="single" w:sz="4" w:space="0" w:color="auto"/>
              <w:bottom w:val="single" w:sz="4" w:space="0" w:color="auto"/>
              <w:right w:val="single" w:sz="4" w:space="0" w:color="auto"/>
            </w:tcBorders>
          </w:tcPr>
          <w:p w14:paraId="28A128B1" w14:textId="0B0E40A7" w:rsidR="00226568" w:rsidRDefault="00226568" w:rsidP="00226568">
            <w:pPr>
              <w:spacing w:after="0"/>
              <w:jc w:val="both"/>
              <w:rPr>
                <w:szCs w:val="22"/>
              </w:rPr>
            </w:pPr>
            <w:r>
              <w:rPr>
                <w:szCs w:val="22"/>
              </w:rPr>
              <w:t>1 g orally TDS</w:t>
            </w:r>
            <w:r w:rsidRPr="00F40B02">
              <w:rPr>
                <w:szCs w:val="22"/>
              </w:rPr>
              <w:t xml:space="preserve"> or 80-90</w:t>
            </w:r>
            <w:r>
              <w:rPr>
                <w:szCs w:val="22"/>
              </w:rPr>
              <w:t xml:space="preserve"> </w:t>
            </w:r>
            <w:r w:rsidRPr="00F40B02">
              <w:rPr>
                <w:szCs w:val="22"/>
              </w:rPr>
              <w:t>mg/kg/day</w:t>
            </w:r>
            <w:r w:rsidR="00886B35">
              <w:rPr>
                <w:szCs w:val="22"/>
              </w:rPr>
              <w:t xml:space="preserve"> for 5 days</w:t>
            </w:r>
          </w:p>
        </w:tc>
      </w:tr>
      <w:tr w:rsidR="004F1028" w:rsidRPr="00F40B02" w14:paraId="3DED6244" w14:textId="77777777" w:rsidTr="00226568">
        <w:tc>
          <w:tcPr>
            <w:tcW w:w="2689" w:type="dxa"/>
            <w:tcBorders>
              <w:top w:val="single" w:sz="4" w:space="0" w:color="auto"/>
              <w:left w:val="single" w:sz="4" w:space="0" w:color="auto"/>
              <w:bottom w:val="single" w:sz="4" w:space="0" w:color="auto"/>
              <w:right w:val="single" w:sz="4" w:space="0" w:color="auto"/>
            </w:tcBorders>
          </w:tcPr>
          <w:p w14:paraId="06561390" w14:textId="1F0CCF19" w:rsidR="004F1028" w:rsidRPr="00F40B02" w:rsidRDefault="00DE5A72" w:rsidP="00226568">
            <w:pPr>
              <w:spacing w:after="0"/>
              <w:rPr>
                <w:szCs w:val="22"/>
              </w:rPr>
            </w:pPr>
            <w:r>
              <w:rPr>
                <w:szCs w:val="22"/>
              </w:rPr>
              <w:t>Penicillin V</w:t>
            </w:r>
          </w:p>
        </w:tc>
        <w:tc>
          <w:tcPr>
            <w:tcW w:w="6095" w:type="dxa"/>
            <w:tcBorders>
              <w:top w:val="single" w:sz="4" w:space="0" w:color="auto"/>
              <w:left w:val="single" w:sz="4" w:space="0" w:color="auto"/>
              <w:bottom w:val="single" w:sz="4" w:space="0" w:color="auto"/>
              <w:right w:val="single" w:sz="4" w:space="0" w:color="auto"/>
            </w:tcBorders>
          </w:tcPr>
          <w:p w14:paraId="7B0E33FD" w14:textId="0867B75A" w:rsidR="00DE5A72" w:rsidRPr="00DE5A72" w:rsidRDefault="00DE5A72" w:rsidP="00DE5A72">
            <w:pPr>
              <w:spacing w:after="0"/>
              <w:rPr>
                <w:szCs w:val="22"/>
              </w:rPr>
            </w:pPr>
            <w:r w:rsidRPr="00DE5A72">
              <w:rPr>
                <w:szCs w:val="22"/>
              </w:rPr>
              <w:t xml:space="preserve">1 to 11 months, 62.5 mg </w:t>
            </w:r>
            <w:r w:rsidR="0010300E">
              <w:rPr>
                <w:szCs w:val="22"/>
              </w:rPr>
              <w:t>QDS</w:t>
            </w:r>
            <w:r w:rsidRPr="00DE5A72">
              <w:rPr>
                <w:szCs w:val="22"/>
              </w:rPr>
              <w:t xml:space="preserve"> for 5 days</w:t>
            </w:r>
          </w:p>
          <w:p w14:paraId="6AED7B4D" w14:textId="0B128ABB" w:rsidR="00DE5A72" w:rsidRPr="00DE5A72" w:rsidRDefault="00DE5A72" w:rsidP="00DE5A72">
            <w:pPr>
              <w:spacing w:after="0"/>
              <w:rPr>
                <w:szCs w:val="22"/>
              </w:rPr>
            </w:pPr>
            <w:r w:rsidRPr="00DE5A72">
              <w:rPr>
                <w:szCs w:val="22"/>
              </w:rPr>
              <w:t xml:space="preserve">1 to 5 years, 125 mg </w:t>
            </w:r>
            <w:r w:rsidR="0010300E">
              <w:rPr>
                <w:szCs w:val="22"/>
              </w:rPr>
              <w:t>QDS</w:t>
            </w:r>
            <w:r w:rsidRPr="00DE5A72">
              <w:rPr>
                <w:szCs w:val="22"/>
              </w:rPr>
              <w:t xml:space="preserve"> for 5 days</w:t>
            </w:r>
          </w:p>
          <w:p w14:paraId="33A025B2" w14:textId="5A1EF037" w:rsidR="00DE5A72" w:rsidRPr="00DE5A72" w:rsidRDefault="00DE5A72" w:rsidP="00DE5A72">
            <w:pPr>
              <w:spacing w:after="0"/>
              <w:rPr>
                <w:szCs w:val="22"/>
              </w:rPr>
            </w:pPr>
            <w:r w:rsidRPr="00DE5A72">
              <w:rPr>
                <w:szCs w:val="22"/>
              </w:rPr>
              <w:t xml:space="preserve">6 to 11 years, 250 mg </w:t>
            </w:r>
            <w:r w:rsidR="0010300E">
              <w:rPr>
                <w:szCs w:val="22"/>
              </w:rPr>
              <w:t>QDS</w:t>
            </w:r>
            <w:r w:rsidRPr="00DE5A72">
              <w:rPr>
                <w:szCs w:val="22"/>
              </w:rPr>
              <w:t xml:space="preserve"> for 5 days</w:t>
            </w:r>
          </w:p>
          <w:p w14:paraId="2F392280" w14:textId="3D4F8E3D" w:rsidR="004F1028" w:rsidRPr="00F40B02" w:rsidRDefault="00DE5A72" w:rsidP="007E4B80">
            <w:pPr>
              <w:spacing w:after="0"/>
              <w:rPr>
                <w:szCs w:val="22"/>
              </w:rPr>
            </w:pPr>
            <w:r>
              <w:rPr>
                <w:szCs w:val="22"/>
              </w:rPr>
              <w:t>≥</w:t>
            </w:r>
            <w:r w:rsidRPr="00DE5A72">
              <w:rPr>
                <w:szCs w:val="22"/>
              </w:rPr>
              <w:t xml:space="preserve">12 years, 500 mg </w:t>
            </w:r>
            <w:r w:rsidR="0010300E">
              <w:rPr>
                <w:szCs w:val="22"/>
              </w:rPr>
              <w:t>QDS</w:t>
            </w:r>
            <w:r w:rsidRPr="00DE5A72">
              <w:rPr>
                <w:szCs w:val="22"/>
              </w:rPr>
              <w:t xml:space="preserve"> for 5 days</w:t>
            </w:r>
          </w:p>
        </w:tc>
      </w:tr>
      <w:tr w:rsidR="00DE5A72" w:rsidRPr="00DE5A72" w14:paraId="2D785694" w14:textId="77777777" w:rsidTr="007E4B80">
        <w:tc>
          <w:tcPr>
            <w:tcW w:w="2689" w:type="dxa"/>
            <w:tcBorders>
              <w:top w:val="single" w:sz="4" w:space="0" w:color="auto"/>
              <w:left w:val="single" w:sz="4" w:space="0" w:color="auto"/>
              <w:bottom w:val="single" w:sz="4" w:space="0" w:color="auto"/>
              <w:right w:val="single" w:sz="4" w:space="0" w:color="auto"/>
            </w:tcBorders>
            <w:hideMark/>
          </w:tcPr>
          <w:p w14:paraId="32D613D8" w14:textId="77777777" w:rsidR="00DE5A72" w:rsidRPr="00DE5A72" w:rsidRDefault="00DE5A72" w:rsidP="00DE5A72">
            <w:pPr>
              <w:spacing w:after="0"/>
              <w:rPr>
                <w:szCs w:val="22"/>
              </w:rPr>
            </w:pPr>
            <w:r w:rsidRPr="00DE5A72">
              <w:rPr>
                <w:szCs w:val="22"/>
              </w:rPr>
              <w:t xml:space="preserve">Doxycycline </w:t>
            </w:r>
          </w:p>
        </w:tc>
        <w:tc>
          <w:tcPr>
            <w:tcW w:w="6095" w:type="dxa"/>
            <w:tcBorders>
              <w:top w:val="single" w:sz="4" w:space="0" w:color="auto"/>
              <w:left w:val="single" w:sz="4" w:space="0" w:color="auto"/>
              <w:bottom w:val="single" w:sz="4" w:space="0" w:color="auto"/>
              <w:right w:val="single" w:sz="4" w:space="0" w:color="auto"/>
            </w:tcBorders>
          </w:tcPr>
          <w:p w14:paraId="59C40FF2" w14:textId="77777777" w:rsidR="00DE5A72" w:rsidRPr="00DE5A72" w:rsidRDefault="00DE5A72" w:rsidP="00DE5A72">
            <w:pPr>
              <w:spacing w:after="0"/>
              <w:rPr>
                <w:szCs w:val="22"/>
              </w:rPr>
            </w:pPr>
            <w:r w:rsidRPr="00DE5A72">
              <w:rPr>
                <w:szCs w:val="22"/>
              </w:rPr>
              <w:t>PO 200 mg BD for 5-7 days</w:t>
            </w:r>
          </w:p>
          <w:p w14:paraId="51A4A5E2" w14:textId="77777777" w:rsidR="00DE5A72" w:rsidRPr="00DE5A72" w:rsidRDefault="00DE5A72" w:rsidP="00DE5A72">
            <w:pPr>
              <w:spacing w:after="0"/>
              <w:rPr>
                <w:szCs w:val="22"/>
              </w:rPr>
            </w:pPr>
          </w:p>
          <w:p w14:paraId="347CA951" w14:textId="2C671912" w:rsidR="00DE5A72" w:rsidRPr="00DE5A72" w:rsidRDefault="00DE5A72" w:rsidP="00DE5A72">
            <w:pPr>
              <w:spacing w:after="0"/>
              <w:rPr>
                <w:szCs w:val="22"/>
              </w:rPr>
            </w:pPr>
            <w:r w:rsidRPr="00DE5A72">
              <w:rPr>
                <w:szCs w:val="22"/>
              </w:rPr>
              <w:t xml:space="preserve">NB: contraindicated in </w:t>
            </w:r>
            <w:r>
              <w:rPr>
                <w:szCs w:val="22"/>
              </w:rPr>
              <w:t xml:space="preserve">pregnancy and </w:t>
            </w:r>
            <w:r w:rsidRPr="00DE5A72">
              <w:rPr>
                <w:szCs w:val="22"/>
              </w:rPr>
              <w:t>children less than 8 years</w:t>
            </w:r>
          </w:p>
        </w:tc>
      </w:tr>
      <w:tr w:rsidR="00226568" w:rsidRPr="00F40B02" w14:paraId="3AD1934D" w14:textId="77777777" w:rsidTr="00226568">
        <w:tc>
          <w:tcPr>
            <w:tcW w:w="2689" w:type="dxa"/>
            <w:tcBorders>
              <w:top w:val="single" w:sz="4" w:space="0" w:color="auto"/>
              <w:left w:val="single" w:sz="4" w:space="0" w:color="auto"/>
              <w:bottom w:val="single" w:sz="4" w:space="0" w:color="auto"/>
              <w:right w:val="single" w:sz="4" w:space="0" w:color="auto"/>
            </w:tcBorders>
            <w:hideMark/>
          </w:tcPr>
          <w:p w14:paraId="40C1BD0B" w14:textId="77777777" w:rsidR="00226568" w:rsidRPr="00F40B02" w:rsidRDefault="00226568" w:rsidP="00226568">
            <w:pPr>
              <w:spacing w:after="0"/>
              <w:rPr>
                <w:szCs w:val="22"/>
              </w:rPr>
            </w:pPr>
            <w:r w:rsidRPr="00F40B02">
              <w:rPr>
                <w:szCs w:val="22"/>
              </w:rPr>
              <w:t>Erythromycin (recommended in pregnancy)</w:t>
            </w:r>
          </w:p>
        </w:tc>
        <w:tc>
          <w:tcPr>
            <w:tcW w:w="6095" w:type="dxa"/>
            <w:tcBorders>
              <w:top w:val="single" w:sz="4" w:space="0" w:color="auto"/>
              <w:left w:val="single" w:sz="4" w:space="0" w:color="auto"/>
              <w:bottom w:val="single" w:sz="4" w:space="0" w:color="auto"/>
              <w:right w:val="single" w:sz="4" w:space="0" w:color="auto"/>
            </w:tcBorders>
          </w:tcPr>
          <w:p w14:paraId="637E2144" w14:textId="02E7A576" w:rsidR="00226568" w:rsidRPr="00F40B02" w:rsidRDefault="00226568" w:rsidP="00226568">
            <w:pPr>
              <w:spacing w:after="0"/>
              <w:rPr>
                <w:szCs w:val="22"/>
              </w:rPr>
            </w:pPr>
            <w:r w:rsidRPr="00F40B02">
              <w:rPr>
                <w:szCs w:val="22"/>
              </w:rPr>
              <w:t>PO 400</w:t>
            </w:r>
            <w:r>
              <w:rPr>
                <w:szCs w:val="22"/>
              </w:rPr>
              <w:t xml:space="preserve"> </w:t>
            </w:r>
            <w:r w:rsidRPr="00F40B02">
              <w:rPr>
                <w:szCs w:val="22"/>
              </w:rPr>
              <w:t>mg QDS for 10-14 days (may increase to 4</w:t>
            </w:r>
            <w:r w:rsidR="001133C3">
              <w:rPr>
                <w:szCs w:val="22"/>
              </w:rPr>
              <w:t xml:space="preserve"> </w:t>
            </w:r>
            <w:r w:rsidRPr="00F40B02">
              <w:rPr>
                <w:szCs w:val="22"/>
              </w:rPr>
              <w:t xml:space="preserve">g/day depending on severity) or </w:t>
            </w:r>
          </w:p>
          <w:p w14:paraId="78CF1879" w14:textId="77777777" w:rsidR="00226568" w:rsidRPr="00F40B02" w:rsidRDefault="00226568" w:rsidP="00226568">
            <w:pPr>
              <w:spacing w:after="0"/>
              <w:rPr>
                <w:szCs w:val="22"/>
              </w:rPr>
            </w:pPr>
          </w:p>
          <w:p w14:paraId="3BEAD3F1" w14:textId="0F98EA65" w:rsidR="00226568" w:rsidRPr="00F40B02" w:rsidRDefault="00226568" w:rsidP="00226568">
            <w:pPr>
              <w:spacing w:after="0"/>
              <w:rPr>
                <w:szCs w:val="22"/>
              </w:rPr>
            </w:pPr>
            <w:r w:rsidRPr="00F40B02">
              <w:rPr>
                <w:szCs w:val="22"/>
              </w:rPr>
              <w:t>30-50</w:t>
            </w:r>
            <w:r>
              <w:rPr>
                <w:szCs w:val="22"/>
              </w:rPr>
              <w:t xml:space="preserve"> </w:t>
            </w:r>
            <w:r w:rsidRPr="00F40B02">
              <w:rPr>
                <w:szCs w:val="22"/>
              </w:rPr>
              <w:t>mg/kg/day; can give 60-100 mg/kg/day in severe infection</w:t>
            </w:r>
          </w:p>
        </w:tc>
      </w:tr>
      <w:tr w:rsidR="00226568" w:rsidRPr="00F40B02" w14:paraId="0CF1A928" w14:textId="77777777" w:rsidTr="00226568">
        <w:tc>
          <w:tcPr>
            <w:tcW w:w="2689" w:type="dxa"/>
            <w:tcBorders>
              <w:top w:val="single" w:sz="4" w:space="0" w:color="auto"/>
              <w:left w:val="single" w:sz="4" w:space="0" w:color="auto"/>
              <w:bottom w:val="single" w:sz="4" w:space="0" w:color="auto"/>
              <w:right w:val="single" w:sz="4" w:space="0" w:color="auto"/>
            </w:tcBorders>
            <w:hideMark/>
          </w:tcPr>
          <w:p w14:paraId="26408593" w14:textId="77777777" w:rsidR="00226568" w:rsidRPr="00F40B02" w:rsidRDefault="00226568" w:rsidP="00226568">
            <w:pPr>
              <w:spacing w:after="0"/>
              <w:rPr>
                <w:szCs w:val="22"/>
              </w:rPr>
            </w:pPr>
            <w:r w:rsidRPr="00F40B02">
              <w:rPr>
                <w:szCs w:val="22"/>
              </w:rPr>
              <w:t>Azithromycin</w:t>
            </w:r>
          </w:p>
        </w:tc>
        <w:tc>
          <w:tcPr>
            <w:tcW w:w="6095" w:type="dxa"/>
            <w:tcBorders>
              <w:top w:val="single" w:sz="4" w:space="0" w:color="auto"/>
              <w:left w:val="single" w:sz="4" w:space="0" w:color="auto"/>
              <w:bottom w:val="single" w:sz="4" w:space="0" w:color="auto"/>
              <w:right w:val="single" w:sz="4" w:space="0" w:color="auto"/>
            </w:tcBorders>
          </w:tcPr>
          <w:p w14:paraId="1451158C" w14:textId="0BC33EAB" w:rsidR="00226568" w:rsidRPr="00F40B02" w:rsidRDefault="00226568" w:rsidP="00226568">
            <w:pPr>
              <w:spacing w:after="0"/>
              <w:rPr>
                <w:szCs w:val="22"/>
              </w:rPr>
            </w:pPr>
            <w:r w:rsidRPr="00F40B02">
              <w:rPr>
                <w:szCs w:val="22"/>
              </w:rPr>
              <w:t>PO 500</w:t>
            </w:r>
            <w:r>
              <w:rPr>
                <w:szCs w:val="22"/>
              </w:rPr>
              <w:t xml:space="preserve"> </w:t>
            </w:r>
            <w:r w:rsidRPr="00F40B02">
              <w:rPr>
                <w:szCs w:val="22"/>
              </w:rPr>
              <w:t>mg/day for 3 days or 2</w:t>
            </w:r>
            <w:r>
              <w:rPr>
                <w:szCs w:val="22"/>
              </w:rPr>
              <w:t xml:space="preserve"> </w:t>
            </w:r>
            <w:r w:rsidRPr="00F40B02">
              <w:rPr>
                <w:szCs w:val="22"/>
              </w:rPr>
              <w:t>g once</w:t>
            </w:r>
          </w:p>
          <w:p w14:paraId="05B457BB" w14:textId="77777777" w:rsidR="00226568" w:rsidRPr="00F40B02" w:rsidRDefault="00226568" w:rsidP="00226568">
            <w:pPr>
              <w:spacing w:after="0"/>
              <w:rPr>
                <w:szCs w:val="22"/>
              </w:rPr>
            </w:pPr>
          </w:p>
          <w:p w14:paraId="7296596D" w14:textId="0B678492" w:rsidR="00226568" w:rsidRPr="00F40B02" w:rsidRDefault="00226568" w:rsidP="00226568">
            <w:pPr>
              <w:spacing w:after="0"/>
              <w:rPr>
                <w:szCs w:val="22"/>
              </w:rPr>
            </w:pPr>
            <w:proofErr w:type="spellStart"/>
            <w:r w:rsidRPr="00F40B02">
              <w:rPr>
                <w:szCs w:val="22"/>
              </w:rPr>
              <w:t>Paeds</w:t>
            </w:r>
            <w:proofErr w:type="spellEnd"/>
            <w:r w:rsidRPr="00F40B02">
              <w:rPr>
                <w:szCs w:val="22"/>
              </w:rPr>
              <w:t>: 10</w:t>
            </w:r>
            <w:r>
              <w:rPr>
                <w:szCs w:val="22"/>
              </w:rPr>
              <w:t xml:space="preserve"> </w:t>
            </w:r>
            <w:r w:rsidRPr="00F40B02">
              <w:rPr>
                <w:szCs w:val="22"/>
              </w:rPr>
              <w:t>mg/kg/day for 3 days</w:t>
            </w:r>
          </w:p>
        </w:tc>
      </w:tr>
      <w:tr w:rsidR="00226568" w:rsidRPr="00F40B02" w14:paraId="1C070BA3" w14:textId="77777777" w:rsidTr="00226568">
        <w:tc>
          <w:tcPr>
            <w:tcW w:w="2689" w:type="dxa"/>
            <w:tcBorders>
              <w:top w:val="single" w:sz="4" w:space="0" w:color="auto"/>
              <w:left w:val="single" w:sz="4" w:space="0" w:color="auto"/>
              <w:bottom w:val="single" w:sz="4" w:space="0" w:color="auto"/>
              <w:right w:val="single" w:sz="4" w:space="0" w:color="auto"/>
            </w:tcBorders>
          </w:tcPr>
          <w:p w14:paraId="52DD7A1E" w14:textId="5BD5898C" w:rsidR="00226568" w:rsidRPr="00F40B02" w:rsidRDefault="00226568" w:rsidP="00226568">
            <w:pPr>
              <w:spacing w:after="0"/>
              <w:rPr>
                <w:szCs w:val="22"/>
              </w:rPr>
            </w:pPr>
            <w:r w:rsidRPr="00226568">
              <w:rPr>
                <w:b/>
                <w:szCs w:val="22"/>
              </w:rPr>
              <w:t>2</w:t>
            </w:r>
            <w:r w:rsidRPr="00226568">
              <w:rPr>
                <w:b/>
                <w:szCs w:val="22"/>
                <w:vertAlign w:val="superscript"/>
              </w:rPr>
              <w:t>nd</w:t>
            </w:r>
            <w:r w:rsidRPr="00226568">
              <w:rPr>
                <w:b/>
                <w:szCs w:val="22"/>
              </w:rPr>
              <w:t xml:space="preserve"> line antibiotics</w:t>
            </w:r>
          </w:p>
        </w:tc>
        <w:tc>
          <w:tcPr>
            <w:tcW w:w="6095" w:type="dxa"/>
            <w:tcBorders>
              <w:top w:val="single" w:sz="4" w:space="0" w:color="auto"/>
              <w:left w:val="single" w:sz="4" w:space="0" w:color="auto"/>
              <w:bottom w:val="single" w:sz="4" w:space="0" w:color="auto"/>
              <w:right w:val="single" w:sz="4" w:space="0" w:color="auto"/>
            </w:tcBorders>
          </w:tcPr>
          <w:p w14:paraId="15A2A7AB" w14:textId="77777777" w:rsidR="00226568" w:rsidRPr="00F40B02" w:rsidRDefault="00226568" w:rsidP="00226568">
            <w:pPr>
              <w:spacing w:after="0"/>
              <w:rPr>
                <w:szCs w:val="22"/>
              </w:rPr>
            </w:pPr>
          </w:p>
        </w:tc>
      </w:tr>
      <w:tr w:rsidR="00226568" w:rsidRPr="00F40B02" w14:paraId="0D4D7E60" w14:textId="77777777" w:rsidTr="00226568">
        <w:tc>
          <w:tcPr>
            <w:tcW w:w="2689" w:type="dxa"/>
            <w:tcBorders>
              <w:top w:val="single" w:sz="4" w:space="0" w:color="auto"/>
              <w:left w:val="single" w:sz="4" w:space="0" w:color="auto"/>
              <w:bottom w:val="single" w:sz="4" w:space="0" w:color="auto"/>
              <w:right w:val="single" w:sz="4" w:space="0" w:color="auto"/>
            </w:tcBorders>
          </w:tcPr>
          <w:p w14:paraId="2A0AA0BE" w14:textId="77777777" w:rsidR="00226568" w:rsidRPr="00F40B02" w:rsidRDefault="00226568" w:rsidP="00226568">
            <w:pPr>
              <w:spacing w:after="0"/>
              <w:rPr>
                <w:szCs w:val="22"/>
              </w:rPr>
            </w:pPr>
            <w:r>
              <w:rPr>
                <w:szCs w:val="22"/>
              </w:rPr>
              <w:t>Co-amoxiclav</w:t>
            </w:r>
          </w:p>
          <w:p w14:paraId="1B313FDF" w14:textId="77777777" w:rsidR="00226568" w:rsidRPr="00F40B02" w:rsidRDefault="00226568" w:rsidP="00226568">
            <w:pPr>
              <w:spacing w:after="0"/>
              <w:rPr>
                <w:szCs w:val="22"/>
              </w:rPr>
            </w:pPr>
          </w:p>
        </w:tc>
        <w:tc>
          <w:tcPr>
            <w:tcW w:w="6095" w:type="dxa"/>
            <w:tcBorders>
              <w:top w:val="single" w:sz="4" w:space="0" w:color="auto"/>
              <w:left w:val="single" w:sz="4" w:space="0" w:color="auto"/>
              <w:bottom w:val="single" w:sz="4" w:space="0" w:color="auto"/>
              <w:right w:val="single" w:sz="4" w:space="0" w:color="auto"/>
            </w:tcBorders>
          </w:tcPr>
          <w:p w14:paraId="4B6C1AD0" w14:textId="743A0DEE" w:rsidR="00226568" w:rsidRPr="00F40B02" w:rsidRDefault="00226568" w:rsidP="00886B35">
            <w:pPr>
              <w:spacing w:after="0"/>
              <w:rPr>
                <w:szCs w:val="22"/>
              </w:rPr>
            </w:pPr>
            <w:r w:rsidRPr="00F40B02">
              <w:rPr>
                <w:szCs w:val="22"/>
              </w:rPr>
              <w:t>500</w:t>
            </w:r>
            <w:r>
              <w:rPr>
                <w:szCs w:val="22"/>
              </w:rPr>
              <w:t xml:space="preserve"> </w:t>
            </w:r>
            <w:r w:rsidRPr="00F40B02">
              <w:rPr>
                <w:szCs w:val="22"/>
              </w:rPr>
              <w:t>mg</w:t>
            </w:r>
            <w:r w:rsidR="00886B35">
              <w:rPr>
                <w:szCs w:val="22"/>
              </w:rPr>
              <w:t xml:space="preserve"> of amoxicillin TDS</w:t>
            </w:r>
            <w:r w:rsidR="00886B35" w:rsidRPr="00F40B02">
              <w:rPr>
                <w:szCs w:val="22"/>
              </w:rPr>
              <w:t xml:space="preserve"> </w:t>
            </w:r>
            <w:r w:rsidRPr="00F40B02">
              <w:rPr>
                <w:szCs w:val="22"/>
              </w:rPr>
              <w:t xml:space="preserve">for </w:t>
            </w:r>
            <w:r w:rsidR="00D205AA">
              <w:rPr>
                <w:szCs w:val="22"/>
              </w:rPr>
              <w:t xml:space="preserve">5 - </w:t>
            </w:r>
            <w:r w:rsidRPr="00F40B02">
              <w:rPr>
                <w:szCs w:val="22"/>
              </w:rPr>
              <w:t>10 days or 40</w:t>
            </w:r>
            <w:r>
              <w:rPr>
                <w:szCs w:val="22"/>
              </w:rPr>
              <w:t xml:space="preserve"> </w:t>
            </w:r>
            <w:r w:rsidRPr="00F40B02">
              <w:rPr>
                <w:szCs w:val="22"/>
              </w:rPr>
              <w:t xml:space="preserve">mg/kg/day </w:t>
            </w:r>
          </w:p>
        </w:tc>
      </w:tr>
      <w:tr w:rsidR="00226568" w:rsidRPr="00F40B02" w14:paraId="684001B4" w14:textId="77777777" w:rsidTr="00226568">
        <w:tc>
          <w:tcPr>
            <w:tcW w:w="2689" w:type="dxa"/>
            <w:tcBorders>
              <w:top w:val="single" w:sz="4" w:space="0" w:color="auto"/>
              <w:left w:val="single" w:sz="4" w:space="0" w:color="auto"/>
              <w:bottom w:val="single" w:sz="4" w:space="0" w:color="auto"/>
              <w:right w:val="single" w:sz="4" w:space="0" w:color="auto"/>
            </w:tcBorders>
          </w:tcPr>
          <w:p w14:paraId="22A0A935" w14:textId="55C03F0F" w:rsidR="00226568" w:rsidRPr="00F40B02" w:rsidRDefault="00226568" w:rsidP="00226568">
            <w:pPr>
              <w:spacing w:after="0"/>
              <w:rPr>
                <w:szCs w:val="22"/>
              </w:rPr>
            </w:pPr>
            <w:r w:rsidRPr="00F40B02">
              <w:rPr>
                <w:szCs w:val="22"/>
              </w:rPr>
              <w:t>Ciprofloxacin</w:t>
            </w:r>
          </w:p>
        </w:tc>
        <w:tc>
          <w:tcPr>
            <w:tcW w:w="6095" w:type="dxa"/>
            <w:tcBorders>
              <w:top w:val="single" w:sz="4" w:space="0" w:color="auto"/>
              <w:left w:val="single" w:sz="4" w:space="0" w:color="auto"/>
              <w:bottom w:val="single" w:sz="4" w:space="0" w:color="auto"/>
              <w:right w:val="single" w:sz="4" w:space="0" w:color="auto"/>
            </w:tcBorders>
          </w:tcPr>
          <w:p w14:paraId="08881952" w14:textId="4976E223" w:rsidR="00226568" w:rsidRPr="00F40B02" w:rsidRDefault="00226568" w:rsidP="00226568">
            <w:pPr>
              <w:spacing w:after="0"/>
              <w:rPr>
                <w:szCs w:val="22"/>
              </w:rPr>
            </w:pPr>
            <w:r w:rsidRPr="00F40B02">
              <w:rPr>
                <w:szCs w:val="22"/>
              </w:rPr>
              <w:t>PO 500</w:t>
            </w:r>
            <w:r>
              <w:rPr>
                <w:szCs w:val="22"/>
              </w:rPr>
              <w:t xml:space="preserve"> </w:t>
            </w:r>
            <w:r w:rsidRPr="00F40B02">
              <w:rPr>
                <w:szCs w:val="22"/>
              </w:rPr>
              <w:t>mg BD or IV 400</w:t>
            </w:r>
            <w:r>
              <w:rPr>
                <w:szCs w:val="22"/>
              </w:rPr>
              <w:t xml:space="preserve"> </w:t>
            </w:r>
            <w:r w:rsidRPr="00F40B02">
              <w:rPr>
                <w:szCs w:val="22"/>
              </w:rPr>
              <w:t>mg BD for 10 days</w:t>
            </w:r>
          </w:p>
        </w:tc>
      </w:tr>
    </w:tbl>
    <w:p w14:paraId="1AD972CF" w14:textId="77777777" w:rsidR="00226568" w:rsidRDefault="00226568" w:rsidP="00226568">
      <w:pPr>
        <w:jc w:val="both"/>
        <w:rPr>
          <w:szCs w:val="22"/>
        </w:rPr>
      </w:pPr>
    </w:p>
    <w:p w14:paraId="56133563" w14:textId="2E55C309" w:rsidR="00226568" w:rsidRPr="00D94331" w:rsidRDefault="00226568" w:rsidP="00226568">
      <w:pPr>
        <w:jc w:val="both"/>
        <w:rPr>
          <w:szCs w:val="22"/>
        </w:rPr>
      </w:pPr>
      <w:r w:rsidRPr="00D94331">
        <w:rPr>
          <w:szCs w:val="22"/>
        </w:rPr>
        <w:t xml:space="preserve">Admit patient if there is severe systemic infection, complications of sinusitis and immunocompromised patients. </w:t>
      </w:r>
    </w:p>
    <w:p w14:paraId="054712E0" w14:textId="77777777" w:rsidR="00FE47CC" w:rsidRDefault="00FE47CC">
      <w:pPr>
        <w:spacing w:after="0"/>
        <w:outlineLvl w:val="9"/>
        <w:rPr>
          <w:b/>
          <w:szCs w:val="22"/>
        </w:rPr>
      </w:pPr>
      <w:r>
        <w:rPr>
          <w:b/>
          <w:szCs w:val="22"/>
        </w:rPr>
        <w:br w:type="page"/>
      </w:r>
    </w:p>
    <w:p w14:paraId="39F40CAE" w14:textId="03163049" w:rsidR="00226568" w:rsidRPr="00D94331" w:rsidRDefault="00226568" w:rsidP="00226568">
      <w:pPr>
        <w:jc w:val="both"/>
        <w:rPr>
          <w:szCs w:val="22"/>
        </w:rPr>
      </w:pPr>
      <w:r w:rsidRPr="00D94331">
        <w:rPr>
          <w:b/>
          <w:szCs w:val="22"/>
        </w:rPr>
        <w:lastRenderedPageBreak/>
        <w:t>Complications are rare</w:t>
      </w:r>
      <w:r w:rsidRPr="00D94331">
        <w:rPr>
          <w:szCs w:val="22"/>
        </w:rPr>
        <w:t xml:space="preserve">. They occur more commonly in children. They include orbital cellulitis, meningitis, brain abscess, osteomyelitis (known as Pott's puffy </w:t>
      </w:r>
      <w:proofErr w:type="spellStart"/>
      <w:r w:rsidRPr="00D94331">
        <w:rPr>
          <w:szCs w:val="22"/>
        </w:rPr>
        <w:t>tumour</w:t>
      </w:r>
      <w:proofErr w:type="spellEnd"/>
      <w:r w:rsidRPr="00D94331">
        <w:rPr>
          <w:szCs w:val="22"/>
        </w:rPr>
        <w:t xml:space="preserve"> when the frontal bone is affected) and cavernous sinus thrombosis. Acute sinusitis can become chronic.</w:t>
      </w:r>
    </w:p>
    <w:p w14:paraId="62973066" w14:textId="054CCEB4" w:rsidR="00226568" w:rsidRPr="00D94331" w:rsidRDefault="00226568" w:rsidP="00226568">
      <w:pPr>
        <w:jc w:val="both"/>
        <w:rPr>
          <w:szCs w:val="22"/>
        </w:rPr>
      </w:pPr>
      <w:r>
        <w:rPr>
          <w:b/>
          <w:szCs w:val="22"/>
        </w:rPr>
        <w:t>Refer for urgent ENT review</w:t>
      </w:r>
      <w:r w:rsidRPr="00D94331">
        <w:rPr>
          <w:b/>
          <w:szCs w:val="22"/>
        </w:rPr>
        <w:t xml:space="preserve"> if</w:t>
      </w:r>
      <w:r>
        <w:rPr>
          <w:szCs w:val="22"/>
        </w:rPr>
        <w:t>:</w:t>
      </w:r>
    </w:p>
    <w:p w14:paraId="5D2893F1" w14:textId="77777777" w:rsidR="00226568" w:rsidRPr="00D94331" w:rsidRDefault="00226568" w:rsidP="00226568">
      <w:pPr>
        <w:pStyle w:val="ListParagraph"/>
        <w:numPr>
          <w:ilvl w:val="0"/>
          <w:numId w:val="35"/>
        </w:numPr>
        <w:jc w:val="both"/>
        <w:rPr>
          <w:szCs w:val="22"/>
        </w:rPr>
      </w:pPr>
      <w:r w:rsidRPr="00D94331">
        <w:rPr>
          <w:szCs w:val="22"/>
        </w:rPr>
        <w:t>there are unilateral symptoms (</w:t>
      </w:r>
      <w:proofErr w:type="spellStart"/>
      <w:r w:rsidRPr="00D94331">
        <w:rPr>
          <w:szCs w:val="22"/>
        </w:rPr>
        <w:t>eg</w:t>
      </w:r>
      <w:proofErr w:type="spellEnd"/>
      <w:r w:rsidRPr="00D94331">
        <w:rPr>
          <w:szCs w:val="22"/>
        </w:rPr>
        <w:t>, mass, bloodstained discharge, crusting, non-tender facial pain, facial swelling or unilateral nasal polyps or unilateral nasal polyps).</w:t>
      </w:r>
    </w:p>
    <w:p w14:paraId="78C06B0D" w14:textId="77777777" w:rsidR="00226568" w:rsidRPr="00D94331" w:rsidRDefault="00226568" w:rsidP="00226568">
      <w:pPr>
        <w:pStyle w:val="ListParagraph"/>
        <w:numPr>
          <w:ilvl w:val="0"/>
          <w:numId w:val="35"/>
        </w:numPr>
        <w:jc w:val="both"/>
        <w:rPr>
          <w:szCs w:val="22"/>
        </w:rPr>
      </w:pPr>
      <w:r w:rsidRPr="00D94331">
        <w:rPr>
          <w:szCs w:val="22"/>
        </w:rPr>
        <w:t>persistent infections (three or more attacks per year) or</w:t>
      </w:r>
    </w:p>
    <w:p w14:paraId="08D7BE26" w14:textId="77777777" w:rsidR="00226568" w:rsidRPr="00D94331" w:rsidRDefault="00226568" w:rsidP="00226568">
      <w:pPr>
        <w:pStyle w:val="ListParagraph"/>
        <w:numPr>
          <w:ilvl w:val="0"/>
          <w:numId w:val="35"/>
        </w:numPr>
        <w:jc w:val="both"/>
        <w:rPr>
          <w:szCs w:val="22"/>
        </w:rPr>
      </w:pPr>
      <w:r w:rsidRPr="00D94331">
        <w:rPr>
          <w:szCs w:val="22"/>
        </w:rPr>
        <w:t>persistent symptoms despite an adequate course of second-line antibiotics.</w:t>
      </w:r>
    </w:p>
    <w:p w14:paraId="57A664FC" w14:textId="77777777" w:rsidR="00226568" w:rsidRPr="00D94331" w:rsidRDefault="00226568" w:rsidP="00226568">
      <w:pPr>
        <w:jc w:val="both"/>
        <w:rPr>
          <w:b/>
          <w:szCs w:val="22"/>
        </w:rPr>
      </w:pPr>
      <w:r w:rsidRPr="00D94331">
        <w:rPr>
          <w:b/>
          <w:szCs w:val="22"/>
        </w:rPr>
        <w:t>Prognosis</w:t>
      </w:r>
    </w:p>
    <w:p w14:paraId="257D05B2" w14:textId="0EDF9B29" w:rsidR="00226568" w:rsidRDefault="00226568" w:rsidP="00226568">
      <w:pPr>
        <w:jc w:val="both"/>
        <w:rPr>
          <w:szCs w:val="22"/>
        </w:rPr>
      </w:pPr>
      <w:r w:rsidRPr="00D94331">
        <w:rPr>
          <w:szCs w:val="22"/>
        </w:rPr>
        <w:t>Symptoms are likely to be relatively slow to resolve (2-3 weeks, regardless of whether antibiotics are taken or not) but over two</w:t>
      </w:r>
      <w:r w:rsidR="00C94524">
        <w:rPr>
          <w:szCs w:val="22"/>
        </w:rPr>
        <w:t>-</w:t>
      </w:r>
      <w:r w:rsidRPr="00D94331">
        <w:rPr>
          <w:szCs w:val="22"/>
        </w:rPr>
        <w:t>thirds of patients experience improvement or resolution of symptoms without antibiotic treatment.</w:t>
      </w:r>
    </w:p>
    <w:p w14:paraId="78D82254" w14:textId="77777777" w:rsidR="00F03F25" w:rsidRPr="003C0800" w:rsidRDefault="00F03F25" w:rsidP="00F03F25">
      <w:pPr>
        <w:pStyle w:val="Heading2"/>
        <w:rPr>
          <w:rFonts w:cs="Arial"/>
          <w:szCs w:val="22"/>
        </w:rPr>
      </w:pPr>
      <w:r>
        <w:rPr>
          <w:rFonts w:cs="Arial"/>
          <w:szCs w:val="22"/>
        </w:rPr>
        <w:t>References</w:t>
      </w:r>
    </w:p>
    <w:p w14:paraId="25192063" w14:textId="77777777" w:rsidR="00226568" w:rsidRPr="004A13CD" w:rsidRDefault="00226568" w:rsidP="001133C3">
      <w:pPr>
        <w:spacing w:before="240"/>
        <w:rPr>
          <w:sz w:val="20"/>
          <w:szCs w:val="20"/>
        </w:rPr>
      </w:pPr>
      <w:proofErr w:type="spellStart"/>
      <w:r w:rsidRPr="004A13CD">
        <w:rPr>
          <w:sz w:val="20"/>
          <w:szCs w:val="20"/>
        </w:rPr>
        <w:t>Colledge</w:t>
      </w:r>
      <w:proofErr w:type="spellEnd"/>
      <w:r w:rsidRPr="004A13CD">
        <w:rPr>
          <w:sz w:val="20"/>
          <w:szCs w:val="20"/>
        </w:rPr>
        <w:t>, Nicki R., Brian R. Walker, Stuart Ralston, and Stanley Davidson. 2010. Davidson's principles and practice of medicine. Edinburgh: Churchill Livingstone/Elsevier.</w:t>
      </w:r>
    </w:p>
    <w:p w14:paraId="7D6C1888" w14:textId="5551D7D1" w:rsidR="00226568" w:rsidRPr="004A13CD" w:rsidRDefault="00226568" w:rsidP="001133C3">
      <w:pPr>
        <w:spacing w:before="240"/>
        <w:rPr>
          <w:sz w:val="20"/>
          <w:szCs w:val="20"/>
        </w:rPr>
      </w:pPr>
      <w:r w:rsidRPr="004A13CD">
        <w:rPr>
          <w:sz w:val="20"/>
          <w:szCs w:val="20"/>
        </w:rPr>
        <w:t xml:space="preserve">Henderson R (2014). Sinusitis. Certified by The Information Standard. Retrieved from </w:t>
      </w:r>
      <w:hyperlink r:id="rId7" w:history="1">
        <w:r w:rsidR="00C94524" w:rsidRPr="00556B4B">
          <w:rPr>
            <w:rStyle w:val="Hyperlink"/>
            <w:sz w:val="20"/>
            <w:szCs w:val="20"/>
          </w:rPr>
          <w:t>https://patient.info/doctor/sinusitis-pro</w:t>
        </w:r>
      </w:hyperlink>
      <w:r w:rsidR="00C94524">
        <w:rPr>
          <w:sz w:val="20"/>
          <w:szCs w:val="20"/>
        </w:rPr>
        <w:t xml:space="preserve"> </w:t>
      </w:r>
      <w:r w:rsidRPr="004A13CD">
        <w:rPr>
          <w:sz w:val="20"/>
          <w:szCs w:val="20"/>
        </w:rPr>
        <w:t>on 23/02/19.</w:t>
      </w:r>
    </w:p>
    <w:p w14:paraId="36F6187C" w14:textId="758C2B28" w:rsidR="00226568" w:rsidRPr="004A13CD" w:rsidRDefault="00226568" w:rsidP="001133C3">
      <w:pPr>
        <w:spacing w:before="240"/>
        <w:rPr>
          <w:sz w:val="20"/>
          <w:szCs w:val="20"/>
        </w:rPr>
      </w:pPr>
      <w:proofErr w:type="spellStart"/>
      <w:r w:rsidRPr="004A13CD">
        <w:rPr>
          <w:sz w:val="20"/>
          <w:szCs w:val="20"/>
        </w:rPr>
        <w:t>Kliegman</w:t>
      </w:r>
      <w:proofErr w:type="spellEnd"/>
      <w:r w:rsidRPr="004A13CD">
        <w:rPr>
          <w:sz w:val="20"/>
          <w:szCs w:val="20"/>
        </w:rPr>
        <w:t xml:space="preserve">, Robert., et al. Nelson Textbook of Pediatrics. </w:t>
      </w:r>
      <w:r w:rsidR="004F1028" w:rsidRPr="004A13CD">
        <w:rPr>
          <w:sz w:val="20"/>
          <w:szCs w:val="20"/>
        </w:rPr>
        <w:t>20</w:t>
      </w:r>
      <w:r w:rsidR="004F1028" w:rsidRPr="00FE47CC">
        <w:rPr>
          <w:sz w:val="20"/>
          <w:szCs w:val="20"/>
          <w:vertAlign w:val="superscript"/>
        </w:rPr>
        <w:t>th</w:t>
      </w:r>
      <w:r w:rsidR="004F1028">
        <w:rPr>
          <w:sz w:val="20"/>
          <w:szCs w:val="20"/>
        </w:rPr>
        <w:t xml:space="preserve"> </w:t>
      </w:r>
      <w:r w:rsidRPr="004A13CD">
        <w:rPr>
          <w:sz w:val="20"/>
          <w:szCs w:val="20"/>
        </w:rPr>
        <w:t>Edition. Phi</w:t>
      </w:r>
      <w:r w:rsidR="004F1028">
        <w:rPr>
          <w:sz w:val="20"/>
          <w:szCs w:val="20"/>
        </w:rPr>
        <w:t>l</w:t>
      </w:r>
      <w:r w:rsidRPr="004A13CD">
        <w:rPr>
          <w:sz w:val="20"/>
          <w:szCs w:val="20"/>
        </w:rPr>
        <w:t>adelphia, PA: Elsevier, 2016.</w:t>
      </w:r>
    </w:p>
    <w:p w14:paraId="6718E89A" w14:textId="2646BEE5" w:rsidR="00226568" w:rsidRPr="004A13CD" w:rsidRDefault="00226568" w:rsidP="001133C3">
      <w:pPr>
        <w:spacing w:before="240"/>
        <w:rPr>
          <w:sz w:val="20"/>
          <w:szCs w:val="20"/>
        </w:rPr>
      </w:pPr>
      <w:r w:rsidRPr="004A13CD">
        <w:rPr>
          <w:sz w:val="20"/>
          <w:szCs w:val="20"/>
        </w:rPr>
        <w:t xml:space="preserve">Sinusitis (acute): antimicrobial prescribing. NICE. Retrieved from </w:t>
      </w:r>
      <w:hyperlink r:id="rId8" w:history="1">
        <w:r w:rsidR="00C94524" w:rsidRPr="00556B4B">
          <w:rPr>
            <w:rStyle w:val="Hyperlink"/>
            <w:sz w:val="20"/>
            <w:szCs w:val="20"/>
          </w:rPr>
          <w:t>https://www.nice.org.uk/guidance/ng79/documents/consultation-document</w:t>
        </w:r>
      </w:hyperlink>
      <w:r w:rsidR="00C94524">
        <w:rPr>
          <w:sz w:val="20"/>
          <w:szCs w:val="20"/>
        </w:rPr>
        <w:t xml:space="preserve"> </w:t>
      </w:r>
      <w:r w:rsidRPr="004A13CD">
        <w:rPr>
          <w:sz w:val="20"/>
          <w:szCs w:val="20"/>
        </w:rPr>
        <w:t>on 23/02/19.</w:t>
      </w:r>
    </w:p>
    <w:p w14:paraId="667F0629" w14:textId="77777777" w:rsidR="00226568" w:rsidRPr="004A13CD" w:rsidRDefault="00226568" w:rsidP="001133C3">
      <w:pPr>
        <w:spacing w:before="240"/>
        <w:rPr>
          <w:sz w:val="20"/>
          <w:szCs w:val="20"/>
        </w:rPr>
      </w:pPr>
      <w:r w:rsidRPr="004A13CD">
        <w:rPr>
          <w:sz w:val="20"/>
          <w:szCs w:val="20"/>
        </w:rPr>
        <w:t>Standard Treatment Guidelines, 6th Edition, 2010. ISBN 978-9988-1-2538-7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42B89ABB" w14:textId="77777777" w:rsidTr="00515546">
        <w:trPr>
          <w:trHeight w:val="20"/>
        </w:trPr>
        <w:tc>
          <w:tcPr>
            <w:tcW w:w="2139" w:type="dxa"/>
            <w:shd w:val="clear" w:color="auto" w:fill="auto"/>
            <w:vAlign w:val="bottom"/>
          </w:tcPr>
          <w:p w14:paraId="78600407" w14:textId="77777777" w:rsidR="004C4442" w:rsidRPr="00515546" w:rsidRDefault="004C4442" w:rsidP="004F1028">
            <w:pPr>
              <w:spacing w:after="0"/>
              <w:rPr>
                <w:b/>
                <w:szCs w:val="22"/>
              </w:rPr>
            </w:pPr>
            <w:r w:rsidRPr="00515546">
              <w:rPr>
                <w:b/>
                <w:szCs w:val="22"/>
              </w:rPr>
              <w:t>Written by:</w:t>
            </w:r>
          </w:p>
        </w:tc>
        <w:tc>
          <w:tcPr>
            <w:tcW w:w="3622" w:type="dxa"/>
            <w:shd w:val="clear" w:color="auto" w:fill="auto"/>
            <w:vAlign w:val="bottom"/>
          </w:tcPr>
          <w:p w14:paraId="16876A1F" w14:textId="51780D37" w:rsidR="004C4442" w:rsidRPr="00515546" w:rsidRDefault="004C4442" w:rsidP="004F1028">
            <w:pPr>
              <w:spacing w:after="0"/>
              <w:rPr>
                <w:szCs w:val="22"/>
              </w:rPr>
            </w:pPr>
            <w:r w:rsidRPr="00515546">
              <w:rPr>
                <w:szCs w:val="22"/>
              </w:rPr>
              <w:t>Name</w:t>
            </w:r>
            <w:r w:rsidR="005638D0">
              <w:rPr>
                <w:szCs w:val="22"/>
              </w:rPr>
              <w:t xml:space="preserve">: </w:t>
            </w:r>
            <w:r w:rsidR="001133C3">
              <w:rPr>
                <w:szCs w:val="22"/>
              </w:rPr>
              <w:t>Fatoumata Sawaneh</w:t>
            </w:r>
          </w:p>
        </w:tc>
        <w:tc>
          <w:tcPr>
            <w:tcW w:w="2869" w:type="dxa"/>
            <w:shd w:val="clear" w:color="auto" w:fill="auto"/>
            <w:vAlign w:val="bottom"/>
          </w:tcPr>
          <w:p w14:paraId="63FED830" w14:textId="1115D985" w:rsidR="004C4442" w:rsidRPr="00515546" w:rsidRDefault="004C4442" w:rsidP="004F1028">
            <w:pPr>
              <w:spacing w:after="0"/>
              <w:rPr>
                <w:szCs w:val="22"/>
              </w:rPr>
            </w:pPr>
            <w:r w:rsidRPr="00515546">
              <w:rPr>
                <w:szCs w:val="22"/>
              </w:rPr>
              <w:t xml:space="preserve">Date: </w:t>
            </w:r>
            <w:r w:rsidR="001133C3">
              <w:rPr>
                <w:szCs w:val="22"/>
              </w:rPr>
              <w:t>27 February 2019</w:t>
            </w:r>
          </w:p>
        </w:tc>
      </w:tr>
      <w:tr w:rsidR="004C4442" w:rsidRPr="00515546" w14:paraId="24D05F29" w14:textId="77777777" w:rsidTr="00515546">
        <w:trPr>
          <w:trHeight w:val="20"/>
        </w:trPr>
        <w:tc>
          <w:tcPr>
            <w:tcW w:w="2139" w:type="dxa"/>
            <w:shd w:val="clear" w:color="auto" w:fill="auto"/>
            <w:vAlign w:val="bottom"/>
          </w:tcPr>
          <w:p w14:paraId="3F14C3FC" w14:textId="77777777" w:rsidR="004C4442" w:rsidRPr="00515546" w:rsidRDefault="004C4442" w:rsidP="004F1028">
            <w:pPr>
              <w:spacing w:after="0"/>
              <w:rPr>
                <w:b/>
                <w:szCs w:val="22"/>
              </w:rPr>
            </w:pPr>
            <w:r w:rsidRPr="00515546">
              <w:rPr>
                <w:b/>
                <w:szCs w:val="22"/>
              </w:rPr>
              <w:t>Reviewed by:</w:t>
            </w:r>
          </w:p>
        </w:tc>
        <w:tc>
          <w:tcPr>
            <w:tcW w:w="3622" w:type="dxa"/>
            <w:shd w:val="clear" w:color="auto" w:fill="auto"/>
            <w:vAlign w:val="bottom"/>
          </w:tcPr>
          <w:p w14:paraId="1AAF8266" w14:textId="3B300157" w:rsidR="004C4442" w:rsidRPr="00515546" w:rsidRDefault="004C4442" w:rsidP="004F1028">
            <w:pPr>
              <w:spacing w:after="0"/>
              <w:rPr>
                <w:szCs w:val="22"/>
              </w:rPr>
            </w:pPr>
            <w:r w:rsidRPr="00515546">
              <w:rPr>
                <w:szCs w:val="22"/>
              </w:rPr>
              <w:t xml:space="preserve">Name: </w:t>
            </w:r>
            <w:r w:rsidR="001431C4">
              <w:rPr>
                <w:szCs w:val="22"/>
              </w:rPr>
              <w:t>Baderinwa Abatan</w:t>
            </w:r>
          </w:p>
        </w:tc>
        <w:tc>
          <w:tcPr>
            <w:tcW w:w="2869" w:type="dxa"/>
            <w:shd w:val="clear" w:color="auto" w:fill="auto"/>
            <w:vAlign w:val="bottom"/>
          </w:tcPr>
          <w:p w14:paraId="5A2A5374" w14:textId="0B9871E0" w:rsidR="004C4442" w:rsidRPr="00515546" w:rsidRDefault="004C4442" w:rsidP="004F1028">
            <w:pPr>
              <w:spacing w:after="0"/>
              <w:rPr>
                <w:szCs w:val="22"/>
              </w:rPr>
            </w:pPr>
            <w:r w:rsidRPr="00515546">
              <w:rPr>
                <w:szCs w:val="22"/>
              </w:rPr>
              <w:t xml:space="preserve">Date: </w:t>
            </w:r>
            <w:r w:rsidR="001133C3">
              <w:rPr>
                <w:szCs w:val="22"/>
              </w:rPr>
              <w:t>03 May 2019</w:t>
            </w:r>
          </w:p>
        </w:tc>
      </w:tr>
      <w:tr w:rsidR="004C4442" w:rsidRPr="00515546" w14:paraId="191D32CD" w14:textId="77777777" w:rsidTr="00515546">
        <w:trPr>
          <w:trHeight w:val="20"/>
        </w:trPr>
        <w:tc>
          <w:tcPr>
            <w:tcW w:w="2139" w:type="dxa"/>
            <w:shd w:val="clear" w:color="auto" w:fill="auto"/>
            <w:vAlign w:val="bottom"/>
          </w:tcPr>
          <w:p w14:paraId="68DF6F73" w14:textId="77777777" w:rsidR="004C4442" w:rsidRPr="00515546" w:rsidRDefault="004C4442" w:rsidP="004F1028">
            <w:pPr>
              <w:spacing w:after="0"/>
              <w:rPr>
                <w:szCs w:val="22"/>
              </w:rPr>
            </w:pPr>
            <w:r w:rsidRPr="00515546">
              <w:rPr>
                <w:b/>
                <w:szCs w:val="22"/>
              </w:rPr>
              <w:t>Version:</w:t>
            </w:r>
          </w:p>
        </w:tc>
        <w:tc>
          <w:tcPr>
            <w:tcW w:w="3622" w:type="dxa"/>
            <w:shd w:val="clear" w:color="auto" w:fill="auto"/>
            <w:vAlign w:val="bottom"/>
          </w:tcPr>
          <w:p w14:paraId="5EC37A86" w14:textId="77777777" w:rsidR="004C4442" w:rsidRPr="00515546" w:rsidRDefault="004C4442" w:rsidP="004F1028">
            <w:pPr>
              <w:spacing w:after="0"/>
              <w:rPr>
                <w:szCs w:val="22"/>
              </w:rPr>
            </w:pPr>
            <w:r w:rsidRPr="00515546">
              <w:rPr>
                <w:b/>
                <w:szCs w:val="22"/>
              </w:rPr>
              <w:t>Change history:</w:t>
            </w:r>
          </w:p>
        </w:tc>
        <w:tc>
          <w:tcPr>
            <w:tcW w:w="2869" w:type="dxa"/>
            <w:shd w:val="clear" w:color="auto" w:fill="auto"/>
            <w:vAlign w:val="bottom"/>
          </w:tcPr>
          <w:p w14:paraId="0C40482A" w14:textId="77777777" w:rsidR="004C4442" w:rsidRPr="00515546" w:rsidRDefault="004C4442" w:rsidP="004F1028">
            <w:pPr>
              <w:spacing w:after="0"/>
              <w:rPr>
                <w:b/>
                <w:szCs w:val="22"/>
              </w:rPr>
            </w:pPr>
            <w:r w:rsidRPr="00515546">
              <w:rPr>
                <w:b/>
                <w:szCs w:val="22"/>
              </w:rPr>
              <w:t>Review due date:</w:t>
            </w:r>
          </w:p>
        </w:tc>
      </w:tr>
      <w:tr w:rsidR="004C4442" w:rsidRPr="00515546" w14:paraId="5C5E04AA" w14:textId="77777777" w:rsidTr="00515546">
        <w:trPr>
          <w:trHeight w:val="20"/>
        </w:trPr>
        <w:tc>
          <w:tcPr>
            <w:tcW w:w="2139" w:type="dxa"/>
            <w:shd w:val="clear" w:color="auto" w:fill="auto"/>
            <w:vAlign w:val="bottom"/>
          </w:tcPr>
          <w:p w14:paraId="10329727" w14:textId="77777777" w:rsidR="004C4442" w:rsidRPr="00515546" w:rsidRDefault="004C4442" w:rsidP="004F1028">
            <w:pPr>
              <w:spacing w:after="0"/>
              <w:rPr>
                <w:szCs w:val="22"/>
              </w:rPr>
            </w:pPr>
            <w:r w:rsidRPr="00515546">
              <w:rPr>
                <w:szCs w:val="22"/>
              </w:rPr>
              <w:t>1.0</w:t>
            </w:r>
          </w:p>
        </w:tc>
        <w:tc>
          <w:tcPr>
            <w:tcW w:w="3622" w:type="dxa"/>
            <w:shd w:val="clear" w:color="auto" w:fill="auto"/>
            <w:vAlign w:val="bottom"/>
          </w:tcPr>
          <w:p w14:paraId="7FDD5AE0" w14:textId="77777777" w:rsidR="004C4442" w:rsidRPr="00515546" w:rsidRDefault="004C4442" w:rsidP="004F1028">
            <w:pPr>
              <w:spacing w:after="0"/>
              <w:rPr>
                <w:szCs w:val="22"/>
              </w:rPr>
            </w:pPr>
            <w:r w:rsidRPr="00515546">
              <w:rPr>
                <w:szCs w:val="22"/>
              </w:rPr>
              <w:t>New document</w:t>
            </w:r>
          </w:p>
        </w:tc>
        <w:tc>
          <w:tcPr>
            <w:tcW w:w="2869" w:type="dxa"/>
            <w:shd w:val="clear" w:color="auto" w:fill="auto"/>
            <w:vAlign w:val="bottom"/>
          </w:tcPr>
          <w:p w14:paraId="69F44DEA" w14:textId="3F1B7BB9" w:rsidR="004C4442" w:rsidRPr="00515546" w:rsidRDefault="00916EC0" w:rsidP="004F1028">
            <w:pPr>
              <w:spacing w:after="0"/>
              <w:rPr>
                <w:szCs w:val="22"/>
              </w:rPr>
            </w:pPr>
            <w:r>
              <w:rPr>
                <w:szCs w:val="22"/>
              </w:rPr>
              <w:t>31 May 2021</w:t>
            </w:r>
          </w:p>
        </w:tc>
      </w:tr>
      <w:tr w:rsidR="005638D0" w:rsidRPr="00515546" w14:paraId="66781D7A" w14:textId="77777777" w:rsidTr="00515546">
        <w:trPr>
          <w:trHeight w:val="20"/>
        </w:trPr>
        <w:tc>
          <w:tcPr>
            <w:tcW w:w="2139" w:type="dxa"/>
            <w:shd w:val="clear" w:color="auto" w:fill="auto"/>
            <w:vAlign w:val="bottom"/>
          </w:tcPr>
          <w:p w14:paraId="1DE5D4DD"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523D35E" w14:textId="77777777" w:rsidR="005638D0" w:rsidRPr="00515546" w:rsidRDefault="005638D0" w:rsidP="005638D0">
            <w:pPr>
              <w:spacing w:after="0"/>
              <w:rPr>
                <w:szCs w:val="22"/>
              </w:rPr>
            </w:pPr>
          </w:p>
        </w:tc>
        <w:tc>
          <w:tcPr>
            <w:tcW w:w="2869" w:type="dxa"/>
            <w:shd w:val="clear" w:color="auto" w:fill="auto"/>
            <w:vAlign w:val="bottom"/>
          </w:tcPr>
          <w:p w14:paraId="1A706FA7" w14:textId="77777777" w:rsidR="005638D0" w:rsidRPr="00515546" w:rsidRDefault="005638D0" w:rsidP="005638D0">
            <w:pPr>
              <w:spacing w:after="0"/>
              <w:rPr>
                <w:b/>
                <w:szCs w:val="22"/>
              </w:rPr>
            </w:pPr>
          </w:p>
        </w:tc>
      </w:tr>
    </w:tbl>
    <w:p w14:paraId="290FB9EC" w14:textId="77777777" w:rsidR="00975A60" w:rsidRPr="00CC3CF5" w:rsidRDefault="00975A60" w:rsidP="00975A60">
      <w:pPr>
        <w:rPr>
          <w:szCs w:val="22"/>
        </w:rPr>
      </w:pPr>
    </w:p>
    <w:sectPr w:rsidR="00975A60" w:rsidRPr="00CC3CF5"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B0CF" w14:textId="77777777" w:rsidR="00B25F64" w:rsidRDefault="00B25F64" w:rsidP="00975A60">
      <w:pPr>
        <w:spacing w:after="0"/>
      </w:pPr>
      <w:r>
        <w:separator/>
      </w:r>
    </w:p>
  </w:endnote>
  <w:endnote w:type="continuationSeparator" w:id="0">
    <w:p w14:paraId="57E76557" w14:textId="77777777" w:rsidR="00B25F64" w:rsidRDefault="00B25F6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54E2C" w14:textId="77777777" w:rsidR="00886B35" w:rsidRDefault="00886B35"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4493D3" w14:textId="77777777" w:rsidR="00886B35" w:rsidRDefault="00886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286C" w14:textId="77777777" w:rsidR="00886B35" w:rsidRPr="003A02A5" w:rsidRDefault="00886B35"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205AA">
      <w:rPr>
        <w:rStyle w:val="PageNumber"/>
        <w:noProof/>
      </w:rPr>
      <w:t>3</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205AA">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13BAA" w14:textId="77777777" w:rsidR="00886B35" w:rsidRDefault="00886B3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205AA">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205AA">
      <w:rPr>
        <w:rStyle w:val="PageNumber"/>
        <w:noProof/>
      </w:rPr>
      <w:t>1</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FE441" w14:textId="77777777" w:rsidR="00B25F64" w:rsidRDefault="00B25F64" w:rsidP="00975A60">
      <w:pPr>
        <w:spacing w:after="0"/>
      </w:pPr>
      <w:r>
        <w:separator/>
      </w:r>
    </w:p>
  </w:footnote>
  <w:footnote w:type="continuationSeparator" w:id="0">
    <w:p w14:paraId="58119566" w14:textId="77777777" w:rsidR="00B25F64" w:rsidRDefault="00B25F6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B67B" w14:textId="522D6402" w:rsidR="00886B35" w:rsidRPr="00F87812" w:rsidRDefault="00886B35" w:rsidP="00D13825">
    <w:pPr>
      <w:pStyle w:val="Header"/>
    </w:pPr>
    <w:r w:rsidRPr="00F87812">
      <w:t>Identification code: MeG-CLS-</w:t>
    </w:r>
    <w:r>
      <w:t>062</w:t>
    </w:r>
    <w:r w:rsidRPr="00F87812">
      <w:tab/>
    </w:r>
  </w:p>
  <w:p w14:paraId="674A94FA" w14:textId="6EFCB01D" w:rsidR="00886B35" w:rsidRPr="0095050B" w:rsidRDefault="00886B35" w:rsidP="00D13825">
    <w:pPr>
      <w:pStyle w:val="Header"/>
    </w:pPr>
    <w:r w:rsidRPr="0095050B">
      <w:t xml:space="preserve">Version: 1.0 – </w:t>
    </w:r>
    <w:r>
      <w:t>31 May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97CE0" w14:textId="77777777" w:rsidR="00886B35" w:rsidRDefault="00886B3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2169BE17" wp14:editId="70AE47A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4F88646" w14:textId="77777777" w:rsidR="00886B35" w:rsidRDefault="00886B3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5D4410A8" w14:textId="77777777" w:rsidR="00886B35" w:rsidRPr="003C0800" w:rsidRDefault="00886B35" w:rsidP="00D13825">
    <w:pPr>
      <w:pStyle w:val="Header"/>
      <w:ind w:firstLine="2880"/>
      <w:rPr>
        <w:rFonts w:cs="Arial"/>
        <w:b/>
      </w:rPr>
    </w:pPr>
  </w:p>
  <w:p w14:paraId="173FE615" w14:textId="21B228EF" w:rsidR="00886B35" w:rsidRPr="00F87812" w:rsidRDefault="00886B35" w:rsidP="00D13825">
    <w:pPr>
      <w:pStyle w:val="Header"/>
    </w:pPr>
    <w:r w:rsidRPr="00F87812">
      <w:t>Identification code: MeG-CLS-</w:t>
    </w:r>
    <w:r>
      <w:t>062</w:t>
    </w:r>
    <w:r w:rsidRPr="00F87812">
      <w:tab/>
    </w:r>
  </w:p>
  <w:p w14:paraId="096A806F" w14:textId="1B54C324" w:rsidR="00886B35" w:rsidRPr="00F87812" w:rsidRDefault="00886B35" w:rsidP="00D13825">
    <w:pPr>
      <w:pStyle w:val="Header"/>
    </w:pPr>
    <w:r w:rsidRPr="00F87812">
      <w:t xml:space="preserve">Version: </w:t>
    </w:r>
    <w:r w:rsidRPr="0095050B">
      <w:t xml:space="preserve">1.0 – </w:t>
    </w:r>
    <w:r>
      <w:t>31 May 2019</w:t>
    </w:r>
  </w:p>
  <w:p w14:paraId="55CDDCC4" w14:textId="77777777" w:rsidR="00886B35" w:rsidRDefault="00886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E8B6A4"/>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F43EA1E8"/>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8345B1"/>
    <w:multiLevelType w:val="hybridMultilevel"/>
    <w:tmpl w:val="D0DC2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E457E2"/>
    <w:multiLevelType w:val="hybridMultilevel"/>
    <w:tmpl w:val="7EFE7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1FF61F5"/>
    <w:multiLevelType w:val="hybridMultilevel"/>
    <w:tmpl w:val="72FE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6A24CCD"/>
    <w:multiLevelType w:val="hybridMultilevel"/>
    <w:tmpl w:val="595EFD22"/>
    <w:lvl w:ilvl="0" w:tplc="B28A03B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FF64BB"/>
    <w:multiLevelType w:val="hybridMultilevel"/>
    <w:tmpl w:val="52E0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2C28AF"/>
    <w:multiLevelType w:val="hybridMultilevel"/>
    <w:tmpl w:val="1B38AB60"/>
    <w:lvl w:ilvl="0" w:tplc="B28A03B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A745B0B"/>
    <w:multiLevelType w:val="hybridMultilevel"/>
    <w:tmpl w:val="0014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33F6"/>
    <w:multiLevelType w:val="hybridMultilevel"/>
    <w:tmpl w:val="292E21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2"/>
  </w:num>
  <w:num w:numId="4">
    <w:abstractNumId w:val="1"/>
  </w:num>
  <w:num w:numId="5">
    <w:abstractNumId w:val="0"/>
  </w:num>
  <w:num w:numId="6">
    <w:abstractNumId w:val="6"/>
  </w:num>
  <w:num w:numId="7">
    <w:abstractNumId w:val="20"/>
  </w:num>
  <w:num w:numId="8">
    <w:abstractNumId w:val="2"/>
  </w:num>
  <w:num w:numId="9">
    <w:abstractNumId w:val="36"/>
  </w:num>
  <w:num w:numId="10">
    <w:abstractNumId w:val="5"/>
  </w:num>
  <w:num w:numId="11">
    <w:abstractNumId w:val="13"/>
  </w:num>
  <w:num w:numId="12">
    <w:abstractNumId w:val="26"/>
  </w:num>
  <w:num w:numId="13">
    <w:abstractNumId w:val="31"/>
  </w:num>
  <w:num w:numId="14">
    <w:abstractNumId w:val="29"/>
  </w:num>
  <w:num w:numId="15">
    <w:abstractNumId w:val="35"/>
  </w:num>
  <w:num w:numId="16">
    <w:abstractNumId w:val="16"/>
  </w:num>
  <w:num w:numId="17">
    <w:abstractNumId w:val="10"/>
  </w:num>
  <w:num w:numId="18">
    <w:abstractNumId w:val="30"/>
  </w:num>
  <w:num w:numId="19">
    <w:abstractNumId w:val="17"/>
  </w:num>
  <w:num w:numId="20">
    <w:abstractNumId w:val="33"/>
  </w:num>
  <w:num w:numId="21">
    <w:abstractNumId w:val="19"/>
  </w:num>
  <w:num w:numId="22">
    <w:abstractNumId w:val="11"/>
  </w:num>
  <w:num w:numId="23">
    <w:abstractNumId w:val="25"/>
  </w:num>
  <w:num w:numId="24">
    <w:abstractNumId w:val="28"/>
  </w:num>
  <w:num w:numId="25">
    <w:abstractNumId w:val="22"/>
  </w:num>
  <w:num w:numId="26">
    <w:abstractNumId w:val="14"/>
  </w:num>
  <w:num w:numId="27">
    <w:abstractNumId w:val="8"/>
  </w:num>
  <w:num w:numId="28">
    <w:abstractNumId w:val="32"/>
  </w:num>
  <w:num w:numId="29">
    <w:abstractNumId w:val="23"/>
  </w:num>
  <w:num w:numId="30">
    <w:abstractNumId w:val="3"/>
  </w:num>
  <w:num w:numId="31">
    <w:abstractNumId w:val="24"/>
  </w:num>
  <w:num w:numId="32">
    <w:abstractNumId w:val="21"/>
  </w:num>
  <w:num w:numId="33">
    <w:abstractNumId w:val="9"/>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34"/>
  </w:num>
  <w:num w:numId="37">
    <w:abstractNumId w:val="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2NTcyNjEwMjYzNDVS0lEKTi0uzszPAykwqQUAHc4DhSwAAAA="/>
  </w:docVars>
  <w:rsids>
    <w:rsidRoot w:val="00226568"/>
    <w:rsid w:val="000039D9"/>
    <w:rsid w:val="0007147C"/>
    <w:rsid w:val="00081642"/>
    <w:rsid w:val="0010300E"/>
    <w:rsid w:val="001133C3"/>
    <w:rsid w:val="00114AAF"/>
    <w:rsid w:val="001203AE"/>
    <w:rsid w:val="001431C4"/>
    <w:rsid w:val="00175153"/>
    <w:rsid w:val="001C1450"/>
    <w:rsid w:val="00223920"/>
    <w:rsid w:val="00226568"/>
    <w:rsid w:val="00252A11"/>
    <w:rsid w:val="0029357D"/>
    <w:rsid w:val="002A2856"/>
    <w:rsid w:val="003020A2"/>
    <w:rsid w:val="003038D3"/>
    <w:rsid w:val="003225CD"/>
    <w:rsid w:val="003C0800"/>
    <w:rsid w:val="003F70CA"/>
    <w:rsid w:val="004A13CD"/>
    <w:rsid w:val="004A25F0"/>
    <w:rsid w:val="004A4C93"/>
    <w:rsid w:val="004C4442"/>
    <w:rsid w:val="004F1028"/>
    <w:rsid w:val="00504405"/>
    <w:rsid w:val="005151D8"/>
    <w:rsid w:val="00515546"/>
    <w:rsid w:val="005638D0"/>
    <w:rsid w:val="00584E1E"/>
    <w:rsid w:val="005D1877"/>
    <w:rsid w:val="00633320"/>
    <w:rsid w:val="007067BE"/>
    <w:rsid w:val="007B26B1"/>
    <w:rsid w:val="007E4B80"/>
    <w:rsid w:val="00857027"/>
    <w:rsid w:val="00886B35"/>
    <w:rsid w:val="009165E9"/>
    <w:rsid w:val="00916EC0"/>
    <w:rsid w:val="009325A7"/>
    <w:rsid w:val="0095050B"/>
    <w:rsid w:val="009747D5"/>
    <w:rsid w:val="00975A60"/>
    <w:rsid w:val="009956F9"/>
    <w:rsid w:val="009B44BE"/>
    <w:rsid w:val="009F5B1B"/>
    <w:rsid w:val="00A312D8"/>
    <w:rsid w:val="00A41080"/>
    <w:rsid w:val="00A57064"/>
    <w:rsid w:val="00B25F64"/>
    <w:rsid w:val="00B31AC4"/>
    <w:rsid w:val="00B844E8"/>
    <w:rsid w:val="00BD08AB"/>
    <w:rsid w:val="00C67021"/>
    <w:rsid w:val="00C94524"/>
    <w:rsid w:val="00CC3CF5"/>
    <w:rsid w:val="00CD4A1D"/>
    <w:rsid w:val="00CF7CD7"/>
    <w:rsid w:val="00D03AB2"/>
    <w:rsid w:val="00D13825"/>
    <w:rsid w:val="00D205AA"/>
    <w:rsid w:val="00D9224F"/>
    <w:rsid w:val="00DA20ED"/>
    <w:rsid w:val="00DC1CC5"/>
    <w:rsid w:val="00DC590C"/>
    <w:rsid w:val="00DE3D6D"/>
    <w:rsid w:val="00DE5A72"/>
    <w:rsid w:val="00DF345F"/>
    <w:rsid w:val="00E162DA"/>
    <w:rsid w:val="00F03F25"/>
    <w:rsid w:val="00F53968"/>
    <w:rsid w:val="00F71F11"/>
    <w:rsid w:val="00FE4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7ADA0"/>
  <w15:docId w15:val="{895B0D5D-EDA7-4B75-8078-E358BB4A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FollowedHyperlink">
    <w:name w:val="FollowedHyperlink"/>
    <w:basedOn w:val="DefaultParagraphFont"/>
    <w:rsid w:val="004F1028"/>
    <w:rPr>
      <w:color w:val="800080" w:themeColor="followedHyperlink"/>
      <w:u w:val="single"/>
    </w:rPr>
  </w:style>
  <w:style w:type="character" w:styleId="CommentReference">
    <w:name w:val="annotation reference"/>
    <w:basedOn w:val="DefaultParagraphFont"/>
    <w:semiHidden/>
    <w:unhideWhenUsed/>
    <w:rsid w:val="007E4B80"/>
    <w:rPr>
      <w:sz w:val="16"/>
      <w:szCs w:val="16"/>
    </w:rPr>
  </w:style>
  <w:style w:type="paragraph" w:styleId="CommentText">
    <w:name w:val="annotation text"/>
    <w:basedOn w:val="Normal"/>
    <w:link w:val="CommentTextChar"/>
    <w:semiHidden/>
    <w:unhideWhenUsed/>
    <w:rsid w:val="007E4B80"/>
    <w:rPr>
      <w:sz w:val="20"/>
      <w:szCs w:val="20"/>
    </w:rPr>
  </w:style>
  <w:style w:type="character" w:customStyle="1" w:styleId="CommentTextChar">
    <w:name w:val="Comment Text Char"/>
    <w:basedOn w:val="DefaultParagraphFont"/>
    <w:link w:val="CommentText"/>
    <w:semiHidden/>
    <w:rsid w:val="007E4B80"/>
    <w:rPr>
      <w:rFonts w:ascii="Arial" w:hAnsi="Arial"/>
      <w:lang w:val="en-US"/>
    </w:rPr>
  </w:style>
  <w:style w:type="paragraph" w:styleId="CommentSubject">
    <w:name w:val="annotation subject"/>
    <w:basedOn w:val="CommentText"/>
    <w:next w:val="CommentText"/>
    <w:link w:val="CommentSubjectChar"/>
    <w:semiHidden/>
    <w:unhideWhenUsed/>
    <w:rsid w:val="007E4B80"/>
    <w:rPr>
      <w:b/>
      <w:bCs/>
    </w:rPr>
  </w:style>
  <w:style w:type="character" w:customStyle="1" w:styleId="CommentSubjectChar">
    <w:name w:val="Comment Subject Char"/>
    <w:basedOn w:val="CommentTextChar"/>
    <w:link w:val="CommentSubject"/>
    <w:semiHidden/>
    <w:rsid w:val="007E4B80"/>
    <w:rPr>
      <w:rFonts w:ascii="Arial" w:hAnsi="Arial"/>
      <w:b/>
      <w:bCs/>
      <w:lang w:val="en-US"/>
    </w:rPr>
  </w:style>
  <w:style w:type="paragraph" w:styleId="Revision">
    <w:name w:val="Revision"/>
    <w:hidden/>
    <w:semiHidden/>
    <w:rsid w:val="00FE47CC"/>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ng79/documents/consultation-documen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atient.info/doctor/sinusitis-pr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1</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3</cp:revision>
  <cp:lastPrinted>2019-05-31T09:56:00Z</cp:lastPrinted>
  <dcterms:created xsi:type="dcterms:W3CDTF">2019-05-27T15:01:00Z</dcterms:created>
  <dcterms:modified xsi:type="dcterms:W3CDTF">2019-05-31T09:56:00Z</dcterms:modified>
</cp:coreProperties>
</file>