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AF40" w14:textId="2FCB7E93" w:rsidR="00B87A44" w:rsidRPr="003C0800" w:rsidRDefault="0092542D" w:rsidP="00B87A44">
      <w:pPr>
        <w:pStyle w:val="Heading1"/>
        <w:rPr>
          <w:rFonts w:cs="Arial"/>
          <w:szCs w:val="22"/>
        </w:rPr>
      </w:pPr>
      <w:r w:rsidRPr="00070BDF">
        <w:rPr>
          <w:rFonts w:cs="Arial"/>
          <w:i/>
          <w:szCs w:val="22"/>
        </w:rPr>
        <w:t>Staphylococcus aureus</w:t>
      </w:r>
      <w:r>
        <w:rPr>
          <w:rFonts w:cs="Arial"/>
          <w:szCs w:val="22"/>
        </w:rPr>
        <w:t xml:space="preserve"> </w:t>
      </w:r>
      <w:proofErr w:type="spellStart"/>
      <w:r>
        <w:rPr>
          <w:rFonts w:cs="Arial"/>
          <w:szCs w:val="22"/>
        </w:rPr>
        <w:t>bacteraemia</w:t>
      </w:r>
      <w:proofErr w:type="spellEnd"/>
      <w:r w:rsidR="00070BDF">
        <w:rPr>
          <w:rFonts w:cs="Arial"/>
          <w:szCs w:val="22"/>
        </w:rPr>
        <w:t xml:space="preserve"> (bloodstream infection)</w:t>
      </w:r>
    </w:p>
    <w:p w14:paraId="2CA61A45" w14:textId="77777777" w:rsidR="00F357A9" w:rsidRDefault="00F357A9" w:rsidP="00F357A9">
      <w:pPr>
        <w:pStyle w:val="Heading2"/>
        <w:rPr>
          <w:rFonts w:eastAsia="Times New Roman"/>
          <w:i/>
          <w:iCs/>
        </w:rPr>
      </w:pPr>
      <w:r>
        <w:rPr>
          <w:rFonts w:eastAsia="Times New Roman"/>
          <w:i/>
          <w:iCs/>
        </w:rPr>
        <w:t>Executive summary</w:t>
      </w:r>
    </w:p>
    <w:p w14:paraId="7B4A91D2" w14:textId="77777777" w:rsidR="00F357A9" w:rsidRDefault="00F357A9" w:rsidP="00F357A9">
      <w:pPr>
        <w:pStyle w:val="Heading2"/>
        <w:rPr>
          <w:sz w:val="23"/>
          <w:szCs w:val="23"/>
        </w:rPr>
      </w:pPr>
      <w:r>
        <w:rPr>
          <w:rFonts w:eastAsia="Times New Roman"/>
        </w:rPr>
        <w:t>Introduction</w:t>
      </w:r>
      <w:r>
        <w:rPr>
          <w:b w:val="0"/>
          <w:bCs/>
          <w:sz w:val="23"/>
          <w:szCs w:val="23"/>
        </w:rPr>
        <w:t xml:space="preserve"> </w:t>
      </w:r>
    </w:p>
    <w:p w14:paraId="0F925B0F" w14:textId="35C7E15D" w:rsidR="00A211F1" w:rsidRDefault="001211F9" w:rsidP="00F357A9">
      <w:r w:rsidRPr="00070BDF">
        <w:rPr>
          <w:i/>
        </w:rPr>
        <w:t>Staphylococcus aureus</w:t>
      </w:r>
      <w:r>
        <w:t xml:space="preserve"> (</w:t>
      </w:r>
      <w:r w:rsidRPr="00070BDF">
        <w:rPr>
          <w:i/>
        </w:rPr>
        <w:t>S aureus</w:t>
      </w:r>
      <w:r>
        <w:t xml:space="preserve">) is a </w:t>
      </w:r>
      <w:proofErr w:type="gramStart"/>
      <w:r>
        <w:t>Gram positive</w:t>
      </w:r>
      <w:proofErr w:type="gramEnd"/>
      <w:r>
        <w:t xml:space="preserve"> coccus, commonly carried on the skin and in the nose of healthy persons (in approximately 1/4 of Gambian children aged 5-10 years). When it penetrates the </w:t>
      </w:r>
      <w:proofErr w:type="gramStart"/>
      <w:r>
        <w:t>skin</w:t>
      </w:r>
      <w:proofErr w:type="gramEnd"/>
      <w:r>
        <w:t xml:space="preserve"> it causes local abscesses and can seed to cause severe metastatic infection in bones, heart valves</w:t>
      </w:r>
      <w:r w:rsidR="00A211F1">
        <w:t>, lungs</w:t>
      </w:r>
      <w:r>
        <w:t xml:space="preserve"> and other sites. It is one of the most important causes of community and hospital acquired bloodstream infection (</w:t>
      </w:r>
      <w:proofErr w:type="spellStart"/>
      <w:r>
        <w:t>bacteraemia</w:t>
      </w:r>
      <w:proofErr w:type="spellEnd"/>
      <w:r>
        <w:t xml:space="preserve"> – when </w:t>
      </w:r>
      <w:r w:rsidRPr="00070BDF">
        <w:rPr>
          <w:i/>
        </w:rPr>
        <w:t>S aureus</w:t>
      </w:r>
      <w:r>
        <w:t xml:space="preserve"> is grown in blood cultures). </w:t>
      </w:r>
      <w:r w:rsidR="00A211F1" w:rsidRPr="00070BDF">
        <w:rPr>
          <w:i/>
        </w:rPr>
        <w:t>S aureus</w:t>
      </w:r>
      <w:r w:rsidR="00A211F1">
        <w:t xml:space="preserve"> is also recognized as a cause of severe community acquired pneumonia, often following influenza. </w:t>
      </w:r>
    </w:p>
    <w:p w14:paraId="5D76A065" w14:textId="7CBBFC01" w:rsidR="0092542D" w:rsidRDefault="001211F9" w:rsidP="00F357A9">
      <w:r>
        <w:t>In the laboratory it must be distinguished from less pathogenic ‘coagulase-negative Staphylococci’ (CNS) to enable identification of any deep seated infection and targeted therapy to deal with this and/or reduce the chances of these metastatic infections developing at a later date.</w:t>
      </w:r>
    </w:p>
    <w:p w14:paraId="1A156E1D" w14:textId="501D82CD" w:rsidR="00F357A9" w:rsidRPr="00804993" w:rsidRDefault="00F357A9" w:rsidP="00F357A9">
      <w:r w:rsidRPr="00804993">
        <w:t xml:space="preserve">This guideline covers the </w:t>
      </w:r>
      <w:r w:rsidR="001211F9">
        <w:t>clinical approach</w:t>
      </w:r>
      <w:r w:rsidR="001211F9" w:rsidRPr="00804993">
        <w:t xml:space="preserve"> </w:t>
      </w:r>
      <w:r w:rsidRPr="00804993">
        <w:t xml:space="preserve">and treatment of </w:t>
      </w:r>
      <w:r w:rsidR="001211F9" w:rsidRPr="00070BDF">
        <w:rPr>
          <w:i/>
        </w:rPr>
        <w:t>S aureus</w:t>
      </w:r>
      <w:r w:rsidR="001211F9">
        <w:t xml:space="preserve"> bloodstream infection (</w:t>
      </w:r>
      <w:proofErr w:type="spellStart"/>
      <w:r w:rsidR="001211F9">
        <w:t>bacteraemia</w:t>
      </w:r>
      <w:proofErr w:type="spellEnd"/>
      <w:r w:rsidR="001211F9">
        <w:t>).</w:t>
      </w:r>
    </w:p>
    <w:p w14:paraId="432DFBB8" w14:textId="77777777" w:rsidR="00F357A9" w:rsidRDefault="00F357A9" w:rsidP="00F357A9">
      <w:pPr>
        <w:pStyle w:val="Heading2"/>
      </w:pPr>
      <w:r w:rsidRPr="00BF52B2">
        <w:t>Target users</w:t>
      </w:r>
    </w:p>
    <w:p w14:paraId="561E89A0" w14:textId="77777777" w:rsidR="00F357A9" w:rsidRDefault="00F357A9" w:rsidP="00F357A9">
      <w:pPr>
        <w:pStyle w:val="ListParagraph"/>
        <w:numPr>
          <w:ilvl w:val="0"/>
          <w:numId w:val="32"/>
        </w:numPr>
      </w:pPr>
      <w:r>
        <w:t>Nurses</w:t>
      </w:r>
    </w:p>
    <w:p w14:paraId="6C929969" w14:textId="77777777" w:rsidR="00F357A9" w:rsidRPr="00BF52B2" w:rsidRDefault="00F357A9" w:rsidP="00F357A9">
      <w:pPr>
        <w:pStyle w:val="ListParagraph"/>
        <w:numPr>
          <w:ilvl w:val="0"/>
          <w:numId w:val="32"/>
        </w:numPr>
      </w:pPr>
      <w:r>
        <w:t>Doctors</w:t>
      </w:r>
    </w:p>
    <w:p w14:paraId="4F144CA0" w14:textId="77777777" w:rsidR="00F357A9" w:rsidRPr="00BF52B2" w:rsidRDefault="00F357A9" w:rsidP="00F357A9">
      <w:pPr>
        <w:pStyle w:val="Heading2"/>
      </w:pPr>
      <w:r w:rsidRPr="00BF52B2">
        <w:t xml:space="preserve">Target area of use </w:t>
      </w:r>
    </w:p>
    <w:p w14:paraId="37EA11A4" w14:textId="77777777" w:rsidR="00F357A9" w:rsidRPr="00462890" w:rsidRDefault="00F357A9" w:rsidP="00F357A9">
      <w:pPr>
        <w:pStyle w:val="ListParagraph"/>
        <w:numPr>
          <w:ilvl w:val="0"/>
          <w:numId w:val="33"/>
        </w:numPr>
      </w:pPr>
      <w:r w:rsidRPr="00462890">
        <w:t>Outpatient Department</w:t>
      </w:r>
    </w:p>
    <w:p w14:paraId="29B39D91" w14:textId="77777777" w:rsidR="00F357A9" w:rsidRPr="00462890" w:rsidRDefault="00F357A9" w:rsidP="00F357A9">
      <w:pPr>
        <w:pStyle w:val="ListParagraph"/>
        <w:numPr>
          <w:ilvl w:val="0"/>
          <w:numId w:val="33"/>
        </w:numPr>
      </w:pPr>
      <w:r w:rsidRPr="00462890">
        <w:t>Ward</w:t>
      </w:r>
    </w:p>
    <w:p w14:paraId="6AB0871C" w14:textId="63CA3763" w:rsidR="00F357A9" w:rsidRDefault="00F357A9" w:rsidP="00F357A9">
      <w:pPr>
        <w:pStyle w:val="Heading2"/>
      </w:pPr>
      <w:r w:rsidRPr="00BF52B2">
        <w:t xml:space="preserve">Key areas of focus / New additions / Changes </w:t>
      </w:r>
    </w:p>
    <w:p w14:paraId="5FBBB884" w14:textId="22C04814" w:rsidR="004645D8" w:rsidRPr="004645D8" w:rsidRDefault="004645D8" w:rsidP="004645D8">
      <w:r>
        <w:t xml:space="preserve">Diagnosis and management of </w:t>
      </w:r>
      <w:r w:rsidRPr="004645D8">
        <w:rPr>
          <w:i/>
          <w:iCs/>
        </w:rPr>
        <w:t>S</w:t>
      </w:r>
      <w:r>
        <w:rPr>
          <w:i/>
          <w:iCs/>
        </w:rPr>
        <w:t xml:space="preserve"> </w:t>
      </w:r>
      <w:r w:rsidRPr="004645D8">
        <w:rPr>
          <w:i/>
          <w:iCs/>
        </w:rPr>
        <w:t>aureus</w:t>
      </w:r>
      <w:r>
        <w:t xml:space="preserve"> </w:t>
      </w:r>
      <w:proofErr w:type="spellStart"/>
      <w:r>
        <w:t>bacteraemia</w:t>
      </w:r>
      <w:proofErr w:type="spellEnd"/>
      <w:r>
        <w:t>.</w:t>
      </w:r>
    </w:p>
    <w:p w14:paraId="5AD2932E" w14:textId="77777777" w:rsidR="00F357A9" w:rsidRPr="00BF52B2" w:rsidRDefault="00F357A9" w:rsidP="00F357A9">
      <w:pPr>
        <w:pStyle w:val="Heading2"/>
      </w:pPr>
      <w:r w:rsidRPr="00BF52B2">
        <w:t xml:space="preserve">Limitations </w:t>
      </w:r>
    </w:p>
    <w:p w14:paraId="5DFE3CFA" w14:textId="07657600" w:rsidR="00BA17F5" w:rsidRDefault="00BA17F5" w:rsidP="00F357A9">
      <w:r>
        <w:t>Echocardiography is not always available.</w:t>
      </w:r>
    </w:p>
    <w:p w14:paraId="5B653BF4" w14:textId="4599E262" w:rsidR="00F357A9" w:rsidRPr="00864AA2" w:rsidRDefault="00A211F1" w:rsidP="00F357A9">
      <w:r>
        <w:t xml:space="preserve">Treatment of methicillin resistant </w:t>
      </w:r>
      <w:r w:rsidRPr="00070BDF">
        <w:rPr>
          <w:i/>
        </w:rPr>
        <w:t>S aureus</w:t>
      </w:r>
      <w:r>
        <w:t xml:space="preserve"> (MRSA) in The Gambia is limited by availability of suitable antibiotics (</w:t>
      </w:r>
      <w:proofErr w:type="spellStart"/>
      <w:r>
        <w:t>eg.</w:t>
      </w:r>
      <w:proofErr w:type="spellEnd"/>
      <w:r>
        <w:t xml:space="preserve"> The glycopeptid</w:t>
      </w:r>
      <w:r w:rsidR="00DE6FC7">
        <w:t>es vancomycin and teicoplanin, linezolid, tigecycline and daptomycin) and availability of therapeutic drug monitoring for such agents (</w:t>
      </w:r>
      <w:proofErr w:type="spellStart"/>
      <w:r w:rsidR="00DE6FC7">
        <w:t>eg</w:t>
      </w:r>
      <w:proofErr w:type="spellEnd"/>
      <w:r w:rsidR="00DE6FC7">
        <w:t xml:space="preserve"> vancomycin levels).</w:t>
      </w:r>
    </w:p>
    <w:p w14:paraId="55B9DD3A" w14:textId="77777777" w:rsidR="00F357A9" w:rsidRDefault="00F357A9" w:rsidP="00F357A9">
      <w:pPr>
        <w:spacing w:after="0"/>
        <w:outlineLvl w:val="9"/>
      </w:pPr>
      <w:r>
        <w:br w:type="page"/>
      </w:r>
    </w:p>
    <w:p w14:paraId="5668CEE3" w14:textId="15707939" w:rsidR="00B87A44" w:rsidRDefault="00A211F1" w:rsidP="00B87A44">
      <w:pPr>
        <w:pStyle w:val="Heading2"/>
        <w:rPr>
          <w:rFonts w:cs="Arial"/>
          <w:szCs w:val="22"/>
        </w:rPr>
      </w:pPr>
      <w:r>
        <w:rPr>
          <w:rFonts w:cs="Arial"/>
          <w:szCs w:val="22"/>
        </w:rPr>
        <w:lastRenderedPageBreak/>
        <w:t>Clinical a</w:t>
      </w:r>
      <w:r w:rsidR="00FB7298">
        <w:rPr>
          <w:rFonts w:cs="Arial"/>
          <w:szCs w:val="22"/>
        </w:rPr>
        <w:t>pproach</w:t>
      </w:r>
      <w:r>
        <w:rPr>
          <w:rFonts w:cs="Arial"/>
          <w:szCs w:val="22"/>
        </w:rPr>
        <w:t xml:space="preserve"> to a patient with proven or suspected</w:t>
      </w:r>
      <w:r w:rsidR="004645D8">
        <w:rPr>
          <w:rFonts w:cs="Arial"/>
          <w:szCs w:val="22"/>
        </w:rPr>
        <w:t xml:space="preserve"> </w:t>
      </w:r>
      <w:r w:rsidR="004645D8" w:rsidRPr="004645D8">
        <w:rPr>
          <w:rFonts w:cs="Arial"/>
          <w:i/>
          <w:iCs/>
          <w:szCs w:val="22"/>
        </w:rPr>
        <w:t>S</w:t>
      </w:r>
      <w:r w:rsidRPr="004645D8">
        <w:rPr>
          <w:rFonts w:cs="Arial"/>
          <w:i/>
          <w:iCs/>
          <w:szCs w:val="22"/>
        </w:rPr>
        <w:t xml:space="preserve"> </w:t>
      </w:r>
      <w:r w:rsidRPr="00493410">
        <w:rPr>
          <w:rFonts w:cs="Arial"/>
          <w:i/>
          <w:szCs w:val="22"/>
        </w:rPr>
        <w:t>aureus</w:t>
      </w:r>
      <w:r>
        <w:rPr>
          <w:rFonts w:cs="Arial"/>
          <w:szCs w:val="22"/>
        </w:rPr>
        <w:t xml:space="preserve"> </w:t>
      </w:r>
      <w:proofErr w:type="spellStart"/>
      <w:r>
        <w:rPr>
          <w:rFonts w:cs="Arial"/>
          <w:szCs w:val="22"/>
        </w:rPr>
        <w:t>bacteraemia</w:t>
      </w:r>
      <w:proofErr w:type="spellEnd"/>
      <w:r>
        <w:rPr>
          <w:rFonts w:cs="Arial"/>
          <w:szCs w:val="22"/>
        </w:rPr>
        <w:t>:</w:t>
      </w:r>
    </w:p>
    <w:p w14:paraId="5A45137C" w14:textId="409A83FE" w:rsidR="00A211F1" w:rsidRDefault="00A211F1" w:rsidP="004645D8">
      <w:pPr>
        <w:pStyle w:val="Heading3"/>
      </w:pPr>
      <w:r w:rsidRPr="00070BDF">
        <w:t>History and examination</w:t>
      </w:r>
      <w:r>
        <w:t>:</w:t>
      </w:r>
    </w:p>
    <w:p w14:paraId="15326701" w14:textId="4EDF3392" w:rsidR="00A211F1" w:rsidRPr="00A211F1" w:rsidRDefault="00A211F1" w:rsidP="00070BDF">
      <w:r>
        <w:t xml:space="preserve">History should focus on any recent hospital admission or surgery (which may suggest a hospital acquired source), recent pyogenic infection (abscess, adenitis </w:t>
      </w:r>
      <w:proofErr w:type="spellStart"/>
      <w:r>
        <w:t>etc</w:t>
      </w:r>
      <w:proofErr w:type="spellEnd"/>
      <w:r>
        <w:t>) or recent trauma. Attention should also be paid to any history of pre-existing valvular heart disease or prosthesis and any symptoms that may localize infection (</w:t>
      </w:r>
      <w:proofErr w:type="spellStart"/>
      <w:r>
        <w:t>eg</w:t>
      </w:r>
      <w:proofErr w:type="spellEnd"/>
      <w:r>
        <w:t xml:space="preserve"> back pain, cough with sputum, joint pain and swelling </w:t>
      </w:r>
      <w:proofErr w:type="spellStart"/>
      <w:r>
        <w:t>etc</w:t>
      </w:r>
      <w:proofErr w:type="spellEnd"/>
      <w:r>
        <w:t>).</w:t>
      </w:r>
    </w:p>
    <w:p w14:paraId="158F1328" w14:textId="73CBA5F2" w:rsidR="00FB7298" w:rsidRDefault="00FB7298" w:rsidP="00070BDF">
      <w:r w:rsidRPr="00FB7298">
        <w:t xml:space="preserve">Patients with </w:t>
      </w:r>
      <w:r w:rsidRPr="00070BDF">
        <w:rPr>
          <w:i/>
        </w:rPr>
        <w:t>S aureus</w:t>
      </w:r>
      <w:r>
        <w:t xml:space="preserve"> </w:t>
      </w:r>
      <w:proofErr w:type="spellStart"/>
      <w:r>
        <w:t>bacteraemia</w:t>
      </w:r>
      <w:proofErr w:type="spellEnd"/>
      <w:r>
        <w:t xml:space="preserve"> need to be carefully examined for signs of deep seated infection. At times this will entail recalling patients who have been discharged home prior to the blood culture result being available. Attention should be paid to the following:</w:t>
      </w:r>
    </w:p>
    <w:p w14:paraId="2AD77892" w14:textId="6C62AE02" w:rsidR="006D2E57" w:rsidRDefault="006D2E57" w:rsidP="00070BDF">
      <w:r>
        <w:t>Fever – to suggest ongoing infection, though note that recent antibiotic use may have led to absence of fever without fully sterilizing any collections or metastatic spread.</w:t>
      </w:r>
    </w:p>
    <w:p w14:paraId="06DE3602" w14:textId="77777777" w:rsidR="00FB7298" w:rsidRDefault="00FB7298" w:rsidP="00070BDF">
      <w:r>
        <w:t xml:space="preserve">Clinical signs of infective endocarditis – splinter </w:t>
      </w:r>
      <w:proofErr w:type="spellStart"/>
      <w:r>
        <w:t>haemorrhages</w:t>
      </w:r>
      <w:proofErr w:type="spellEnd"/>
      <w:r>
        <w:t xml:space="preserve"> in nails of hands &amp; feet, conjunctival and subconjunctival </w:t>
      </w:r>
      <w:proofErr w:type="spellStart"/>
      <w:r>
        <w:t>haemorrhages</w:t>
      </w:r>
      <w:proofErr w:type="spellEnd"/>
      <w:r>
        <w:t xml:space="preserve">, embolic phenomenon in hands &amp; feet, </w:t>
      </w:r>
      <w:proofErr w:type="spellStart"/>
      <w:r>
        <w:t>Oslers</w:t>
      </w:r>
      <w:proofErr w:type="spellEnd"/>
      <w:r>
        <w:t xml:space="preserve"> nodes and Janeway lesions, Roth spots (on fundoscopy), splenomegaly, microscopic </w:t>
      </w:r>
      <w:proofErr w:type="spellStart"/>
      <w:r>
        <w:t>haematuria</w:t>
      </w:r>
      <w:proofErr w:type="spellEnd"/>
      <w:r>
        <w:t xml:space="preserve"> and auscultation for new murmurs.</w:t>
      </w:r>
    </w:p>
    <w:p w14:paraId="38FAAC04" w14:textId="3420A208" w:rsidR="00FB7298" w:rsidRDefault="00FB7298" w:rsidP="00070BDF">
      <w:r>
        <w:t>Clinical signs of new osteomyelitis – pain and focal tenderness in any bone or joint, particularly vertebrae.</w:t>
      </w:r>
    </w:p>
    <w:p w14:paraId="4E0663BC" w14:textId="0B40CBEC" w:rsidR="00DE6FC7" w:rsidRDefault="00FB7298" w:rsidP="00070BDF">
      <w:r>
        <w:t xml:space="preserve">Skin </w:t>
      </w:r>
      <w:r w:rsidR="006D2E57">
        <w:t xml:space="preserve">abscess or collection - </w:t>
      </w:r>
      <w:r>
        <w:t xml:space="preserve">in </w:t>
      </w:r>
      <w:proofErr w:type="gramStart"/>
      <w:r>
        <w:t>particular</w:t>
      </w:r>
      <w:proofErr w:type="gramEnd"/>
      <w:r>
        <w:t xml:space="preserve"> pay attention to sites of previous intravascular cannulation.</w:t>
      </w:r>
    </w:p>
    <w:p w14:paraId="69661BFC" w14:textId="7101936E" w:rsidR="006D2E57" w:rsidRDefault="006D2E57" w:rsidP="00070BDF">
      <w:r>
        <w:t>Meningitis/brain abscess – baseline &amp; repeated neurological examination may lead to suspicion of intracerebral or spinal spread of infection.</w:t>
      </w:r>
    </w:p>
    <w:p w14:paraId="42839E02" w14:textId="5D92E8BE" w:rsidR="00DE6FC7" w:rsidRDefault="00DE6FC7" w:rsidP="00070BDF">
      <w:proofErr w:type="spellStart"/>
      <w:r>
        <w:t>Haematoma</w:t>
      </w:r>
      <w:proofErr w:type="spellEnd"/>
      <w:r>
        <w:t xml:space="preserve"> or intravascular thrombus – </w:t>
      </w:r>
      <w:r w:rsidRPr="00070BDF">
        <w:rPr>
          <w:i/>
        </w:rPr>
        <w:t>S aureus</w:t>
      </w:r>
      <w:r>
        <w:t xml:space="preserve"> can infect </w:t>
      </w:r>
      <w:proofErr w:type="spellStart"/>
      <w:r>
        <w:t>haematomas</w:t>
      </w:r>
      <w:proofErr w:type="spellEnd"/>
      <w:r>
        <w:t xml:space="preserve"> and intravascular thrombi.</w:t>
      </w:r>
    </w:p>
    <w:p w14:paraId="39C5F561" w14:textId="67F79B16" w:rsidR="00DE6FC7" w:rsidRDefault="00DE6FC7" w:rsidP="004645D8">
      <w:pPr>
        <w:pStyle w:val="Heading3"/>
      </w:pPr>
      <w:r w:rsidRPr="00070BDF">
        <w:t>Blood cultures</w:t>
      </w:r>
      <w:r>
        <w:t>:</w:t>
      </w:r>
    </w:p>
    <w:p w14:paraId="21058192" w14:textId="77777777" w:rsidR="00DE6FC7" w:rsidRDefault="00DE6FC7" w:rsidP="00070BDF">
      <w:r>
        <w:t xml:space="preserve">Where possible, multiple blood cultures (at least 2) should be drawn prior to commencing antibiotic therapy in patients with suspected </w:t>
      </w:r>
      <w:r w:rsidRPr="004645D8">
        <w:rPr>
          <w:i/>
          <w:iCs/>
        </w:rPr>
        <w:t>S aureus</w:t>
      </w:r>
      <w:r>
        <w:t xml:space="preserve"> sepsis. This is to provide evidence of genuine infection (rarely </w:t>
      </w:r>
      <w:r w:rsidRPr="004645D8">
        <w:rPr>
          <w:i/>
          <w:iCs/>
        </w:rPr>
        <w:t>S aureus</w:t>
      </w:r>
      <w:r>
        <w:t xml:space="preserve"> can be found as a skin contaminant). </w:t>
      </w:r>
    </w:p>
    <w:p w14:paraId="7A636E30" w14:textId="216C13A4" w:rsidR="00DE6FC7" w:rsidRDefault="00DE6FC7" w:rsidP="00070BDF">
      <w:r>
        <w:t xml:space="preserve">Further sets of blood cultures should be drawn 48-96 hours after starting antibiotics to treat </w:t>
      </w:r>
      <w:r w:rsidRPr="004645D8">
        <w:rPr>
          <w:i/>
          <w:iCs/>
        </w:rPr>
        <w:t>S aureus</w:t>
      </w:r>
      <w:r>
        <w:t xml:space="preserve">. Failure to clear the </w:t>
      </w:r>
      <w:proofErr w:type="spellStart"/>
      <w:r>
        <w:t>bacteraemia</w:t>
      </w:r>
      <w:proofErr w:type="spellEnd"/>
      <w:r>
        <w:t xml:space="preserve"> (</w:t>
      </w:r>
      <w:proofErr w:type="spellStart"/>
      <w:r>
        <w:t>ie</w:t>
      </w:r>
      <w:proofErr w:type="spellEnd"/>
      <w:r>
        <w:t xml:space="preserve"> persisting positive cultures at this timepoint) is a sign that deep infection may have occurred and prolonged therapy +/- identification and surgical eradication of deep infection is required.</w:t>
      </w:r>
    </w:p>
    <w:p w14:paraId="2100B8F3" w14:textId="77777777" w:rsidR="004645D8" w:rsidRDefault="004645D8">
      <w:pPr>
        <w:spacing w:after="0"/>
        <w:outlineLvl w:val="9"/>
        <w:rPr>
          <w:rFonts w:eastAsia="Times New Roman" w:cs="Times New Roman"/>
          <w:b/>
          <w:bCs/>
          <w:szCs w:val="26"/>
          <w:u w:val="single"/>
        </w:rPr>
      </w:pPr>
      <w:r>
        <w:br w:type="page"/>
      </w:r>
    </w:p>
    <w:p w14:paraId="2B925358" w14:textId="0D0557A9" w:rsidR="00DE6FC7" w:rsidRPr="00070BDF" w:rsidRDefault="00DE6FC7" w:rsidP="004645D8">
      <w:pPr>
        <w:pStyle w:val="Heading3"/>
      </w:pPr>
      <w:r w:rsidRPr="00070BDF">
        <w:lastRenderedPageBreak/>
        <w:t>Source control</w:t>
      </w:r>
    </w:p>
    <w:p w14:paraId="3D5D115F" w14:textId="33C411DA" w:rsidR="004645D8" w:rsidRDefault="00DE6FC7" w:rsidP="004645D8">
      <w:r>
        <w:t>Any potential deep infection should be aggressively investigated (plain imaging, echocardiography, ultrasound, CT scan as indicated) and any pyogenic infection drained. This may include removal of infected cannulas, drainage and washout of septic joints or surgical interventions to drain pus from abscesses anywhere in the body.</w:t>
      </w:r>
    </w:p>
    <w:p w14:paraId="18C1F9E3" w14:textId="3B8EAF81" w:rsidR="005F2896" w:rsidRDefault="00BA17F5" w:rsidP="00070BDF">
      <w:r>
        <w:t xml:space="preserve">Echocardiography should be considered, where possible, </w:t>
      </w:r>
      <w:r w:rsidR="005F2896">
        <w:t>for all</w:t>
      </w:r>
      <w:r>
        <w:t xml:space="preserve"> confirmed</w:t>
      </w:r>
      <w:r w:rsidR="005F2896">
        <w:t xml:space="preserve"> cases of </w:t>
      </w:r>
      <w:r w:rsidR="005F2896" w:rsidRPr="00BA17F5">
        <w:rPr>
          <w:i/>
        </w:rPr>
        <w:t>S aureus</w:t>
      </w:r>
      <w:r>
        <w:rPr>
          <w:i/>
        </w:rPr>
        <w:t xml:space="preserve"> </w:t>
      </w:r>
      <w:proofErr w:type="spellStart"/>
      <w:r w:rsidRPr="00BA17F5">
        <w:t>bacteraemia</w:t>
      </w:r>
      <w:proofErr w:type="spellEnd"/>
      <w:r>
        <w:t xml:space="preserve">. </w:t>
      </w:r>
      <w:r w:rsidR="002042EA">
        <w:t xml:space="preserve">It is highly desirable in cases where blood cultures show ongoing growth at 48-96 hours after therapy, where fever is ongoing, after 72 hours of therapy, and where there are signs of endocarditis or deep infection. In cases where </w:t>
      </w:r>
      <w:proofErr w:type="spellStart"/>
      <w:r w:rsidR="002042EA">
        <w:t>bacteraemia</w:t>
      </w:r>
      <w:proofErr w:type="spellEnd"/>
      <w:r w:rsidR="002042EA">
        <w:t xml:space="preserve"> is uncomplicated (see below) and thought to be hospital acquired (</w:t>
      </w:r>
      <w:proofErr w:type="spellStart"/>
      <w:r w:rsidR="002042EA">
        <w:t>eg</w:t>
      </w:r>
      <w:proofErr w:type="spellEnd"/>
      <w:r w:rsidR="002042EA">
        <w:t xml:space="preserve"> infected intravascular cannula site) echocardiography may not be necessary.</w:t>
      </w:r>
    </w:p>
    <w:p w14:paraId="5B681210" w14:textId="12C8336C" w:rsidR="00DE6FC7" w:rsidRPr="00070BDF" w:rsidRDefault="005F2896" w:rsidP="00493410">
      <w:pPr>
        <w:pStyle w:val="Heading2"/>
      </w:pPr>
      <w:r w:rsidRPr="00070BDF">
        <w:t>Antibiotic therapy</w:t>
      </w:r>
    </w:p>
    <w:p w14:paraId="2F8EA57D" w14:textId="6BEFC2E6" w:rsidR="00BF3E05" w:rsidRDefault="005F2896" w:rsidP="00070BDF">
      <w:r>
        <w:t xml:space="preserve">Two weeks of appropriate intravenous antibiotic therapy is considered the minimum therapy for </w:t>
      </w:r>
      <w:r w:rsidR="00BF3E05">
        <w:t xml:space="preserve">‘uncomplicated’ </w:t>
      </w:r>
      <w:r w:rsidRPr="00070BDF">
        <w:rPr>
          <w:i/>
        </w:rPr>
        <w:t>S aureus</w:t>
      </w:r>
      <w:r>
        <w:t xml:space="preserve"> </w:t>
      </w:r>
      <w:proofErr w:type="spellStart"/>
      <w:r>
        <w:t>bacteraemia</w:t>
      </w:r>
      <w:proofErr w:type="spellEnd"/>
      <w:r>
        <w:t xml:space="preserve"> to ensure that late metastatic infections are minimized. </w:t>
      </w:r>
    </w:p>
    <w:p w14:paraId="0F1DC0B2" w14:textId="0E6F802F" w:rsidR="00BF3E05" w:rsidRDefault="00BF3E05" w:rsidP="00070BDF">
      <w:r>
        <w:t xml:space="preserve">Cases are considered ‘uncomplicated’ if </w:t>
      </w:r>
      <w:r w:rsidRPr="00070BDF">
        <w:rPr>
          <w:i/>
        </w:rPr>
        <w:t>all</w:t>
      </w:r>
      <w:r>
        <w:t xml:space="preserve"> the following are met:</w:t>
      </w:r>
    </w:p>
    <w:p w14:paraId="61574045" w14:textId="279D533A" w:rsidR="00BF3E05" w:rsidRDefault="00BF3E05" w:rsidP="004645D8">
      <w:pPr>
        <w:pStyle w:val="ListParagraph"/>
        <w:numPr>
          <w:ilvl w:val="0"/>
          <w:numId w:val="36"/>
        </w:numPr>
      </w:pPr>
      <w:r>
        <w:t>No indwelling vascular prosthesis (</w:t>
      </w:r>
      <w:proofErr w:type="spellStart"/>
      <w:r>
        <w:t>eg</w:t>
      </w:r>
      <w:proofErr w:type="spellEnd"/>
      <w:r>
        <w:t xml:space="preserve"> prosthetic heart valves</w:t>
      </w:r>
      <w:r w:rsidR="00493410">
        <w:t>, infected intravenous cannula</w:t>
      </w:r>
      <w:r>
        <w:t>)</w:t>
      </w:r>
    </w:p>
    <w:p w14:paraId="62C888D6" w14:textId="0DE3007A" w:rsidR="00BF3E05" w:rsidRDefault="00BF3E05" w:rsidP="004645D8">
      <w:pPr>
        <w:pStyle w:val="ListParagraph"/>
        <w:numPr>
          <w:ilvl w:val="0"/>
          <w:numId w:val="36"/>
        </w:numPr>
      </w:pPr>
      <w:r>
        <w:t>Fever resolved within 48-72 hours of starting antibiotic therapy</w:t>
      </w:r>
    </w:p>
    <w:p w14:paraId="398A68CB" w14:textId="4A95F43F" w:rsidR="00BF3E05" w:rsidRDefault="00BF3E05" w:rsidP="004645D8">
      <w:pPr>
        <w:pStyle w:val="ListParagraph"/>
        <w:numPr>
          <w:ilvl w:val="0"/>
          <w:numId w:val="36"/>
        </w:numPr>
      </w:pPr>
      <w:r>
        <w:t>No evidence of metastatic or deep infection</w:t>
      </w:r>
    </w:p>
    <w:p w14:paraId="56F68695" w14:textId="100A5F2C" w:rsidR="00BF3E05" w:rsidRDefault="00BF3E05" w:rsidP="004645D8">
      <w:pPr>
        <w:pStyle w:val="ListParagraph"/>
        <w:numPr>
          <w:ilvl w:val="0"/>
          <w:numId w:val="36"/>
        </w:numPr>
      </w:pPr>
      <w:r>
        <w:t>No evidence of endocarditis</w:t>
      </w:r>
    </w:p>
    <w:p w14:paraId="54828E01" w14:textId="77777777" w:rsidR="00BF3E05" w:rsidRDefault="00BF3E05" w:rsidP="004645D8">
      <w:pPr>
        <w:pStyle w:val="ListParagraph"/>
        <w:numPr>
          <w:ilvl w:val="0"/>
          <w:numId w:val="36"/>
        </w:numPr>
      </w:pPr>
      <w:r>
        <w:t>Negative cultures drawn 48-96 hours after commencing antibiotic therapy</w:t>
      </w:r>
    </w:p>
    <w:p w14:paraId="67A41CDA" w14:textId="17808410" w:rsidR="00BF3E05" w:rsidRDefault="00BF3E05" w:rsidP="00070BDF">
      <w:r>
        <w:t>Complicated cases (</w:t>
      </w:r>
      <w:proofErr w:type="spellStart"/>
      <w:r>
        <w:t>ie</w:t>
      </w:r>
      <w:proofErr w:type="spellEnd"/>
      <w:r>
        <w:t xml:space="preserve"> not meeting the above criteria) will require longer therapy and thorough investigation for an underlying focus. </w:t>
      </w:r>
    </w:p>
    <w:p w14:paraId="29E35F35" w14:textId="1B816FF5" w:rsidR="005F2896" w:rsidRDefault="00440C10" w:rsidP="00070BDF">
      <w:r>
        <w:t>(</w:t>
      </w:r>
      <w:r w:rsidR="00E54A1F">
        <w:t>Flu</w:t>
      </w:r>
      <w:r>
        <w:t>)</w:t>
      </w:r>
      <w:r w:rsidR="00E54A1F">
        <w:t>cloxacillin 2</w:t>
      </w:r>
      <w:r w:rsidR="004645D8">
        <w:t xml:space="preserve"> </w:t>
      </w:r>
      <w:r w:rsidR="00E54A1F">
        <w:t>g every 6 hours is appropriate for adults with normal renal function</w:t>
      </w:r>
      <w:r w:rsidR="003E2B01">
        <w:t xml:space="preserve"> (note should be 4 hourly if endocarditis highly suspected)</w:t>
      </w:r>
      <w:r w:rsidR="00E54A1F">
        <w:t xml:space="preserve">. </w:t>
      </w:r>
      <w:r w:rsidR="005C148E">
        <w:t xml:space="preserve">In children a dose of </w:t>
      </w:r>
      <w:r w:rsidR="00807977">
        <w:t>25</w:t>
      </w:r>
      <w:r w:rsidR="004645D8">
        <w:t xml:space="preserve"> </w:t>
      </w:r>
      <w:r w:rsidR="00807977">
        <w:t>mg/kg</w:t>
      </w:r>
      <w:r w:rsidR="00BF3E05">
        <w:t xml:space="preserve"> every 6 hours</w:t>
      </w:r>
      <w:r w:rsidR="00807977">
        <w:t xml:space="preserve"> </w:t>
      </w:r>
      <w:r w:rsidR="00BF3E05">
        <w:t>is appropriate (max 1</w:t>
      </w:r>
      <w:r w:rsidR="004645D8">
        <w:t xml:space="preserve"> </w:t>
      </w:r>
      <w:r w:rsidR="00BF3E05">
        <w:t xml:space="preserve">g/dose and reduced dosing frequency if ≤ 21 days old). </w:t>
      </w:r>
    </w:p>
    <w:p w14:paraId="4D614359" w14:textId="4FB0C366" w:rsidR="00BB09C4" w:rsidRDefault="00BB09C4" w:rsidP="00070BDF">
      <w:r>
        <w:t xml:space="preserve">Combination of </w:t>
      </w:r>
      <w:r w:rsidR="00440C10">
        <w:t>(</w:t>
      </w:r>
      <w:r>
        <w:t>flu</w:t>
      </w:r>
      <w:r w:rsidR="00440C10">
        <w:t>)</w:t>
      </w:r>
      <w:r>
        <w:t>cloxacillin with an aminoglycoside (</w:t>
      </w:r>
      <w:proofErr w:type="spellStart"/>
      <w:r>
        <w:t>eg</w:t>
      </w:r>
      <w:proofErr w:type="spellEnd"/>
      <w:r>
        <w:t xml:space="preserve"> gentamicin) is not routinely indicated</w:t>
      </w:r>
      <w:r w:rsidR="00965B30">
        <w:t>, except where prosthetic valve endocarditis is suspected</w:t>
      </w:r>
      <w:r>
        <w:t>.</w:t>
      </w:r>
    </w:p>
    <w:p w14:paraId="4DEDDBA0" w14:textId="23181B1C" w:rsidR="00493410" w:rsidRDefault="00493410" w:rsidP="00493410">
      <w:pPr>
        <w:pStyle w:val="Heading2"/>
      </w:pPr>
      <w:r>
        <w:t xml:space="preserve">Methicillin Resistant </w:t>
      </w:r>
      <w:r w:rsidRPr="004645D8">
        <w:rPr>
          <w:i/>
          <w:iCs/>
        </w:rPr>
        <w:t>Staphylococcus aureus</w:t>
      </w:r>
      <w:r>
        <w:t xml:space="preserve"> (MRSA)</w:t>
      </w:r>
    </w:p>
    <w:p w14:paraId="633584CE" w14:textId="6814E5FE" w:rsidR="00F0795B" w:rsidRDefault="00493410" w:rsidP="00493410">
      <w:r>
        <w:t xml:space="preserve">All strains of </w:t>
      </w:r>
      <w:r w:rsidRPr="00F0795B">
        <w:rPr>
          <w:i/>
        </w:rPr>
        <w:t>S aureus</w:t>
      </w:r>
      <w:r>
        <w:t xml:space="preserve"> identified by the laboratory should be </w:t>
      </w:r>
      <w:r w:rsidR="00E5127F">
        <w:t xml:space="preserve">routinely </w:t>
      </w:r>
      <w:r>
        <w:t xml:space="preserve">checked for resistance to </w:t>
      </w:r>
      <w:r w:rsidR="00E5127F">
        <w:t>methicillin. Resistance to methicillin is often assessed in the lab by resistance to cefoxitin and is considered to signify resistance to (flu)cloxacillin, ceftriaxone, amoxicillin/clavulanate</w:t>
      </w:r>
      <w:r w:rsidR="00F0795B">
        <w:t xml:space="preserve"> and other Beta-lactams available in the Gambia. Such infections should be discussed immediately with a consultant and the microbiology department on a case by case basis. </w:t>
      </w:r>
    </w:p>
    <w:p w14:paraId="1EA10A62" w14:textId="6C8013DD" w:rsidR="00493410" w:rsidRPr="00F0795B" w:rsidRDefault="00F0795B" w:rsidP="00F0795B">
      <w:pPr>
        <w:pStyle w:val="Heading2"/>
      </w:pPr>
      <w:r w:rsidRPr="00F0795B">
        <w:t xml:space="preserve">Severe penicillin allergy (anaphylaxis) </w:t>
      </w:r>
      <w:r w:rsidR="00E5127F" w:rsidRPr="00F0795B">
        <w:t xml:space="preserve"> </w:t>
      </w:r>
    </w:p>
    <w:p w14:paraId="598E94C3" w14:textId="6D1B2855" w:rsidR="00493410" w:rsidRPr="00FB7298" w:rsidRDefault="00F0795B" w:rsidP="00070BDF">
      <w:r>
        <w:t xml:space="preserve">Where </w:t>
      </w:r>
      <w:r w:rsidR="004645D8" w:rsidRPr="004645D8">
        <w:rPr>
          <w:i/>
          <w:iCs/>
        </w:rPr>
        <w:t>S</w:t>
      </w:r>
      <w:r w:rsidRPr="004645D8">
        <w:rPr>
          <w:i/>
          <w:iCs/>
        </w:rPr>
        <w:t xml:space="preserve"> au</w:t>
      </w:r>
      <w:r w:rsidRPr="00F0795B">
        <w:rPr>
          <w:i/>
        </w:rPr>
        <w:t>reus</w:t>
      </w:r>
      <w:r>
        <w:t xml:space="preserve"> </w:t>
      </w:r>
      <w:proofErr w:type="spellStart"/>
      <w:r>
        <w:t>bacteraemia</w:t>
      </w:r>
      <w:proofErr w:type="spellEnd"/>
      <w:r>
        <w:t xml:space="preserve"> occurs in a patient with a documented anaphylactic reaction to </w:t>
      </w:r>
      <w:proofErr w:type="spellStart"/>
      <w:r>
        <w:t>penicillins</w:t>
      </w:r>
      <w:proofErr w:type="spellEnd"/>
      <w:r w:rsidR="004645D8">
        <w:t>,</w:t>
      </w:r>
      <w:r>
        <w:t xml:space="preserve"> the case should be discussed immediately with a consultant and the microbiology department.</w:t>
      </w:r>
    </w:p>
    <w:p w14:paraId="50441B68" w14:textId="77777777" w:rsidR="004645D8" w:rsidRDefault="004645D8">
      <w:pPr>
        <w:spacing w:after="0"/>
        <w:outlineLvl w:val="9"/>
        <w:rPr>
          <w:rStyle w:val="normaltextrun"/>
          <w:b/>
          <w:bCs/>
          <w:sz w:val="24"/>
          <w:szCs w:val="28"/>
        </w:rPr>
      </w:pPr>
      <w:r>
        <w:rPr>
          <w:rStyle w:val="normaltextrun"/>
          <w:bCs/>
        </w:rPr>
        <w:br w:type="page"/>
      </w:r>
    </w:p>
    <w:p w14:paraId="1FC2B0EF" w14:textId="03EDAE4B" w:rsidR="00A06435" w:rsidRDefault="00A06435" w:rsidP="004645D8">
      <w:pPr>
        <w:pStyle w:val="Heading2"/>
        <w:rPr>
          <w:rStyle w:val="eop"/>
          <w:rFonts w:cs="Arial"/>
          <w:b w:val="0"/>
          <w:bCs/>
        </w:rPr>
      </w:pPr>
      <w:r>
        <w:rPr>
          <w:rStyle w:val="normaltextrun"/>
          <w:rFonts w:cs="Arial"/>
          <w:bCs/>
        </w:rPr>
        <w:lastRenderedPageBreak/>
        <w:t>Key Issues for Nursing care</w:t>
      </w:r>
    </w:p>
    <w:p w14:paraId="08DF847C" w14:textId="55F02A79" w:rsidR="00A06435" w:rsidRPr="004645D8" w:rsidRDefault="00A06435" w:rsidP="004645D8">
      <w:pPr>
        <w:pStyle w:val="ListParagraph"/>
        <w:numPr>
          <w:ilvl w:val="0"/>
          <w:numId w:val="37"/>
        </w:numPr>
        <w:rPr>
          <w:rStyle w:val="eop"/>
          <w:szCs w:val="22"/>
        </w:rPr>
      </w:pPr>
      <w:r w:rsidRPr="004645D8">
        <w:rPr>
          <w:rStyle w:val="normaltextrun"/>
          <w:szCs w:val="22"/>
        </w:rPr>
        <w:t>Monitor vital signs especially temperature, heart rate, blood pressure, oxygen saturation.</w:t>
      </w:r>
    </w:p>
    <w:p w14:paraId="01EA4225" w14:textId="08BF9D98" w:rsidR="00A06435" w:rsidRPr="004645D8" w:rsidRDefault="00A06435" w:rsidP="004645D8">
      <w:pPr>
        <w:pStyle w:val="ListParagraph"/>
        <w:numPr>
          <w:ilvl w:val="0"/>
          <w:numId w:val="37"/>
        </w:numPr>
        <w:rPr>
          <w:rStyle w:val="eop"/>
          <w:szCs w:val="22"/>
        </w:rPr>
      </w:pPr>
      <w:r w:rsidRPr="004645D8">
        <w:rPr>
          <w:rStyle w:val="eop"/>
          <w:szCs w:val="22"/>
        </w:rPr>
        <w:t xml:space="preserve">Prevention of hospital acquired </w:t>
      </w:r>
      <w:r w:rsidRPr="004645D8">
        <w:rPr>
          <w:rStyle w:val="eop"/>
          <w:i/>
          <w:szCs w:val="22"/>
        </w:rPr>
        <w:t>S aureus</w:t>
      </w:r>
      <w:r w:rsidRPr="004645D8">
        <w:rPr>
          <w:rStyle w:val="eop"/>
          <w:szCs w:val="22"/>
        </w:rPr>
        <w:t xml:space="preserve"> infection depends on careful, aseptic insertion of intravenous cannulas and their timely removal when no longer needed or showing signs of infection.</w:t>
      </w:r>
    </w:p>
    <w:p w14:paraId="1ACA6470" w14:textId="77777777" w:rsidR="00B87A44" w:rsidRPr="003C0800" w:rsidRDefault="00B87A44" w:rsidP="00B87A44">
      <w:pPr>
        <w:pStyle w:val="Heading2"/>
        <w:rPr>
          <w:rFonts w:cs="Arial"/>
          <w:szCs w:val="22"/>
        </w:rPr>
      </w:pPr>
      <w:r>
        <w:rPr>
          <w:rFonts w:cs="Arial"/>
          <w:szCs w:val="22"/>
        </w:rPr>
        <w:t>References</w:t>
      </w:r>
    </w:p>
    <w:p w14:paraId="1F409626" w14:textId="5F2CD308" w:rsidR="00B87A44" w:rsidRDefault="00E5127F" w:rsidP="00B87A44">
      <w:pPr>
        <w:rPr>
          <w:sz w:val="20"/>
          <w:szCs w:val="20"/>
        </w:rPr>
      </w:pPr>
      <w:r>
        <w:rPr>
          <w:sz w:val="20"/>
          <w:szCs w:val="20"/>
        </w:rPr>
        <w:t xml:space="preserve">Health Improvement Scotland </w:t>
      </w:r>
      <w:r w:rsidRPr="004645D8">
        <w:rPr>
          <w:i/>
          <w:iCs/>
          <w:sz w:val="20"/>
          <w:szCs w:val="20"/>
        </w:rPr>
        <w:t>S aureus</w:t>
      </w:r>
      <w:r>
        <w:rPr>
          <w:sz w:val="20"/>
          <w:szCs w:val="20"/>
        </w:rPr>
        <w:t xml:space="preserve"> </w:t>
      </w:r>
      <w:proofErr w:type="spellStart"/>
      <w:r>
        <w:rPr>
          <w:sz w:val="20"/>
          <w:szCs w:val="20"/>
        </w:rPr>
        <w:t>bacteraemia</w:t>
      </w:r>
      <w:proofErr w:type="spellEnd"/>
      <w:r>
        <w:rPr>
          <w:sz w:val="20"/>
          <w:szCs w:val="20"/>
        </w:rPr>
        <w:t xml:space="preserve"> algorithm. </w:t>
      </w:r>
      <w:hyperlink r:id="rId7" w:history="1">
        <w:r w:rsidRPr="009566C5">
          <w:rPr>
            <w:rStyle w:val="Hyperlink"/>
            <w:sz w:val="20"/>
            <w:szCs w:val="20"/>
          </w:rPr>
          <w:t>https://www.sapg.scot/quality-improvement/hospital-prescribing/staph-aureus-bacteraemia/</w:t>
        </w:r>
      </w:hyperlink>
      <w:r>
        <w:rPr>
          <w:sz w:val="20"/>
          <w:szCs w:val="20"/>
        </w:rPr>
        <w:t xml:space="preserve"> accessed 22 June 2020</w:t>
      </w:r>
    </w:p>
    <w:p w14:paraId="7BF41B1D" w14:textId="133858F2" w:rsidR="00E5127F" w:rsidRPr="00E5127F" w:rsidRDefault="00E5127F" w:rsidP="00E5127F">
      <w:pPr>
        <w:pStyle w:val="Heading1"/>
        <w:rPr>
          <w:rFonts w:cs="Arial"/>
          <w:b w:val="0"/>
          <w:sz w:val="20"/>
          <w:szCs w:val="20"/>
        </w:rPr>
      </w:pPr>
      <w:r w:rsidRPr="00E5127F">
        <w:rPr>
          <w:rFonts w:cs="Arial"/>
          <w:b w:val="0"/>
          <w:sz w:val="20"/>
          <w:szCs w:val="20"/>
        </w:rPr>
        <w:t>2015 ESC Guidelines for the Management of Infective Endocarditis: The Task Force for the Management of Infective Endocarditis of the European Society of Cardiology (ESC)</w:t>
      </w:r>
      <w:r>
        <w:rPr>
          <w:rFonts w:cs="Arial"/>
          <w:b w:val="0"/>
          <w:sz w:val="20"/>
          <w:szCs w:val="20"/>
        </w:rPr>
        <w:t xml:space="preserve">. </w:t>
      </w:r>
      <w:hyperlink r:id="rId8" w:history="1">
        <w:r w:rsidRPr="009566C5">
          <w:rPr>
            <w:rStyle w:val="Hyperlink"/>
            <w:rFonts w:cs="Arial"/>
            <w:b w:val="0"/>
            <w:sz w:val="20"/>
            <w:szCs w:val="20"/>
          </w:rPr>
          <w:t>https://academic.oup.com/eurheartj/article/36/44/3075/2293384</w:t>
        </w:r>
      </w:hyperlink>
      <w:r>
        <w:rPr>
          <w:rFonts w:cs="Arial"/>
          <w:b w:val="0"/>
          <w:sz w:val="20"/>
          <w:szCs w:val="20"/>
        </w:rPr>
        <w:t xml:space="preserve"> accessed 22 June 2020</w:t>
      </w:r>
    </w:p>
    <w:p w14:paraId="008EAFA0" w14:textId="77777777" w:rsidR="00E5127F" w:rsidRPr="005638D0" w:rsidRDefault="00E5127F" w:rsidP="00B87A4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B87A44" w:rsidRPr="00515546" w14:paraId="470D5A3D" w14:textId="77777777" w:rsidTr="00070BDF">
        <w:trPr>
          <w:trHeight w:val="20"/>
        </w:trPr>
        <w:tc>
          <w:tcPr>
            <w:tcW w:w="2139" w:type="dxa"/>
            <w:shd w:val="clear" w:color="auto" w:fill="auto"/>
            <w:vAlign w:val="bottom"/>
          </w:tcPr>
          <w:p w14:paraId="0BCCF45E" w14:textId="77777777" w:rsidR="00B87A44" w:rsidRPr="00515546" w:rsidRDefault="00B87A44" w:rsidP="00724FCD">
            <w:pPr>
              <w:spacing w:after="0"/>
              <w:rPr>
                <w:b/>
                <w:szCs w:val="22"/>
              </w:rPr>
            </w:pPr>
            <w:r w:rsidRPr="00515546">
              <w:rPr>
                <w:b/>
                <w:szCs w:val="22"/>
              </w:rPr>
              <w:t>Written by:</w:t>
            </w:r>
          </w:p>
        </w:tc>
        <w:tc>
          <w:tcPr>
            <w:tcW w:w="3622" w:type="dxa"/>
            <w:shd w:val="clear" w:color="auto" w:fill="auto"/>
            <w:vAlign w:val="bottom"/>
          </w:tcPr>
          <w:p w14:paraId="50C77557" w14:textId="1BCCBEC8" w:rsidR="00B87A44" w:rsidRPr="00515546" w:rsidRDefault="00E5127F" w:rsidP="00724FCD">
            <w:pPr>
              <w:spacing w:after="0"/>
              <w:rPr>
                <w:szCs w:val="22"/>
              </w:rPr>
            </w:pPr>
            <w:r>
              <w:rPr>
                <w:szCs w:val="22"/>
              </w:rPr>
              <w:t>Name: Behzad Nadjm</w:t>
            </w:r>
          </w:p>
        </w:tc>
        <w:tc>
          <w:tcPr>
            <w:tcW w:w="2869" w:type="dxa"/>
            <w:shd w:val="clear" w:color="auto" w:fill="auto"/>
            <w:vAlign w:val="bottom"/>
          </w:tcPr>
          <w:p w14:paraId="0EED777B" w14:textId="12C7821F" w:rsidR="00B87A44" w:rsidRPr="00515546" w:rsidRDefault="00B87A44" w:rsidP="00724FCD">
            <w:pPr>
              <w:spacing w:after="0"/>
              <w:rPr>
                <w:szCs w:val="22"/>
              </w:rPr>
            </w:pPr>
            <w:r w:rsidRPr="00515546">
              <w:rPr>
                <w:szCs w:val="22"/>
              </w:rPr>
              <w:t xml:space="preserve">Date: </w:t>
            </w:r>
            <w:r w:rsidR="00E5127F">
              <w:rPr>
                <w:szCs w:val="22"/>
              </w:rPr>
              <w:t>22 June 2020</w:t>
            </w:r>
          </w:p>
        </w:tc>
      </w:tr>
      <w:tr w:rsidR="00B87A44" w:rsidRPr="00515546" w14:paraId="11D80CDC" w14:textId="77777777" w:rsidTr="00070BDF">
        <w:trPr>
          <w:trHeight w:val="20"/>
        </w:trPr>
        <w:tc>
          <w:tcPr>
            <w:tcW w:w="2139" w:type="dxa"/>
            <w:shd w:val="clear" w:color="auto" w:fill="auto"/>
            <w:vAlign w:val="bottom"/>
          </w:tcPr>
          <w:p w14:paraId="664BA49C" w14:textId="77777777" w:rsidR="00B87A44" w:rsidRPr="00515546" w:rsidRDefault="00B87A44" w:rsidP="00724FCD">
            <w:pPr>
              <w:spacing w:after="0"/>
              <w:rPr>
                <w:b/>
                <w:szCs w:val="22"/>
              </w:rPr>
            </w:pPr>
            <w:r w:rsidRPr="00515546">
              <w:rPr>
                <w:b/>
                <w:szCs w:val="22"/>
              </w:rPr>
              <w:t>Reviewed by:</w:t>
            </w:r>
          </w:p>
        </w:tc>
        <w:tc>
          <w:tcPr>
            <w:tcW w:w="3622" w:type="dxa"/>
            <w:shd w:val="clear" w:color="auto" w:fill="auto"/>
            <w:vAlign w:val="bottom"/>
          </w:tcPr>
          <w:p w14:paraId="7EF6D553" w14:textId="5F7A4398" w:rsidR="00B87A44" w:rsidRPr="00515546" w:rsidRDefault="002042EA" w:rsidP="00724FCD">
            <w:pPr>
              <w:spacing w:after="0"/>
              <w:rPr>
                <w:szCs w:val="22"/>
              </w:rPr>
            </w:pPr>
            <w:r>
              <w:rPr>
                <w:szCs w:val="22"/>
              </w:rPr>
              <w:t>Name:</w:t>
            </w:r>
            <w:r w:rsidR="004645D8">
              <w:rPr>
                <w:szCs w:val="22"/>
              </w:rPr>
              <w:t xml:space="preserve"> </w:t>
            </w:r>
            <w:r w:rsidR="004645D8">
              <w:t>Karen Forrest</w:t>
            </w:r>
          </w:p>
        </w:tc>
        <w:tc>
          <w:tcPr>
            <w:tcW w:w="2869" w:type="dxa"/>
            <w:shd w:val="clear" w:color="auto" w:fill="auto"/>
            <w:vAlign w:val="bottom"/>
          </w:tcPr>
          <w:p w14:paraId="5E62DD7E" w14:textId="1E0BB1E0" w:rsidR="00B87A44" w:rsidRPr="00515546" w:rsidRDefault="00B87A44" w:rsidP="00E5127F">
            <w:pPr>
              <w:spacing w:after="0"/>
              <w:rPr>
                <w:szCs w:val="22"/>
              </w:rPr>
            </w:pPr>
            <w:r w:rsidRPr="00515546">
              <w:rPr>
                <w:szCs w:val="22"/>
              </w:rPr>
              <w:t xml:space="preserve">Date: </w:t>
            </w:r>
            <w:r w:rsidR="004645D8">
              <w:rPr>
                <w:szCs w:val="22"/>
              </w:rPr>
              <w:t>15 October 2020</w:t>
            </w:r>
          </w:p>
        </w:tc>
      </w:tr>
      <w:tr w:rsidR="00B87A44" w:rsidRPr="00515546" w14:paraId="0049E0EE" w14:textId="77777777" w:rsidTr="00070BDF">
        <w:trPr>
          <w:trHeight w:val="20"/>
        </w:trPr>
        <w:tc>
          <w:tcPr>
            <w:tcW w:w="2139" w:type="dxa"/>
            <w:shd w:val="clear" w:color="auto" w:fill="auto"/>
            <w:vAlign w:val="bottom"/>
          </w:tcPr>
          <w:p w14:paraId="21624610" w14:textId="77777777" w:rsidR="00B87A44" w:rsidRPr="00515546" w:rsidRDefault="00B87A44" w:rsidP="00724FCD">
            <w:pPr>
              <w:spacing w:after="0"/>
              <w:rPr>
                <w:szCs w:val="22"/>
              </w:rPr>
            </w:pPr>
            <w:r w:rsidRPr="00515546">
              <w:rPr>
                <w:b/>
                <w:szCs w:val="22"/>
              </w:rPr>
              <w:t>Version:</w:t>
            </w:r>
          </w:p>
        </w:tc>
        <w:tc>
          <w:tcPr>
            <w:tcW w:w="3622" w:type="dxa"/>
            <w:shd w:val="clear" w:color="auto" w:fill="auto"/>
            <w:vAlign w:val="bottom"/>
          </w:tcPr>
          <w:p w14:paraId="52269C91" w14:textId="77777777" w:rsidR="00B87A44" w:rsidRPr="00515546" w:rsidRDefault="00B87A44" w:rsidP="00724FCD">
            <w:pPr>
              <w:spacing w:after="0"/>
              <w:rPr>
                <w:szCs w:val="22"/>
              </w:rPr>
            </w:pPr>
            <w:r w:rsidRPr="00515546">
              <w:rPr>
                <w:b/>
                <w:szCs w:val="22"/>
              </w:rPr>
              <w:t>Change history:</w:t>
            </w:r>
          </w:p>
        </w:tc>
        <w:tc>
          <w:tcPr>
            <w:tcW w:w="2869" w:type="dxa"/>
            <w:shd w:val="clear" w:color="auto" w:fill="auto"/>
            <w:vAlign w:val="bottom"/>
          </w:tcPr>
          <w:p w14:paraId="2E514ED4" w14:textId="77777777" w:rsidR="00B87A44" w:rsidRPr="00515546" w:rsidRDefault="00B87A44" w:rsidP="00724FCD">
            <w:pPr>
              <w:spacing w:after="0"/>
              <w:rPr>
                <w:b/>
                <w:szCs w:val="22"/>
              </w:rPr>
            </w:pPr>
            <w:r w:rsidRPr="00515546">
              <w:rPr>
                <w:b/>
                <w:szCs w:val="22"/>
              </w:rPr>
              <w:t>Review due date:</w:t>
            </w:r>
          </w:p>
        </w:tc>
      </w:tr>
      <w:tr w:rsidR="00B87A44" w:rsidRPr="00515546" w14:paraId="4E217182" w14:textId="77777777" w:rsidTr="00070BDF">
        <w:trPr>
          <w:trHeight w:val="20"/>
        </w:trPr>
        <w:tc>
          <w:tcPr>
            <w:tcW w:w="2139" w:type="dxa"/>
            <w:shd w:val="clear" w:color="auto" w:fill="auto"/>
            <w:vAlign w:val="bottom"/>
          </w:tcPr>
          <w:p w14:paraId="2D46A9A2" w14:textId="77777777" w:rsidR="00B87A44" w:rsidRPr="00515546" w:rsidRDefault="00B87A44" w:rsidP="00724FCD">
            <w:pPr>
              <w:spacing w:after="0"/>
              <w:rPr>
                <w:szCs w:val="22"/>
              </w:rPr>
            </w:pPr>
            <w:r w:rsidRPr="00515546">
              <w:rPr>
                <w:szCs w:val="22"/>
              </w:rPr>
              <w:t>1.0</w:t>
            </w:r>
          </w:p>
        </w:tc>
        <w:tc>
          <w:tcPr>
            <w:tcW w:w="3622" w:type="dxa"/>
            <w:shd w:val="clear" w:color="auto" w:fill="auto"/>
            <w:vAlign w:val="bottom"/>
          </w:tcPr>
          <w:p w14:paraId="0AE674E9" w14:textId="17EA2AD5" w:rsidR="00B87A44" w:rsidRPr="00515546" w:rsidRDefault="00B87A44" w:rsidP="00724FCD">
            <w:pPr>
              <w:spacing w:after="0"/>
              <w:rPr>
                <w:szCs w:val="22"/>
              </w:rPr>
            </w:pPr>
            <w:r w:rsidRPr="00515546">
              <w:rPr>
                <w:szCs w:val="22"/>
              </w:rPr>
              <w:t>New document</w:t>
            </w:r>
          </w:p>
        </w:tc>
        <w:tc>
          <w:tcPr>
            <w:tcW w:w="2869" w:type="dxa"/>
            <w:shd w:val="clear" w:color="auto" w:fill="auto"/>
            <w:vAlign w:val="bottom"/>
          </w:tcPr>
          <w:p w14:paraId="461FD454" w14:textId="759B672F" w:rsidR="00B87A44" w:rsidRPr="00515546" w:rsidRDefault="004645D8" w:rsidP="00724FCD">
            <w:pPr>
              <w:spacing w:after="0"/>
              <w:rPr>
                <w:szCs w:val="22"/>
              </w:rPr>
            </w:pPr>
            <w:r>
              <w:rPr>
                <w:szCs w:val="22"/>
              </w:rPr>
              <w:t>15 October 2022</w:t>
            </w:r>
          </w:p>
        </w:tc>
      </w:tr>
      <w:tr w:rsidR="00B87A44" w:rsidRPr="00515546" w14:paraId="20BE1AE9" w14:textId="77777777" w:rsidTr="00070BDF">
        <w:trPr>
          <w:trHeight w:val="464"/>
        </w:trPr>
        <w:tc>
          <w:tcPr>
            <w:tcW w:w="2139" w:type="dxa"/>
            <w:tcBorders>
              <w:bottom w:val="single" w:sz="4" w:space="0" w:color="auto"/>
            </w:tcBorders>
            <w:shd w:val="clear" w:color="auto" w:fill="auto"/>
            <w:vAlign w:val="bottom"/>
          </w:tcPr>
          <w:p w14:paraId="6DABACE3" w14:textId="77777777" w:rsidR="00B87A44" w:rsidRPr="00515546" w:rsidRDefault="00B87A44" w:rsidP="00724FCD">
            <w:pPr>
              <w:spacing w:after="0"/>
              <w:rPr>
                <w:szCs w:val="22"/>
              </w:rPr>
            </w:pPr>
            <w:r w:rsidRPr="00515546">
              <w:rPr>
                <w:szCs w:val="22"/>
              </w:rPr>
              <w:t>Review Comments (</w:t>
            </w:r>
            <w:r w:rsidRPr="00515546">
              <w:rPr>
                <w:i/>
                <w:szCs w:val="22"/>
              </w:rPr>
              <w:t>if applicable)</w:t>
            </w:r>
          </w:p>
        </w:tc>
        <w:tc>
          <w:tcPr>
            <w:tcW w:w="3622" w:type="dxa"/>
            <w:tcBorders>
              <w:bottom w:val="single" w:sz="4" w:space="0" w:color="auto"/>
            </w:tcBorders>
            <w:shd w:val="clear" w:color="auto" w:fill="auto"/>
            <w:vAlign w:val="bottom"/>
          </w:tcPr>
          <w:p w14:paraId="6E1461F2" w14:textId="77777777" w:rsidR="00B87A44" w:rsidRPr="00515546" w:rsidRDefault="00B87A44" w:rsidP="00724FCD">
            <w:pPr>
              <w:spacing w:after="0"/>
              <w:rPr>
                <w:szCs w:val="22"/>
              </w:rPr>
            </w:pPr>
          </w:p>
        </w:tc>
        <w:tc>
          <w:tcPr>
            <w:tcW w:w="2869" w:type="dxa"/>
            <w:tcBorders>
              <w:bottom w:val="single" w:sz="4" w:space="0" w:color="auto"/>
            </w:tcBorders>
            <w:shd w:val="clear" w:color="auto" w:fill="auto"/>
            <w:vAlign w:val="bottom"/>
          </w:tcPr>
          <w:p w14:paraId="1EFE66E5" w14:textId="77777777" w:rsidR="00B87A44" w:rsidRPr="00515546" w:rsidRDefault="00B87A44" w:rsidP="00724FCD">
            <w:pPr>
              <w:spacing w:after="0"/>
              <w:rPr>
                <w:b/>
                <w:szCs w:val="22"/>
              </w:rPr>
            </w:pPr>
          </w:p>
        </w:tc>
      </w:tr>
    </w:tbl>
    <w:p w14:paraId="381B2D91" w14:textId="77777777" w:rsidR="00B87A44" w:rsidRPr="00CC3CF5" w:rsidRDefault="00B87A44" w:rsidP="00B87A44">
      <w:pPr>
        <w:rPr>
          <w:szCs w:val="22"/>
        </w:rPr>
      </w:pPr>
    </w:p>
    <w:p w14:paraId="05AFF41D" w14:textId="77777777" w:rsidR="00975A60" w:rsidRPr="00B87A44" w:rsidRDefault="00975A60" w:rsidP="00B87A44"/>
    <w:sectPr w:rsidR="00975A60" w:rsidRPr="00B87A44"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947E9" w14:textId="77777777" w:rsidR="003E769A" w:rsidRDefault="003E769A" w:rsidP="00975A60">
      <w:pPr>
        <w:spacing w:after="0"/>
      </w:pPr>
      <w:r>
        <w:separator/>
      </w:r>
    </w:p>
  </w:endnote>
  <w:endnote w:type="continuationSeparator" w:id="0">
    <w:p w14:paraId="341E4A33" w14:textId="77777777" w:rsidR="003E769A" w:rsidRDefault="003E769A"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5D2D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E6CF55"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767A8"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06435">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06435">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903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06435">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06435">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A4333" w14:textId="77777777" w:rsidR="003E769A" w:rsidRDefault="003E769A" w:rsidP="00975A60">
      <w:pPr>
        <w:spacing w:after="0"/>
      </w:pPr>
      <w:r>
        <w:separator/>
      </w:r>
    </w:p>
  </w:footnote>
  <w:footnote w:type="continuationSeparator" w:id="0">
    <w:p w14:paraId="3EB3A944" w14:textId="77777777" w:rsidR="003E769A" w:rsidRDefault="003E769A"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5BF0" w14:textId="6CE682DF" w:rsidR="00B87A44" w:rsidRPr="00F87812" w:rsidRDefault="00B87A44" w:rsidP="00B87A44">
    <w:pPr>
      <w:pStyle w:val="Header"/>
    </w:pPr>
    <w:r w:rsidRPr="00F87812">
      <w:t>Identification code: MeG-CLS</w:t>
    </w:r>
    <w:r w:rsidR="004645D8">
      <w:t>-096</w:t>
    </w:r>
    <w:r w:rsidRPr="00F87812">
      <w:tab/>
    </w:r>
  </w:p>
  <w:p w14:paraId="2A86C80D" w14:textId="0B34D586" w:rsidR="00B87A44" w:rsidRPr="00B87A44" w:rsidRDefault="002042EA" w:rsidP="00B87A44">
    <w:pPr>
      <w:pStyle w:val="Header"/>
    </w:pPr>
    <w:r>
      <w:t xml:space="preserve">Version: </w:t>
    </w:r>
    <w:r w:rsidR="0063653C">
      <w:t>1</w:t>
    </w:r>
    <w:r>
      <w:t>.0</w:t>
    </w:r>
    <w:r w:rsidR="00B87A44" w:rsidRPr="00B87A44">
      <w:t xml:space="preserve"> – </w:t>
    </w:r>
    <w:r w:rsidR="004645D8">
      <w:t>15 October</w:t>
    </w:r>
    <w:r>
      <w:t xml:space="preserve"> 2020</w:t>
    </w:r>
  </w:p>
  <w:p w14:paraId="0FB5679A" w14:textId="77777777" w:rsidR="005D1877" w:rsidRPr="00B87A44" w:rsidRDefault="005D1877" w:rsidP="00B87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254E"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4D6F51F4" wp14:editId="3A19A367">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F63E85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66D63F7A" w14:textId="77777777" w:rsidR="00D13825" w:rsidRPr="003C0800" w:rsidRDefault="00D13825" w:rsidP="00D13825">
    <w:pPr>
      <w:pStyle w:val="Header"/>
      <w:ind w:firstLine="2880"/>
      <w:rPr>
        <w:rFonts w:cs="Arial"/>
        <w:b/>
      </w:rPr>
    </w:pPr>
  </w:p>
  <w:p w14:paraId="444E29B9" w14:textId="2C803C02" w:rsidR="00D13825" w:rsidRPr="00F87812" w:rsidRDefault="00D13825" w:rsidP="00D13825">
    <w:pPr>
      <w:pStyle w:val="Header"/>
    </w:pPr>
    <w:r w:rsidRPr="00F87812">
      <w:t>Identification code: MeG-CLS-</w:t>
    </w:r>
    <w:r w:rsidR="004645D8">
      <w:t>096</w:t>
    </w:r>
    <w:r w:rsidRPr="00F87812">
      <w:tab/>
    </w:r>
  </w:p>
  <w:p w14:paraId="05A38876" w14:textId="5510ED92" w:rsidR="00D13825" w:rsidRPr="00B87A44" w:rsidRDefault="00D13825" w:rsidP="00D13825">
    <w:pPr>
      <w:pStyle w:val="Header"/>
    </w:pPr>
    <w:r w:rsidRPr="00B87A44">
      <w:t xml:space="preserve">Version: </w:t>
    </w:r>
    <w:r w:rsidR="0092542D">
      <w:t xml:space="preserve">1.0 </w:t>
    </w:r>
    <w:r w:rsidR="004645D8">
      <w:t xml:space="preserve">15 October </w:t>
    </w:r>
    <w:r w:rsidR="0092542D">
      <w:t>2020</w:t>
    </w:r>
  </w:p>
  <w:p w14:paraId="6DB6B9B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DF0754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4680160"/>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D6473A"/>
    <w:multiLevelType w:val="multilevel"/>
    <w:tmpl w:val="8A44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453BE3"/>
    <w:multiLevelType w:val="hybridMultilevel"/>
    <w:tmpl w:val="55A6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8C0996"/>
    <w:multiLevelType w:val="hybridMultilevel"/>
    <w:tmpl w:val="EBDE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3385E"/>
    <w:multiLevelType w:val="hybridMultilevel"/>
    <w:tmpl w:val="7F7C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9BC6F22"/>
    <w:multiLevelType w:val="hybridMultilevel"/>
    <w:tmpl w:val="83E6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64ECB"/>
    <w:multiLevelType w:val="hybridMultilevel"/>
    <w:tmpl w:val="F4D08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AE09F5"/>
    <w:multiLevelType w:val="hybridMultilevel"/>
    <w:tmpl w:val="4FD4E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566DE"/>
    <w:multiLevelType w:val="hybridMultilevel"/>
    <w:tmpl w:val="2A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A364FB"/>
    <w:multiLevelType w:val="hybridMultilevel"/>
    <w:tmpl w:val="536476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651784"/>
    <w:multiLevelType w:val="hybridMultilevel"/>
    <w:tmpl w:val="A91C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7783A3E"/>
    <w:multiLevelType w:val="hybridMultilevel"/>
    <w:tmpl w:val="37D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A4774"/>
    <w:multiLevelType w:val="hybridMultilevel"/>
    <w:tmpl w:val="06B0D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C565E"/>
    <w:multiLevelType w:val="hybridMultilevel"/>
    <w:tmpl w:val="3DC0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5"/>
  </w:num>
  <w:num w:numId="4">
    <w:abstractNumId w:val="1"/>
  </w:num>
  <w:num w:numId="5">
    <w:abstractNumId w:val="0"/>
  </w:num>
  <w:num w:numId="6">
    <w:abstractNumId w:val="8"/>
  </w:num>
  <w:num w:numId="7">
    <w:abstractNumId w:val="22"/>
  </w:num>
  <w:num w:numId="8">
    <w:abstractNumId w:val="2"/>
  </w:num>
  <w:num w:numId="9">
    <w:abstractNumId w:val="36"/>
  </w:num>
  <w:num w:numId="10">
    <w:abstractNumId w:val="4"/>
  </w:num>
  <w:num w:numId="11">
    <w:abstractNumId w:val="16"/>
  </w:num>
  <w:num w:numId="12">
    <w:abstractNumId w:val="25"/>
  </w:num>
  <w:num w:numId="13">
    <w:abstractNumId w:val="32"/>
  </w:num>
  <w:num w:numId="14">
    <w:abstractNumId w:val="28"/>
  </w:num>
  <w:num w:numId="15">
    <w:abstractNumId w:val="35"/>
  </w:num>
  <w:num w:numId="16">
    <w:abstractNumId w:val="18"/>
  </w:num>
  <w:num w:numId="17">
    <w:abstractNumId w:val="13"/>
  </w:num>
  <w:num w:numId="18">
    <w:abstractNumId w:val="29"/>
  </w:num>
  <w:num w:numId="19">
    <w:abstractNumId w:val="19"/>
  </w:num>
  <w:num w:numId="20">
    <w:abstractNumId w:val="34"/>
  </w:num>
  <w:num w:numId="21">
    <w:abstractNumId w:val="21"/>
  </w:num>
  <w:num w:numId="22">
    <w:abstractNumId w:val="14"/>
  </w:num>
  <w:num w:numId="23">
    <w:abstractNumId w:val="24"/>
  </w:num>
  <w:num w:numId="24">
    <w:abstractNumId w:val="27"/>
  </w:num>
  <w:num w:numId="25">
    <w:abstractNumId w:val="6"/>
  </w:num>
  <w:num w:numId="26">
    <w:abstractNumId w:val="10"/>
  </w:num>
  <w:num w:numId="27">
    <w:abstractNumId w:val="12"/>
  </w:num>
  <w:num w:numId="28">
    <w:abstractNumId w:val="17"/>
  </w:num>
  <w:num w:numId="29">
    <w:abstractNumId w:val="31"/>
  </w:num>
  <w:num w:numId="30">
    <w:abstractNumId w:val="7"/>
  </w:num>
  <w:num w:numId="31">
    <w:abstractNumId w:val="9"/>
  </w:num>
  <w:num w:numId="32">
    <w:abstractNumId w:val="33"/>
  </w:num>
  <w:num w:numId="33">
    <w:abstractNumId w:val="5"/>
  </w:num>
  <w:num w:numId="34">
    <w:abstractNumId w:val="30"/>
  </w:num>
  <w:num w:numId="35">
    <w:abstractNumId w:val="3"/>
  </w:num>
  <w:num w:numId="36">
    <w:abstractNumId w:val="2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NTY2NzA1tTQ2MDRQ0lEKTi0uzszPAykwqgUAZxqC2ywAAAA="/>
  </w:docVars>
  <w:rsids>
    <w:rsidRoot w:val="00B87A44"/>
    <w:rsid w:val="000039D9"/>
    <w:rsid w:val="00070BDF"/>
    <w:rsid w:val="0007147C"/>
    <w:rsid w:val="00081642"/>
    <w:rsid w:val="00106F3E"/>
    <w:rsid w:val="00114AAF"/>
    <w:rsid w:val="001203AE"/>
    <w:rsid w:val="001211F9"/>
    <w:rsid w:val="001702CE"/>
    <w:rsid w:val="00175153"/>
    <w:rsid w:val="001C1450"/>
    <w:rsid w:val="002042EA"/>
    <w:rsid w:val="00213381"/>
    <w:rsid w:val="00223920"/>
    <w:rsid w:val="00230E9B"/>
    <w:rsid w:val="002449DD"/>
    <w:rsid w:val="00252A11"/>
    <w:rsid w:val="0029357D"/>
    <w:rsid w:val="00297211"/>
    <w:rsid w:val="002A2856"/>
    <w:rsid w:val="003020A2"/>
    <w:rsid w:val="003038D3"/>
    <w:rsid w:val="003225CD"/>
    <w:rsid w:val="00347AB1"/>
    <w:rsid w:val="00385503"/>
    <w:rsid w:val="003C0800"/>
    <w:rsid w:val="003C0F97"/>
    <w:rsid w:val="003E2B01"/>
    <w:rsid w:val="003E769A"/>
    <w:rsid w:val="003F70CA"/>
    <w:rsid w:val="00440C10"/>
    <w:rsid w:val="004645D8"/>
    <w:rsid w:val="00493410"/>
    <w:rsid w:val="004A25F0"/>
    <w:rsid w:val="004A4C93"/>
    <w:rsid w:val="004B3BCF"/>
    <w:rsid w:val="004C4442"/>
    <w:rsid w:val="005151D8"/>
    <w:rsid w:val="00515546"/>
    <w:rsid w:val="005473B7"/>
    <w:rsid w:val="005638D0"/>
    <w:rsid w:val="00582E43"/>
    <w:rsid w:val="005C148E"/>
    <w:rsid w:val="005D1877"/>
    <w:rsid w:val="005D1C1E"/>
    <w:rsid w:val="005D390E"/>
    <w:rsid w:val="005F2896"/>
    <w:rsid w:val="00633320"/>
    <w:rsid w:val="0063653C"/>
    <w:rsid w:val="006932B6"/>
    <w:rsid w:val="006C71C3"/>
    <w:rsid w:val="006D2E57"/>
    <w:rsid w:val="007067BE"/>
    <w:rsid w:val="0072046B"/>
    <w:rsid w:val="007768EF"/>
    <w:rsid w:val="00782BFC"/>
    <w:rsid w:val="00793247"/>
    <w:rsid w:val="007A177E"/>
    <w:rsid w:val="007A7E8E"/>
    <w:rsid w:val="007B26B1"/>
    <w:rsid w:val="00807977"/>
    <w:rsid w:val="00857027"/>
    <w:rsid w:val="009006BB"/>
    <w:rsid w:val="00912232"/>
    <w:rsid w:val="009165E9"/>
    <w:rsid w:val="0092542D"/>
    <w:rsid w:val="009325A7"/>
    <w:rsid w:val="00941384"/>
    <w:rsid w:val="009472F3"/>
    <w:rsid w:val="00965B30"/>
    <w:rsid w:val="00975A60"/>
    <w:rsid w:val="009956F9"/>
    <w:rsid w:val="009B44BE"/>
    <w:rsid w:val="009F3C5A"/>
    <w:rsid w:val="009F5B1B"/>
    <w:rsid w:val="00A06435"/>
    <w:rsid w:val="00A211F1"/>
    <w:rsid w:val="00A312D8"/>
    <w:rsid w:val="00A40789"/>
    <w:rsid w:val="00A41080"/>
    <w:rsid w:val="00A4597C"/>
    <w:rsid w:val="00AB1448"/>
    <w:rsid w:val="00AC2333"/>
    <w:rsid w:val="00B31AC4"/>
    <w:rsid w:val="00B844E8"/>
    <w:rsid w:val="00B87A44"/>
    <w:rsid w:val="00B93BED"/>
    <w:rsid w:val="00BA17F5"/>
    <w:rsid w:val="00BB09C4"/>
    <w:rsid w:val="00BB73C5"/>
    <w:rsid w:val="00BD08AB"/>
    <w:rsid w:val="00BD679F"/>
    <w:rsid w:val="00BF3E05"/>
    <w:rsid w:val="00C67021"/>
    <w:rsid w:val="00CC0887"/>
    <w:rsid w:val="00CC3CF5"/>
    <w:rsid w:val="00CD4A1D"/>
    <w:rsid w:val="00D03AB2"/>
    <w:rsid w:val="00D13825"/>
    <w:rsid w:val="00D36304"/>
    <w:rsid w:val="00DA20ED"/>
    <w:rsid w:val="00DA455E"/>
    <w:rsid w:val="00DC1CC5"/>
    <w:rsid w:val="00DC590C"/>
    <w:rsid w:val="00DD1C05"/>
    <w:rsid w:val="00DE3D6D"/>
    <w:rsid w:val="00DE6FC7"/>
    <w:rsid w:val="00DF345F"/>
    <w:rsid w:val="00E162DA"/>
    <w:rsid w:val="00E5127F"/>
    <w:rsid w:val="00E54A1F"/>
    <w:rsid w:val="00F03F25"/>
    <w:rsid w:val="00F0795B"/>
    <w:rsid w:val="00F357A9"/>
    <w:rsid w:val="00F53968"/>
    <w:rsid w:val="00F71F11"/>
    <w:rsid w:val="00FB7298"/>
    <w:rsid w:val="00FE5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778B73"/>
  <w15:docId w15:val="{E92DC718-CD9A-427D-9515-DE633F36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87A44"/>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DD1C05"/>
    <w:rPr>
      <w:sz w:val="18"/>
      <w:szCs w:val="18"/>
    </w:rPr>
  </w:style>
  <w:style w:type="paragraph" w:styleId="CommentText">
    <w:name w:val="annotation text"/>
    <w:basedOn w:val="Normal"/>
    <w:link w:val="CommentTextChar"/>
    <w:semiHidden/>
    <w:unhideWhenUsed/>
    <w:rsid w:val="00DD1C05"/>
    <w:rPr>
      <w:sz w:val="24"/>
    </w:rPr>
  </w:style>
  <w:style w:type="character" w:customStyle="1" w:styleId="CommentTextChar">
    <w:name w:val="Comment Text Char"/>
    <w:basedOn w:val="DefaultParagraphFont"/>
    <w:link w:val="CommentText"/>
    <w:semiHidden/>
    <w:rsid w:val="00DD1C05"/>
    <w:rPr>
      <w:rFonts w:ascii="Arial" w:hAnsi="Arial"/>
      <w:sz w:val="24"/>
      <w:szCs w:val="24"/>
      <w:lang w:val="en-US"/>
    </w:rPr>
  </w:style>
  <w:style w:type="paragraph" w:styleId="CommentSubject">
    <w:name w:val="annotation subject"/>
    <w:basedOn w:val="CommentText"/>
    <w:next w:val="CommentText"/>
    <w:link w:val="CommentSubjectChar"/>
    <w:semiHidden/>
    <w:unhideWhenUsed/>
    <w:rsid w:val="00DD1C05"/>
    <w:rPr>
      <w:b/>
      <w:bCs/>
      <w:sz w:val="20"/>
      <w:szCs w:val="20"/>
    </w:rPr>
  </w:style>
  <w:style w:type="character" w:customStyle="1" w:styleId="CommentSubjectChar">
    <w:name w:val="Comment Subject Char"/>
    <w:basedOn w:val="CommentTextChar"/>
    <w:link w:val="CommentSubject"/>
    <w:semiHidden/>
    <w:rsid w:val="00DD1C05"/>
    <w:rPr>
      <w:rFonts w:ascii="Arial" w:hAnsi="Arial"/>
      <w:b/>
      <w:bCs/>
      <w:sz w:val="24"/>
      <w:szCs w:val="24"/>
      <w:lang w:val="en-US"/>
    </w:rPr>
  </w:style>
  <w:style w:type="character" w:styleId="FollowedHyperlink">
    <w:name w:val="FollowedHyperlink"/>
    <w:basedOn w:val="DefaultParagraphFont"/>
    <w:rsid w:val="00FE5C82"/>
    <w:rPr>
      <w:color w:val="800080" w:themeColor="followedHyperlink"/>
      <w:u w:val="single"/>
    </w:rPr>
  </w:style>
  <w:style w:type="paragraph" w:styleId="Revision">
    <w:name w:val="Revision"/>
    <w:hidden/>
    <w:semiHidden/>
    <w:rsid w:val="00070BDF"/>
    <w:rPr>
      <w:rFonts w:ascii="Arial" w:hAnsi="Arial"/>
      <w:sz w:val="22"/>
      <w:szCs w:val="24"/>
      <w:lang w:val="en-US"/>
    </w:rPr>
  </w:style>
  <w:style w:type="paragraph" w:customStyle="1" w:styleId="paragraph">
    <w:name w:val="paragraph"/>
    <w:basedOn w:val="Normal"/>
    <w:rsid w:val="00A06435"/>
    <w:pPr>
      <w:spacing w:before="100" w:beforeAutospacing="1" w:after="100" w:afterAutospacing="1"/>
      <w:outlineLvl w:val="9"/>
    </w:pPr>
    <w:rPr>
      <w:rFonts w:ascii="Times New Roman" w:hAnsi="Times New Roman" w:cs="Times New Roman"/>
      <w:sz w:val="24"/>
    </w:rPr>
  </w:style>
  <w:style w:type="character" w:customStyle="1" w:styleId="normaltextrun">
    <w:name w:val="normaltextrun"/>
    <w:basedOn w:val="DefaultParagraphFont"/>
    <w:rsid w:val="00A06435"/>
  </w:style>
  <w:style w:type="character" w:customStyle="1" w:styleId="eop">
    <w:name w:val="eop"/>
    <w:basedOn w:val="DefaultParagraphFont"/>
    <w:rsid w:val="00A06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37470">
      <w:bodyDiv w:val="1"/>
      <w:marLeft w:val="0"/>
      <w:marRight w:val="0"/>
      <w:marTop w:val="0"/>
      <w:marBottom w:val="0"/>
      <w:divBdr>
        <w:top w:val="none" w:sz="0" w:space="0" w:color="auto"/>
        <w:left w:val="none" w:sz="0" w:space="0" w:color="auto"/>
        <w:bottom w:val="none" w:sz="0" w:space="0" w:color="auto"/>
        <w:right w:val="none" w:sz="0" w:space="0" w:color="auto"/>
      </w:divBdr>
    </w:div>
    <w:div w:id="198006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urheartj/article/36/44/3075/2293384"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apg.scot/quality-improvement/hospital-prescribing/staph-aureus-bacteraemi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0</TotalTime>
  <Pages>4</Pages>
  <Words>1161</Words>
  <Characters>6622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cp:lastPrinted>2019-05-03T10:38:00Z</cp:lastPrinted>
  <dcterms:created xsi:type="dcterms:W3CDTF">2020-10-15T11:06:00Z</dcterms:created>
  <dcterms:modified xsi:type="dcterms:W3CDTF">2020-10-15T11:06:00Z</dcterms:modified>
</cp:coreProperties>
</file>