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6B163" w14:textId="77777777" w:rsidR="00F06346" w:rsidRDefault="00BD6E01" w:rsidP="00BD6E01">
      <w:pPr>
        <w:pStyle w:val="Heading1"/>
        <w:rPr>
          <w:lang w:val="en-GB"/>
        </w:rPr>
      </w:pPr>
      <w:bookmarkStart w:id="0" w:name="_GoBack"/>
      <w:bookmarkEnd w:id="0"/>
      <w:r>
        <w:rPr>
          <w:lang w:val="en-GB"/>
        </w:rPr>
        <w:t>Stevens-Johnson Syndrome</w:t>
      </w:r>
    </w:p>
    <w:p w14:paraId="758FDCE2" w14:textId="77777777" w:rsidR="00975A60" w:rsidRDefault="00975A60" w:rsidP="00975A60">
      <w:pPr>
        <w:pStyle w:val="Heading2"/>
        <w:rPr>
          <w:rFonts w:cs="Arial"/>
          <w:szCs w:val="22"/>
          <w:lang w:val="en-GB"/>
        </w:rPr>
      </w:pPr>
      <w:r w:rsidRPr="000A3AA8">
        <w:rPr>
          <w:rFonts w:cs="Arial"/>
          <w:szCs w:val="22"/>
          <w:lang w:val="en-GB"/>
        </w:rPr>
        <w:t>Introduction</w:t>
      </w:r>
    </w:p>
    <w:p w14:paraId="2B19B39A" w14:textId="77777777" w:rsidR="00AF4DCE" w:rsidRPr="00AF4DCE" w:rsidRDefault="00AF4DCE" w:rsidP="00E02923">
      <w:pPr>
        <w:rPr>
          <w:lang w:val="en-GB" w:eastAsia="en-GB"/>
        </w:rPr>
      </w:pPr>
      <w:r w:rsidRPr="00AF4DCE">
        <w:rPr>
          <w:lang w:val="en-GB" w:eastAsia="en-GB"/>
        </w:rPr>
        <w:t xml:space="preserve">Stevens-Johnson syndrome (SJS) and toxic epidermal necrolysis (TEN) are severe mucocutaneous adverse reactions, most commonly triggered by medications, </w:t>
      </w:r>
      <w:r w:rsidRPr="00E02923">
        <w:rPr>
          <w:lang w:val="en-GB" w:eastAsia="en-GB"/>
        </w:rPr>
        <w:t>characterized</w:t>
      </w:r>
      <w:r w:rsidRPr="00AF4DCE">
        <w:rPr>
          <w:lang w:val="en-GB" w:eastAsia="en-GB"/>
        </w:rPr>
        <w:t xml:space="preserve"> by fever and extensive necrosis and detachment of the epidermis. SJS and TEN are considered a disease continuum and are distinguished chiefly by severity, based upon the percentage of body surface involved with skin detachment</w:t>
      </w:r>
      <w:r w:rsidR="00BD6E01">
        <w:rPr>
          <w:lang w:val="en-GB" w:eastAsia="en-GB"/>
        </w:rPr>
        <w:t>.</w:t>
      </w:r>
    </w:p>
    <w:p w14:paraId="140BEB32" w14:textId="77777777" w:rsidR="00AF4DCE" w:rsidRPr="00AF4DCE" w:rsidRDefault="00AF4DCE" w:rsidP="00E02923">
      <w:pPr>
        <w:rPr>
          <w:lang w:val="en-GB" w:eastAsia="en-GB"/>
        </w:rPr>
      </w:pPr>
      <w:r w:rsidRPr="00AF4DCE">
        <w:rPr>
          <w:lang w:val="en-GB" w:eastAsia="en-GB"/>
        </w:rPr>
        <w:t>SJS is the less severe condition, in which skin detachment is &lt;10</w:t>
      </w:r>
      <w:r w:rsidR="00BD6E01">
        <w:rPr>
          <w:lang w:val="en-GB" w:eastAsia="en-GB"/>
        </w:rPr>
        <w:t>%</w:t>
      </w:r>
      <w:r w:rsidRPr="00AF4DCE">
        <w:rPr>
          <w:lang w:val="en-GB" w:eastAsia="en-GB"/>
        </w:rPr>
        <w:t xml:space="preserve"> of the body surface</w:t>
      </w:r>
      <w:r w:rsidR="00BD6E01">
        <w:rPr>
          <w:lang w:val="en-GB" w:eastAsia="en-GB"/>
        </w:rPr>
        <w:t xml:space="preserve">. </w:t>
      </w:r>
      <w:r w:rsidRPr="00AF4DCE">
        <w:rPr>
          <w:lang w:val="en-GB" w:eastAsia="en-GB"/>
        </w:rPr>
        <w:t>Mucous membranes are affected in over 90 percent of patients, usually at two or more distinct sites (ocular, oral, and genital).</w:t>
      </w:r>
    </w:p>
    <w:p w14:paraId="284AA53F" w14:textId="77777777" w:rsidR="00AF4DCE" w:rsidRPr="00AF4DCE" w:rsidRDefault="00AF4DCE" w:rsidP="00E02923">
      <w:pPr>
        <w:rPr>
          <w:lang w:val="en-GB" w:eastAsia="en-GB"/>
        </w:rPr>
      </w:pPr>
      <w:r w:rsidRPr="00AF4DCE">
        <w:rPr>
          <w:lang w:val="en-GB" w:eastAsia="en-GB"/>
        </w:rPr>
        <w:t>TEN involves detachment of &gt;30</w:t>
      </w:r>
      <w:r w:rsidR="00BD6E01">
        <w:rPr>
          <w:lang w:val="en-GB" w:eastAsia="en-GB"/>
        </w:rPr>
        <w:t xml:space="preserve">% </w:t>
      </w:r>
      <w:r w:rsidRPr="00AF4DCE">
        <w:rPr>
          <w:lang w:val="en-GB" w:eastAsia="en-GB"/>
        </w:rPr>
        <w:t>of the body surface area. Mucous membranes are also involved in over 90</w:t>
      </w:r>
      <w:r w:rsidR="00BD6E01">
        <w:rPr>
          <w:lang w:val="en-GB" w:eastAsia="en-GB"/>
        </w:rPr>
        <w:t xml:space="preserve">% </w:t>
      </w:r>
      <w:r w:rsidRPr="00AF4DCE">
        <w:rPr>
          <w:lang w:val="en-GB" w:eastAsia="en-GB"/>
        </w:rPr>
        <w:t>of cases.</w:t>
      </w:r>
    </w:p>
    <w:p w14:paraId="52B231AF" w14:textId="77777777" w:rsidR="00AF4DCE" w:rsidRPr="00AF4DCE" w:rsidRDefault="00AF4DCE" w:rsidP="00E02923">
      <w:pPr>
        <w:rPr>
          <w:lang w:val="en-GB" w:eastAsia="en-GB"/>
        </w:rPr>
      </w:pPr>
      <w:r w:rsidRPr="00AF4DCE">
        <w:rPr>
          <w:lang w:val="en-GB" w:eastAsia="en-GB"/>
        </w:rPr>
        <w:t>SJS/TEN overlap describes patients with skin detachment of 10 to 30</w:t>
      </w:r>
      <w:r w:rsidR="00BD6E01">
        <w:rPr>
          <w:lang w:val="en-GB" w:eastAsia="en-GB"/>
        </w:rPr>
        <w:t>%</w:t>
      </w:r>
      <w:r w:rsidRPr="00AF4DCE">
        <w:rPr>
          <w:lang w:val="en-GB" w:eastAsia="en-GB"/>
        </w:rPr>
        <w:t xml:space="preserve"> of body surface area. Mucous membranes are also involved in over 90</w:t>
      </w:r>
      <w:r w:rsidR="00BD6E01">
        <w:rPr>
          <w:lang w:val="en-GB" w:eastAsia="en-GB"/>
        </w:rPr>
        <w:t xml:space="preserve">% </w:t>
      </w:r>
      <w:r w:rsidRPr="00AF4DCE">
        <w:rPr>
          <w:lang w:val="en-GB" w:eastAsia="en-GB"/>
        </w:rPr>
        <w:t>of cases.</w:t>
      </w:r>
    </w:p>
    <w:p w14:paraId="1928F193" w14:textId="5CF1F6B3" w:rsidR="00AF4DCE" w:rsidRDefault="00BD6E01" w:rsidP="00AF4DCE">
      <w:pPr>
        <w:spacing w:before="216" w:line="336" w:lineRule="auto"/>
        <w:outlineLvl w:val="9"/>
        <w:rPr>
          <w:rFonts w:eastAsia="Times New Roman"/>
          <w:szCs w:val="22"/>
          <w:lang w:val="en-GB" w:eastAsia="en-GB"/>
        </w:rPr>
      </w:pPr>
      <w:r>
        <w:t xml:space="preserve">Here, </w:t>
      </w:r>
      <w:r w:rsidR="00AF4DCE" w:rsidRPr="00E02923">
        <w:t xml:space="preserve">"SJS/TEN" </w:t>
      </w:r>
      <w:r>
        <w:t xml:space="preserve">is used </w:t>
      </w:r>
      <w:r w:rsidR="00AF4DCE" w:rsidRPr="00E02923">
        <w:t>to refer collectively to SJS, TEN, and SJS/TEN overlap</w:t>
      </w:r>
      <w:r w:rsidR="00AF4DCE" w:rsidRPr="00AF4DCE">
        <w:rPr>
          <w:rFonts w:eastAsia="Times New Roman"/>
          <w:szCs w:val="22"/>
          <w:lang w:val="en-GB" w:eastAsia="en-GB"/>
        </w:rPr>
        <w:t xml:space="preserve">. </w:t>
      </w:r>
    </w:p>
    <w:p w14:paraId="0272BB6E" w14:textId="77777777" w:rsidR="00D47B60" w:rsidRPr="00471542" w:rsidRDefault="00D47B60" w:rsidP="007A5419">
      <w:pPr>
        <w:pStyle w:val="Heading2"/>
      </w:pPr>
      <w:r w:rsidRPr="00471542">
        <w:t>Target User</w:t>
      </w:r>
    </w:p>
    <w:p w14:paraId="068D0DCE" w14:textId="77777777" w:rsidR="00D47B60" w:rsidRPr="00471542" w:rsidRDefault="00D47B60" w:rsidP="007A5419">
      <w:pPr>
        <w:pStyle w:val="ListParagraph"/>
        <w:numPr>
          <w:ilvl w:val="0"/>
          <w:numId w:val="46"/>
        </w:numPr>
      </w:pPr>
      <w:r w:rsidRPr="00471542">
        <w:t>Doctors</w:t>
      </w:r>
    </w:p>
    <w:p w14:paraId="6C575D12" w14:textId="77777777" w:rsidR="00D47B60" w:rsidRPr="00471542" w:rsidRDefault="00D47B60" w:rsidP="007A5419">
      <w:pPr>
        <w:pStyle w:val="ListParagraph"/>
        <w:numPr>
          <w:ilvl w:val="0"/>
          <w:numId w:val="46"/>
        </w:numPr>
      </w:pPr>
      <w:r>
        <w:t>Nurses</w:t>
      </w:r>
    </w:p>
    <w:p w14:paraId="344AE336" w14:textId="77777777" w:rsidR="00D47B60" w:rsidRPr="00471542" w:rsidRDefault="00D47B60" w:rsidP="007A5419">
      <w:pPr>
        <w:pStyle w:val="Heading2"/>
      </w:pPr>
      <w:r w:rsidRPr="00471542">
        <w:t xml:space="preserve">Target area of use </w:t>
      </w:r>
    </w:p>
    <w:p w14:paraId="37FB4F48" w14:textId="3389C454" w:rsidR="00D47B60" w:rsidRDefault="00D47B60" w:rsidP="007A5419">
      <w:pPr>
        <w:pStyle w:val="ListParagraph"/>
        <w:numPr>
          <w:ilvl w:val="0"/>
          <w:numId w:val="47"/>
        </w:numPr>
      </w:pPr>
      <w:r w:rsidRPr="00471542">
        <w:t>Ward</w:t>
      </w:r>
    </w:p>
    <w:p w14:paraId="3F1D4DA1" w14:textId="7255F80C" w:rsidR="00D47B60" w:rsidRPr="00471542" w:rsidRDefault="007A5419" w:rsidP="00AA01F1">
      <w:pPr>
        <w:pStyle w:val="ListParagraph"/>
        <w:numPr>
          <w:ilvl w:val="0"/>
          <w:numId w:val="47"/>
        </w:numPr>
      </w:pPr>
      <w:r>
        <w:t>Outpatient department</w:t>
      </w:r>
    </w:p>
    <w:p w14:paraId="6237F679" w14:textId="77777777" w:rsidR="00D47B60" w:rsidRDefault="00D47B60" w:rsidP="007A5419">
      <w:pPr>
        <w:pStyle w:val="Heading2"/>
      </w:pPr>
      <w:r w:rsidRPr="00471542">
        <w:t>Key areas of focus/new additions/changes</w:t>
      </w:r>
    </w:p>
    <w:p w14:paraId="17F769C2" w14:textId="77777777" w:rsidR="00D47B60" w:rsidRPr="00815CE8" w:rsidRDefault="00D47B60" w:rsidP="007A5419">
      <w:r w:rsidRPr="00815CE8">
        <w:t>These guidelines addresses the management</w:t>
      </w:r>
      <w:r>
        <w:t xml:space="preserve"> of Stevens Johnson.</w:t>
      </w:r>
    </w:p>
    <w:p w14:paraId="09A0FD3D" w14:textId="77777777" w:rsidR="00D47B60" w:rsidRDefault="00D47B60" w:rsidP="007A5419">
      <w:pPr>
        <w:pStyle w:val="Heading2"/>
      </w:pPr>
      <w:r w:rsidRPr="00471542">
        <w:t>Limitations</w:t>
      </w:r>
    </w:p>
    <w:p w14:paraId="001FC4C3" w14:textId="77777777" w:rsidR="00D47B60" w:rsidRPr="00471542" w:rsidRDefault="00D47B60" w:rsidP="007A5419">
      <w:r>
        <w:t>Lack of an intensive care unit to nurse patient with extensive lesions.</w:t>
      </w:r>
    </w:p>
    <w:p w14:paraId="49920911" w14:textId="77777777" w:rsidR="00D47B60" w:rsidRPr="00AF4DCE" w:rsidRDefault="00D47B60" w:rsidP="007A5419">
      <w:pPr>
        <w:rPr>
          <w:rFonts w:eastAsia="Times New Roman"/>
          <w:szCs w:val="22"/>
          <w:lang w:val="en-GB" w:eastAsia="en-GB"/>
        </w:rPr>
      </w:pPr>
    </w:p>
    <w:p w14:paraId="1D585550" w14:textId="77777777" w:rsidR="00D47B60" w:rsidRDefault="00D47B60">
      <w:pPr>
        <w:spacing w:after="0"/>
        <w:outlineLvl w:val="9"/>
        <w:rPr>
          <w:b/>
          <w:sz w:val="24"/>
          <w:szCs w:val="22"/>
          <w:lang w:val="en-GB"/>
        </w:rPr>
      </w:pPr>
      <w:r>
        <w:rPr>
          <w:szCs w:val="22"/>
          <w:lang w:val="en-GB"/>
        </w:rPr>
        <w:br w:type="page"/>
      </w:r>
    </w:p>
    <w:p w14:paraId="52C85690" w14:textId="4509A052" w:rsidR="00975A60" w:rsidRDefault="00975A60" w:rsidP="00DD7DDB">
      <w:pPr>
        <w:pStyle w:val="Heading2"/>
        <w:spacing w:after="120"/>
        <w:rPr>
          <w:rFonts w:cs="Arial"/>
          <w:szCs w:val="22"/>
          <w:lang w:val="en-GB"/>
        </w:rPr>
      </w:pPr>
      <w:r w:rsidRPr="000A3AA8">
        <w:rPr>
          <w:rFonts w:cs="Arial"/>
          <w:szCs w:val="22"/>
          <w:lang w:val="en-GB"/>
        </w:rPr>
        <w:lastRenderedPageBreak/>
        <w:t>Presenting symptoms and signs</w:t>
      </w:r>
    </w:p>
    <w:p w14:paraId="6AADBB0F" w14:textId="77777777" w:rsidR="00AF4DCE" w:rsidRDefault="00AF4DCE" w:rsidP="00AF4DCE">
      <w:pPr>
        <w:rPr>
          <w:lang w:val="en-GB"/>
        </w:rPr>
      </w:pPr>
      <w:r>
        <w:rPr>
          <w:lang w:val="en-GB"/>
        </w:rPr>
        <w:t xml:space="preserve">Typical prodromal symptoms of </w:t>
      </w:r>
      <w:r w:rsidR="00BD6E01">
        <w:rPr>
          <w:lang w:val="en-GB"/>
        </w:rPr>
        <w:t>SJS</w:t>
      </w:r>
      <w:r>
        <w:rPr>
          <w:lang w:val="en-GB"/>
        </w:rPr>
        <w:t xml:space="preserve"> are as follows:</w:t>
      </w:r>
    </w:p>
    <w:p w14:paraId="25EE2C1B" w14:textId="77777777" w:rsidR="00AF4DCE" w:rsidRDefault="00AF4DCE" w:rsidP="00AF4DCE">
      <w:pPr>
        <w:pStyle w:val="ListParagraph"/>
        <w:numPr>
          <w:ilvl w:val="0"/>
          <w:numId w:val="14"/>
        </w:numPr>
        <w:rPr>
          <w:lang w:val="en-GB"/>
        </w:rPr>
      </w:pPr>
      <w:r>
        <w:rPr>
          <w:lang w:val="en-GB"/>
        </w:rPr>
        <w:t>Cough productive of a thick, purulent sputum</w:t>
      </w:r>
    </w:p>
    <w:p w14:paraId="3D1ED2BD" w14:textId="77777777" w:rsidR="00AF4DCE" w:rsidRDefault="00AF4DCE" w:rsidP="00AF4DCE">
      <w:pPr>
        <w:pStyle w:val="ListParagraph"/>
        <w:numPr>
          <w:ilvl w:val="0"/>
          <w:numId w:val="14"/>
        </w:numPr>
        <w:rPr>
          <w:lang w:val="en-GB"/>
        </w:rPr>
      </w:pPr>
      <w:r>
        <w:rPr>
          <w:lang w:val="en-GB"/>
        </w:rPr>
        <w:t>Headache</w:t>
      </w:r>
    </w:p>
    <w:p w14:paraId="628768B6" w14:textId="77777777" w:rsidR="00AF4DCE" w:rsidRDefault="00AF4DCE" w:rsidP="00AF4DCE">
      <w:pPr>
        <w:pStyle w:val="ListParagraph"/>
        <w:numPr>
          <w:ilvl w:val="0"/>
          <w:numId w:val="14"/>
        </w:numPr>
        <w:rPr>
          <w:lang w:val="en-GB"/>
        </w:rPr>
      </w:pPr>
      <w:r>
        <w:rPr>
          <w:lang w:val="en-GB"/>
        </w:rPr>
        <w:t>Malaise</w:t>
      </w:r>
    </w:p>
    <w:p w14:paraId="7FC8F5F7" w14:textId="77777777" w:rsidR="00AF4DCE" w:rsidRDefault="00AF4DCE" w:rsidP="00AF4DCE">
      <w:pPr>
        <w:pStyle w:val="ListParagraph"/>
        <w:numPr>
          <w:ilvl w:val="0"/>
          <w:numId w:val="14"/>
        </w:numPr>
        <w:rPr>
          <w:lang w:val="en-GB"/>
        </w:rPr>
      </w:pPr>
      <w:r>
        <w:rPr>
          <w:lang w:val="en-GB"/>
        </w:rPr>
        <w:t>Arthralgia</w:t>
      </w:r>
    </w:p>
    <w:p w14:paraId="5B90FB7E" w14:textId="77777777" w:rsidR="00AF4DCE" w:rsidRDefault="00AF4DCE" w:rsidP="00387274">
      <w:pPr>
        <w:rPr>
          <w:lang w:val="en-GB"/>
        </w:rPr>
      </w:pPr>
      <w:r>
        <w:rPr>
          <w:lang w:val="en-GB"/>
        </w:rPr>
        <w:t xml:space="preserve">Patients may </w:t>
      </w:r>
      <w:r w:rsidR="00387274">
        <w:rPr>
          <w:lang w:val="en-GB"/>
        </w:rPr>
        <w:t xml:space="preserve">complain of a burning rash that </w:t>
      </w:r>
      <w:r>
        <w:rPr>
          <w:lang w:val="en-GB"/>
        </w:rPr>
        <w:t>begins symmetrically on the face and t</w:t>
      </w:r>
      <w:r w:rsidR="00387274">
        <w:rPr>
          <w:lang w:val="en-GB"/>
        </w:rPr>
        <w:t>he upper part of the torso. This may be accompanied by ocular symptoms.</w:t>
      </w:r>
    </w:p>
    <w:p w14:paraId="640CE6DD" w14:textId="77777777" w:rsidR="00387274" w:rsidRDefault="00387274" w:rsidP="00387274">
      <w:pPr>
        <w:rPr>
          <w:lang w:val="en-GB"/>
        </w:rPr>
      </w:pPr>
      <w:r>
        <w:rPr>
          <w:lang w:val="en-GB"/>
        </w:rPr>
        <w:t xml:space="preserve">In addition to the skin, lesions in </w:t>
      </w:r>
      <w:r w:rsidR="00BD6E01">
        <w:rPr>
          <w:lang w:val="en-GB"/>
        </w:rPr>
        <w:t>SJS</w:t>
      </w:r>
      <w:r>
        <w:rPr>
          <w:lang w:val="en-GB"/>
        </w:rPr>
        <w:t xml:space="preserve"> may involve the following parts of the body:</w:t>
      </w:r>
    </w:p>
    <w:p w14:paraId="5E01A12C" w14:textId="77777777" w:rsidR="00387274" w:rsidRDefault="00387274" w:rsidP="00387274">
      <w:pPr>
        <w:pStyle w:val="ListParagraph"/>
        <w:numPr>
          <w:ilvl w:val="0"/>
          <w:numId w:val="16"/>
        </w:numPr>
        <w:rPr>
          <w:lang w:val="en-GB"/>
        </w:rPr>
      </w:pPr>
      <w:r>
        <w:rPr>
          <w:lang w:val="en-GB"/>
        </w:rPr>
        <w:t>Oral mucosa</w:t>
      </w:r>
    </w:p>
    <w:p w14:paraId="7F90FC9B" w14:textId="77777777" w:rsidR="00387274" w:rsidRDefault="00AF304F" w:rsidP="00387274">
      <w:pPr>
        <w:pStyle w:val="ListParagraph"/>
        <w:numPr>
          <w:ilvl w:val="0"/>
          <w:numId w:val="16"/>
        </w:numPr>
        <w:rPr>
          <w:lang w:val="en-GB"/>
        </w:rPr>
      </w:pPr>
      <w:r>
        <w:rPr>
          <w:lang w:val="en-GB"/>
        </w:rPr>
        <w:t>Oesophagus</w:t>
      </w:r>
    </w:p>
    <w:p w14:paraId="7837CE86" w14:textId="77777777" w:rsidR="00387274" w:rsidRDefault="00387274" w:rsidP="00387274">
      <w:pPr>
        <w:pStyle w:val="ListParagraph"/>
        <w:numPr>
          <w:ilvl w:val="0"/>
          <w:numId w:val="16"/>
        </w:numPr>
        <w:rPr>
          <w:lang w:val="en-GB"/>
        </w:rPr>
      </w:pPr>
      <w:r>
        <w:rPr>
          <w:lang w:val="en-GB"/>
        </w:rPr>
        <w:t>Pharynx</w:t>
      </w:r>
    </w:p>
    <w:p w14:paraId="0FFAF394" w14:textId="77777777" w:rsidR="00387274" w:rsidRDefault="00387274" w:rsidP="00387274">
      <w:pPr>
        <w:pStyle w:val="ListParagraph"/>
        <w:numPr>
          <w:ilvl w:val="0"/>
          <w:numId w:val="16"/>
        </w:numPr>
        <w:rPr>
          <w:lang w:val="en-GB"/>
        </w:rPr>
      </w:pPr>
      <w:r>
        <w:rPr>
          <w:lang w:val="en-GB"/>
        </w:rPr>
        <w:t>Larynx</w:t>
      </w:r>
    </w:p>
    <w:p w14:paraId="295F22D9" w14:textId="77777777" w:rsidR="00387274" w:rsidRDefault="00387274" w:rsidP="00387274">
      <w:pPr>
        <w:pStyle w:val="ListParagraph"/>
        <w:numPr>
          <w:ilvl w:val="0"/>
          <w:numId w:val="16"/>
        </w:numPr>
        <w:rPr>
          <w:lang w:val="en-GB"/>
        </w:rPr>
      </w:pPr>
      <w:r>
        <w:rPr>
          <w:lang w:val="en-GB"/>
        </w:rPr>
        <w:t>Anus</w:t>
      </w:r>
    </w:p>
    <w:p w14:paraId="41C8AD82" w14:textId="77777777" w:rsidR="00387274" w:rsidRDefault="00387274" w:rsidP="00387274">
      <w:pPr>
        <w:pStyle w:val="ListParagraph"/>
        <w:numPr>
          <w:ilvl w:val="0"/>
          <w:numId w:val="16"/>
        </w:numPr>
        <w:rPr>
          <w:lang w:val="en-GB"/>
        </w:rPr>
      </w:pPr>
      <w:r>
        <w:rPr>
          <w:lang w:val="en-GB"/>
        </w:rPr>
        <w:t>Trachea</w:t>
      </w:r>
    </w:p>
    <w:p w14:paraId="4AB5236D" w14:textId="77777777" w:rsidR="00387274" w:rsidRDefault="00387274" w:rsidP="00387274">
      <w:pPr>
        <w:pStyle w:val="ListParagraph"/>
        <w:numPr>
          <w:ilvl w:val="0"/>
          <w:numId w:val="16"/>
        </w:numPr>
        <w:rPr>
          <w:lang w:val="en-GB"/>
        </w:rPr>
      </w:pPr>
      <w:r>
        <w:rPr>
          <w:lang w:val="en-GB"/>
        </w:rPr>
        <w:t>Vagina</w:t>
      </w:r>
    </w:p>
    <w:p w14:paraId="221CE637" w14:textId="77777777" w:rsidR="00387274" w:rsidRDefault="00387274" w:rsidP="00387274">
      <w:pPr>
        <w:pStyle w:val="ListParagraph"/>
        <w:numPr>
          <w:ilvl w:val="0"/>
          <w:numId w:val="16"/>
        </w:numPr>
        <w:rPr>
          <w:lang w:val="en-GB"/>
        </w:rPr>
      </w:pPr>
      <w:r>
        <w:rPr>
          <w:lang w:val="en-GB"/>
        </w:rPr>
        <w:t>Urethra</w:t>
      </w:r>
    </w:p>
    <w:p w14:paraId="49B888BF" w14:textId="77777777" w:rsidR="00387274" w:rsidRPr="00387274" w:rsidRDefault="00387274" w:rsidP="00387274">
      <w:pPr>
        <w:rPr>
          <w:lang w:val="en-GB"/>
        </w:rPr>
      </w:pPr>
      <w:r>
        <w:rPr>
          <w:lang w:val="en-GB"/>
        </w:rPr>
        <w:t xml:space="preserve">Ocular symptoms include the following: </w:t>
      </w:r>
      <w:r w:rsidR="00555B4D">
        <w:rPr>
          <w:lang w:val="en-GB"/>
        </w:rPr>
        <w:t>r</w:t>
      </w:r>
      <w:r>
        <w:rPr>
          <w:lang w:val="en-GB"/>
        </w:rPr>
        <w:t>ed eye, tearing, dry eye, pain, blepharospasm,</w:t>
      </w:r>
      <w:r w:rsidR="002E0F9E">
        <w:rPr>
          <w:lang w:val="en-GB"/>
        </w:rPr>
        <w:t xml:space="preserve"> </w:t>
      </w:r>
      <w:r>
        <w:rPr>
          <w:lang w:val="en-GB"/>
        </w:rPr>
        <w:t>itching, grittiness, heavy eyelid, foreign body sensation, decreased vision, burning sensation, photophobia, diplopia</w:t>
      </w:r>
    </w:p>
    <w:p w14:paraId="39304B2E" w14:textId="77777777" w:rsidR="00975A60" w:rsidRDefault="00975A60" w:rsidP="00DD7DDB">
      <w:pPr>
        <w:pStyle w:val="Heading2"/>
        <w:spacing w:after="120"/>
        <w:rPr>
          <w:rFonts w:cs="Arial"/>
          <w:szCs w:val="22"/>
          <w:lang w:val="en-GB"/>
        </w:rPr>
      </w:pPr>
      <w:r w:rsidRPr="000A3AA8">
        <w:rPr>
          <w:rFonts w:cs="Arial"/>
          <w:szCs w:val="22"/>
          <w:lang w:val="en-GB"/>
        </w:rPr>
        <w:t>Examination findings</w:t>
      </w:r>
    </w:p>
    <w:p w14:paraId="0CC0FA08" w14:textId="77777777" w:rsidR="00CE3A6E" w:rsidRDefault="00CE3A6E" w:rsidP="00CE3A6E">
      <w:pPr>
        <w:rPr>
          <w:lang w:val="en-GB"/>
        </w:rPr>
      </w:pPr>
      <w:r>
        <w:rPr>
          <w:lang w:val="en-GB"/>
        </w:rPr>
        <w:t xml:space="preserve">The rash can begin as macules that develop into papules, vesicles, bullae, urticarial plaques, or confluent erythema. The </w:t>
      </w:r>
      <w:r w:rsidR="00555B4D">
        <w:rPr>
          <w:lang w:val="en-GB"/>
        </w:rPr>
        <w:t>centre</w:t>
      </w:r>
      <w:r>
        <w:rPr>
          <w:lang w:val="en-GB"/>
        </w:rPr>
        <w:t xml:space="preserve"> of these lesions may be vesicular, purpuric, or necrotic.</w:t>
      </w:r>
    </w:p>
    <w:p w14:paraId="6244C1F9" w14:textId="77777777" w:rsidR="00CE3A6E" w:rsidRDefault="00CE3A6E" w:rsidP="00CE3A6E">
      <w:pPr>
        <w:rPr>
          <w:lang w:val="en-GB"/>
        </w:rPr>
      </w:pPr>
      <w:r>
        <w:rPr>
          <w:lang w:val="en-GB"/>
        </w:rPr>
        <w:t xml:space="preserve">Lesions may become bullous and later rupture, leaving denuded skin. The skin becomes susceptible to secondary infection. </w:t>
      </w:r>
    </w:p>
    <w:p w14:paraId="02D248B9" w14:textId="77777777" w:rsidR="00CE3A6E" w:rsidRDefault="00CE3A6E" w:rsidP="00CE3A6E">
      <w:pPr>
        <w:rPr>
          <w:lang w:val="en-GB"/>
        </w:rPr>
      </w:pPr>
      <w:r>
        <w:rPr>
          <w:lang w:val="en-GB"/>
        </w:rPr>
        <w:t>Urticarial lesions typically are not pruritic. Infection may be responsible for the scarring associated with morbidity.</w:t>
      </w:r>
    </w:p>
    <w:p w14:paraId="583C9DD3" w14:textId="77777777" w:rsidR="00CE3A6E" w:rsidRDefault="00527E55" w:rsidP="00CE3A6E">
      <w:pPr>
        <w:rPr>
          <w:lang w:val="en-GB"/>
        </w:rPr>
      </w:pPr>
      <w:r>
        <w:rPr>
          <w:lang w:val="en-GB"/>
        </w:rPr>
        <w:t>Although lesions may</w:t>
      </w:r>
      <w:r w:rsidR="00CE3A6E">
        <w:rPr>
          <w:lang w:val="en-GB"/>
        </w:rPr>
        <w:t xml:space="preserve"> occur anywhere, the palms, soles dorsum of the hands, and extensor surfaces are most commonly affected.</w:t>
      </w:r>
    </w:p>
    <w:p w14:paraId="287F7F79" w14:textId="77777777" w:rsidR="00CE3A6E" w:rsidRDefault="00427E44" w:rsidP="00CE3A6E">
      <w:pPr>
        <w:rPr>
          <w:lang w:val="en-GB"/>
        </w:rPr>
      </w:pPr>
      <w:r>
        <w:rPr>
          <w:lang w:val="en-GB"/>
        </w:rPr>
        <w:t xml:space="preserve">The rash may be confined to any one area of the body, most often the trunk. Mucosal involvement may include erythema, </w:t>
      </w:r>
      <w:r w:rsidR="00555B4D">
        <w:rPr>
          <w:lang w:val="en-GB"/>
        </w:rPr>
        <w:t>oedema</w:t>
      </w:r>
      <w:r>
        <w:rPr>
          <w:lang w:val="en-GB"/>
        </w:rPr>
        <w:t>, sloughing, blistering, ulceration, and necrosis.</w:t>
      </w:r>
    </w:p>
    <w:p w14:paraId="3E4A0AF1" w14:textId="77777777" w:rsidR="002E0F9E" w:rsidRDefault="002E0F9E" w:rsidP="002E0F9E">
      <w:pPr>
        <w:rPr>
          <w:lang w:val="en-GB"/>
        </w:rPr>
      </w:pPr>
      <w:r>
        <w:rPr>
          <w:lang w:val="en-GB"/>
        </w:rPr>
        <w:t xml:space="preserve">The following signs may </w:t>
      </w:r>
      <w:r w:rsidR="00427E44">
        <w:rPr>
          <w:lang w:val="en-GB"/>
        </w:rPr>
        <w:t xml:space="preserve">also </w:t>
      </w:r>
      <w:r>
        <w:rPr>
          <w:lang w:val="en-GB"/>
        </w:rPr>
        <w:t>be noted on examination:</w:t>
      </w:r>
    </w:p>
    <w:p w14:paraId="39928C0E" w14:textId="77777777" w:rsidR="002E0F9E" w:rsidRDefault="002E0F9E" w:rsidP="002E0F9E">
      <w:pPr>
        <w:pStyle w:val="ListParagraph"/>
        <w:numPr>
          <w:ilvl w:val="0"/>
          <w:numId w:val="17"/>
        </w:numPr>
        <w:rPr>
          <w:lang w:val="en-GB"/>
        </w:rPr>
      </w:pPr>
      <w:r>
        <w:rPr>
          <w:lang w:val="en-GB"/>
        </w:rPr>
        <w:t>Fever</w:t>
      </w:r>
    </w:p>
    <w:p w14:paraId="4613BA05" w14:textId="77777777" w:rsidR="002E0F9E" w:rsidRDefault="002E0F9E" w:rsidP="002E0F9E">
      <w:pPr>
        <w:pStyle w:val="ListParagraph"/>
        <w:numPr>
          <w:ilvl w:val="0"/>
          <w:numId w:val="17"/>
        </w:numPr>
        <w:rPr>
          <w:lang w:val="en-GB"/>
        </w:rPr>
      </w:pPr>
      <w:r>
        <w:rPr>
          <w:lang w:val="en-GB"/>
        </w:rPr>
        <w:t>Tachycardia</w:t>
      </w:r>
    </w:p>
    <w:p w14:paraId="7DD42FD9" w14:textId="77777777" w:rsidR="002E0F9E" w:rsidRDefault="002E0F9E" w:rsidP="002E0F9E">
      <w:pPr>
        <w:pStyle w:val="ListParagraph"/>
        <w:numPr>
          <w:ilvl w:val="0"/>
          <w:numId w:val="17"/>
        </w:numPr>
        <w:rPr>
          <w:lang w:val="en-GB"/>
        </w:rPr>
      </w:pPr>
      <w:r>
        <w:rPr>
          <w:lang w:val="en-GB"/>
        </w:rPr>
        <w:t>Hypotension</w:t>
      </w:r>
    </w:p>
    <w:p w14:paraId="503C9676" w14:textId="77777777" w:rsidR="002E0F9E" w:rsidRDefault="00555B4D" w:rsidP="002E0F9E">
      <w:pPr>
        <w:pStyle w:val="ListParagraph"/>
        <w:numPr>
          <w:ilvl w:val="0"/>
          <w:numId w:val="17"/>
        </w:numPr>
        <w:rPr>
          <w:lang w:val="en-GB"/>
        </w:rPr>
      </w:pPr>
      <w:r>
        <w:rPr>
          <w:lang w:val="en-GB"/>
        </w:rPr>
        <w:t>Altered</w:t>
      </w:r>
      <w:r w:rsidR="002E0F9E">
        <w:rPr>
          <w:lang w:val="en-GB"/>
        </w:rPr>
        <w:t xml:space="preserve"> level of consciousness, epistaxis</w:t>
      </w:r>
    </w:p>
    <w:p w14:paraId="3F6505CF" w14:textId="77777777" w:rsidR="002E0F9E" w:rsidRDefault="002E0F9E" w:rsidP="002E0F9E">
      <w:pPr>
        <w:pStyle w:val="ListParagraph"/>
        <w:numPr>
          <w:ilvl w:val="0"/>
          <w:numId w:val="17"/>
        </w:numPr>
        <w:rPr>
          <w:lang w:val="en-GB"/>
        </w:rPr>
      </w:pPr>
      <w:r>
        <w:rPr>
          <w:lang w:val="en-GB"/>
        </w:rPr>
        <w:t>Conjunctivitis</w:t>
      </w:r>
    </w:p>
    <w:p w14:paraId="219CA0FB" w14:textId="77777777" w:rsidR="002E0F9E" w:rsidRDefault="002E0F9E" w:rsidP="002E0F9E">
      <w:pPr>
        <w:pStyle w:val="ListParagraph"/>
        <w:numPr>
          <w:ilvl w:val="0"/>
          <w:numId w:val="17"/>
        </w:numPr>
        <w:rPr>
          <w:lang w:val="en-GB"/>
        </w:rPr>
      </w:pPr>
      <w:r>
        <w:rPr>
          <w:lang w:val="en-GB"/>
        </w:rPr>
        <w:t>Corneal ulceration</w:t>
      </w:r>
    </w:p>
    <w:p w14:paraId="10D87B4D" w14:textId="77777777" w:rsidR="002E0F9E" w:rsidRDefault="00427E44" w:rsidP="002E0F9E">
      <w:pPr>
        <w:pStyle w:val="ListParagraph"/>
        <w:numPr>
          <w:ilvl w:val="0"/>
          <w:numId w:val="17"/>
        </w:numPr>
        <w:rPr>
          <w:lang w:val="en-GB"/>
        </w:rPr>
      </w:pPr>
      <w:r>
        <w:rPr>
          <w:lang w:val="en-GB"/>
        </w:rPr>
        <w:t>Erosive vulvovaginitis or balanitis</w:t>
      </w:r>
    </w:p>
    <w:p w14:paraId="5BFF02B3" w14:textId="77777777" w:rsidR="00427E44" w:rsidRDefault="00427E44" w:rsidP="002E0F9E">
      <w:pPr>
        <w:pStyle w:val="ListParagraph"/>
        <w:numPr>
          <w:ilvl w:val="0"/>
          <w:numId w:val="17"/>
        </w:numPr>
        <w:rPr>
          <w:lang w:val="en-GB"/>
        </w:rPr>
      </w:pPr>
      <w:r>
        <w:rPr>
          <w:lang w:val="en-GB"/>
        </w:rPr>
        <w:t>Seizures</w:t>
      </w:r>
    </w:p>
    <w:p w14:paraId="6117830A" w14:textId="77777777" w:rsidR="00915082" w:rsidRPr="00EE0D5F" w:rsidRDefault="00427E44" w:rsidP="00C34743">
      <w:pPr>
        <w:pStyle w:val="ListParagraph"/>
        <w:numPr>
          <w:ilvl w:val="0"/>
          <w:numId w:val="17"/>
        </w:numPr>
        <w:rPr>
          <w:lang w:val="en-GB" w:eastAsia="en-GB"/>
        </w:rPr>
      </w:pPr>
      <w:r w:rsidRPr="00EE0D5F">
        <w:rPr>
          <w:lang w:val="en-GB"/>
        </w:rPr>
        <w:t>Coma</w:t>
      </w:r>
    </w:p>
    <w:p w14:paraId="5E0AF3B1" w14:textId="77777777" w:rsidR="00EA1890" w:rsidRDefault="00EA1890" w:rsidP="00EA1890">
      <w:pPr>
        <w:pStyle w:val="Heading2"/>
        <w:rPr>
          <w:lang w:val="en-GB"/>
        </w:rPr>
      </w:pPr>
      <w:r w:rsidRPr="000A3AA8">
        <w:rPr>
          <w:lang w:val="en-GB"/>
        </w:rPr>
        <w:lastRenderedPageBreak/>
        <w:t>Differential Diagnoses</w:t>
      </w:r>
    </w:p>
    <w:p w14:paraId="6533BE11" w14:textId="77777777" w:rsidR="00EA1890" w:rsidRDefault="00915082" w:rsidP="00915082">
      <w:pPr>
        <w:pStyle w:val="ListParagraph"/>
        <w:numPr>
          <w:ilvl w:val="0"/>
          <w:numId w:val="18"/>
        </w:numPr>
        <w:rPr>
          <w:lang w:val="en-GB"/>
        </w:rPr>
      </w:pPr>
      <w:r>
        <w:rPr>
          <w:lang w:val="en-GB"/>
        </w:rPr>
        <w:t>Trauma</w:t>
      </w:r>
    </w:p>
    <w:p w14:paraId="0D0F7A2E" w14:textId="77777777" w:rsidR="00915082" w:rsidRDefault="00915082" w:rsidP="00915082">
      <w:pPr>
        <w:pStyle w:val="ListParagraph"/>
        <w:numPr>
          <w:ilvl w:val="0"/>
          <w:numId w:val="18"/>
        </w:numPr>
        <w:rPr>
          <w:lang w:val="en-GB"/>
        </w:rPr>
      </w:pPr>
      <w:r>
        <w:rPr>
          <w:lang w:val="en-GB"/>
        </w:rPr>
        <w:t>Irradiation</w:t>
      </w:r>
    </w:p>
    <w:p w14:paraId="25CEEEAF" w14:textId="77777777" w:rsidR="00915082" w:rsidRDefault="00915082" w:rsidP="00915082">
      <w:pPr>
        <w:pStyle w:val="ListParagraph"/>
        <w:numPr>
          <w:ilvl w:val="0"/>
          <w:numId w:val="18"/>
        </w:numPr>
        <w:rPr>
          <w:lang w:val="en-GB"/>
        </w:rPr>
      </w:pPr>
      <w:r>
        <w:rPr>
          <w:lang w:val="en-GB"/>
        </w:rPr>
        <w:t>Porphyria cutanea tarda</w:t>
      </w:r>
    </w:p>
    <w:p w14:paraId="0EA77D5A" w14:textId="77777777" w:rsidR="00915082" w:rsidRDefault="00915082" w:rsidP="00915082">
      <w:pPr>
        <w:pStyle w:val="ListParagraph"/>
        <w:numPr>
          <w:ilvl w:val="0"/>
          <w:numId w:val="18"/>
        </w:numPr>
        <w:rPr>
          <w:lang w:val="en-GB"/>
        </w:rPr>
      </w:pPr>
      <w:r>
        <w:rPr>
          <w:lang w:val="en-GB"/>
        </w:rPr>
        <w:t>Staphylococcal scalded skin syndrome</w:t>
      </w:r>
    </w:p>
    <w:p w14:paraId="4A80AE00" w14:textId="77777777" w:rsidR="00915082" w:rsidRDefault="00915082" w:rsidP="00915082">
      <w:pPr>
        <w:pStyle w:val="ListParagraph"/>
        <w:numPr>
          <w:ilvl w:val="0"/>
          <w:numId w:val="18"/>
        </w:numPr>
        <w:rPr>
          <w:lang w:val="en-GB"/>
        </w:rPr>
      </w:pPr>
      <w:r>
        <w:rPr>
          <w:lang w:val="en-GB"/>
        </w:rPr>
        <w:t>Sebaceous cell carcinoma</w:t>
      </w:r>
    </w:p>
    <w:p w14:paraId="45A01AB4" w14:textId="77777777" w:rsidR="00915082" w:rsidRDefault="00915082" w:rsidP="00915082">
      <w:pPr>
        <w:pStyle w:val="ListParagraph"/>
        <w:numPr>
          <w:ilvl w:val="0"/>
          <w:numId w:val="18"/>
        </w:numPr>
        <w:rPr>
          <w:lang w:val="en-GB"/>
        </w:rPr>
      </w:pPr>
      <w:r>
        <w:rPr>
          <w:lang w:val="en-GB"/>
        </w:rPr>
        <w:t>Adenoviral conjunctivitis</w:t>
      </w:r>
    </w:p>
    <w:p w14:paraId="2A2D4A07" w14:textId="77777777" w:rsidR="00915082" w:rsidRDefault="00915082" w:rsidP="00915082">
      <w:pPr>
        <w:pStyle w:val="ListParagraph"/>
        <w:numPr>
          <w:ilvl w:val="0"/>
          <w:numId w:val="18"/>
        </w:numPr>
        <w:rPr>
          <w:lang w:val="en-GB"/>
        </w:rPr>
      </w:pPr>
      <w:r>
        <w:rPr>
          <w:lang w:val="en-GB"/>
        </w:rPr>
        <w:t>Intraepithelial epithelioma</w:t>
      </w:r>
    </w:p>
    <w:p w14:paraId="267DB1D5" w14:textId="77777777" w:rsidR="00CA35A7" w:rsidRDefault="00CA35A7" w:rsidP="00915082">
      <w:pPr>
        <w:pStyle w:val="ListParagraph"/>
        <w:numPr>
          <w:ilvl w:val="0"/>
          <w:numId w:val="18"/>
        </w:numPr>
        <w:rPr>
          <w:lang w:val="en-GB"/>
        </w:rPr>
      </w:pPr>
      <w:r>
        <w:rPr>
          <w:lang w:val="en-GB"/>
        </w:rPr>
        <w:t>Acute generalized exanthematic pustulosis</w:t>
      </w:r>
    </w:p>
    <w:p w14:paraId="3F1BF033" w14:textId="77777777" w:rsidR="007D5F8E" w:rsidRPr="00EE0D5F" w:rsidRDefault="00CA35A7" w:rsidP="0092219D">
      <w:pPr>
        <w:pStyle w:val="ListParagraph"/>
        <w:numPr>
          <w:ilvl w:val="0"/>
          <w:numId w:val="18"/>
        </w:numPr>
        <w:rPr>
          <w:lang w:val="en-GB"/>
        </w:rPr>
      </w:pPr>
      <w:r w:rsidRPr="00EE0D5F">
        <w:rPr>
          <w:lang w:val="en-GB"/>
        </w:rPr>
        <w:t>Chemical burns</w:t>
      </w:r>
    </w:p>
    <w:p w14:paraId="2DDABABB" w14:textId="77777777" w:rsidR="00AA46AD" w:rsidRDefault="000A3AA8" w:rsidP="000A3AA8">
      <w:pPr>
        <w:pStyle w:val="Heading2"/>
        <w:rPr>
          <w:lang w:val="en-GB"/>
        </w:rPr>
      </w:pPr>
      <w:r w:rsidRPr="000A3AA8">
        <w:rPr>
          <w:lang w:val="en-GB"/>
        </w:rPr>
        <w:t>Investigations</w:t>
      </w:r>
    </w:p>
    <w:p w14:paraId="3B3A687B" w14:textId="77777777" w:rsidR="00E02923" w:rsidRDefault="00E02923" w:rsidP="00E02923">
      <w:pPr>
        <w:rPr>
          <w:lang w:val="en-GB"/>
        </w:rPr>
      </w:pPr>
      <w:r>
        <w:rPr>
          <w:lang w:val="en-GB"/>
        </w:rPr>
        <w:t>There are no specific laboratory studies (other than biopsy) that can definitively establish the diagno</w:t>
      </w:r>
      <w:r w:rsidR="003F2CE8">
        <w:rPr>
          <w:lang w:val="en-GB"/>
        </w:rPr>
        <w:t xml:space="preserve">sis of </w:t>
      </w:r>
      <w:r w:rsidR="00BD6E01">
        <w:rPr>
          <w:lang w:val="en-GB"/>
        </w:rPr>
        <w:t>SJS</w:t>
      </w:r>
      <w:r w:rsidR="003F2CE8">
        <w:rPr>
          <w:lang w:val="en-GB"/>
        </w:rPr>
        <w:t xml:space="preserve"> but the following investigations can be done:</w:t>
      </w:r>
    </w:p>
    <w:p w14:paraId="4AC71AA3" w14:textId="77777777" w:rsidR="003F2CE8" w:rsidRDefault="003F2CE8" w:rsidP="003F2CE8">
      <w:pPr>
        <w:pStyle w:val="ListParagraph"/>
        <w:numPr>
          <w:ilvl w:val="0"/>
          <w:numId w:val="19"/>
        </w:numPr>
        <w:rPr>
          <w:lang w:val="en-GB"/>
        </w:rPr>
      </w:pPr>
      <w:r>
        <w:rPr>
          <w:lang w:val="en-GB"/>
        </w:rPr>
        <w:t>FBC, severely elevated WBC count indicates the possibility of a superimposed bacterial infection.</w:t>
      </w:r>
    </w:p>
    <w:p w14:paraId="5355C4E4" w14:textId="12EECA8C" w:rsidR="003F2CE8" w:rsidRDefault="003F2CE8" w:rsidP="003F2CE8">
      <w:pPr>
        <w:pStyle w:val="ListParagraph"/>
        <w:numPr>
          <w:ilvl w:val="0"/>
          <w:numId w:val="19"/>
        </w:numPr>
        <w:rPr>
          <w:lang w:val="en-GB"/>
        </w:rPr>
      </w:pPr>
      <w:r>
        <w:rPr>
          <w:lang w:val="en-GB"/>
        </w:rPr>
        <w:t>U&amp;E,</w:t>
      </w:r>
      <w:r w:rsidR="00D95DC9">
        <w:rPr>
          <w:lang w:val="en-GB"/>
        </w:rPr>
        <w:t xml:space="preserve"> </w:t>
      </w:r>
      <w:r>
        <w:rPr>
          <w:lang w:val="en-GB"/>
        </w:rPr>
        <w:t>LFT may be needed to help manage related problems</w:t>
      </w:r>
    </w:p>
    <w:p w14:paraId="1C6F4B54" w14:textId="77777777" w:rsidR="006578EA" w:rsidRDefault="006578EA" w:rsidP="003F2CE8">
      <w:pPr>
        <w:pStyle w:val="ListParagraph"/>
        <w:numPr>
          <w:ilvl w:val="0"/>
          <w:numId w:val="19"/>
        </w:numPr>
        <w:rPr>
          <w:lang w:val="en-GB"/>
        </w:rPr>
      </w:pPr>
      <w:r>
        <w:rPr>
          <w:lang w:val="en-GB"/>
        </w:rPr>
        <w:t>Skin and blood cultures have been advocated because the incidence of serious bacterial bloodstream infections and sepsis contribute to morbidity and mortality.</w:t>
      </w:r>
    </w:p>
    <w:p w14:paraId="74A98997" w14:textId="77777777" w:rsidR="006578EA" w:rsidRDefault="006578EA" w:rsidP="003F2CE8">
      <w:pPr>
        <w:pStyle w:val="ListParagraph"/>
        <w:numPr>
          <w:ilvl w:val="0"/>
          <w:numId w:val="19"/>
        </w:numPr>
        <w:rPr>
          <w:lang w:val="en-GB"/>
        </w:rPr>
      </w:pPr>
      <w:r>
        <w:rPr>
          <w:lang w:val="en-GB"/>
        </w:rPr>
        <w:t>CXR may indicate the existence of a pneumonitis when clinically suspected. Otherwise, routine plain films are not indicated.</w:t>
      </w:r>
    </w:p>
    <w:p w14:paraId="271048EA" w14:textId="77777777" w:rsidR="006578EA" w:rsidRPr="003F2CE8" w:rsidRDefault="006578EA" w:rsidP="003F2CE8">
      <w:pPr>
        <w:pStyle w:val="ListParagraph"/>
        <w:numPr>
          <w:ilvl w:val="0"/>
          <w:numId w:val="19"/>
        </w:numPr>
        <w:rPr>
          <w:lang w:val="en-GB"/>
        </w:rPr>
      </w:pPr>
      <w:r>
        <w:rPr>
          <w:lang w:val="en-GB"/>
        </w:rPr>
        <w:t>Skin biopsy specimens demonstrate that the bullae are subepidermal. Epidermal cell necrosis may be noted. Perivascular areas are infiltrated with lymphocytes.</w:t>
      </w:r>
    </w:p>
    <w:p w14:paraId="36C9F194" w14:textId="77777777" w:rsidR="008328D4" w:rsidRDefault="006578EA" w:rsidP="008328D4">
      <w:pPr>
        <w:pStyle w:val="Heading2"/>
        <w:rPr>
          <w:lang w:val="en-GB"/>
        </w:rPr>
      </w:pPr>
      <w:r>
        <w:rPr>
          <w:lang w:val="en-GB"/>
        </w:rPr>
        <w:t>Management</w:t>
      </w:r>
    </w:p>
    <w:p w14:paraId="7C4599EC" w14:textId="77777777" w:rsidR="006578EA" w:rsidRPr="006578EA" w:rsidRDefault="006578EA" w:rsidP="006578EA">
      <w:pPr>
        <w:rPr>
          <w:lang w:val="en-GB"/>
        </w:rPr>
      </w:pPr>
      <w:r>
        <w:rPr>
          <w:rFonts w:ascii="Helvetica" w:hAnsi="Helvetica" w:cs="Helvetica"/>
          <w:szCs w:val="22"/>
        </w:rPr>
        <w:t>The main principles of supportive care are the same as for major burns and include wound care, fluid and electrolyte management, nutritional support, temperature management, pain control, and monitoring or treatment of superinfections</w:t>
      </w:r>
    </w:p>
    <w:p w14:paraId="152EE6CD" w14:textId="77777777" w:rsidR="006578EA" w:rsidRPr="007D5F8E" w:rsidRDefault="006578EA" w:rsidP="00BD6E01">
      <w:pPr>
        <w:pStyle w:val="Heading3"/>
        <w:rPr>
          <w:lang w:val="en-GB"/>
        </w:rPr>
      </w:pPr>
      <w:r w:rsidRPr="00555B4D">
        <w:rPr>
          <w:lang w:val="en-GB"/>
        </w:rPr>
        <w:t>Initiate a primary management plan</w:t>
      </w:r>
      <w:r w:rsidRPr="007D5F8E">
        <w:rPr>
          <w:lang w:val="en-GB"/>
        </w:rPr>
        <w:t>:</w:t>
      </w:r>
    </w:p>
    <w:p w14:paraId="435907E3" w14:textId="77777777" w:rsidR="007D5F8E" w:rsidRPr="007D5F8E" w:rsidRDefault="007D5F8E" w:rsidP="007D5F8E">
      <w:pPr>
        <w:pStyle w:val="ListParagraph"/>
        <w:numPr>
          <w:ilvl w:val="0"/>
          <w:numId w:val="21"/>
        </w:numPr>
        <w:autoSpaceDE w:val="0"/>
        <w:autoSpaceDN w:val="0"/>
        <w:adjustRightInd w:val="0"/>
        <w:spacing w:after="0"/>
        <w:outlineLvl w:val="9"/>
        <w:rPr>
          <w:szCs w:val="22"/>
          <w:lang w:val="en-GB"/>
        </w:rPr>
      </w:pPr>
      <w:r w:rsidRPr="007D5F8E">
        <w:rPr>
          <w:szCs w:val="22"/>
          <w:lang w:val="en-GB"/>
        </w:rPr>
        <w:t>E</w:t>
      </w:r>
      <w:r w:rsidR="006578EA" w:rsidRPr="007D5F8E">
        <w:rPr>
          <w:szCs w:val="22"/>
          <w:lang w:val="en-GB"/>
        </w:rPr>
        <w:t>stablish peripheral venous access</w:t>
      </w:r>
      <w:r w:rsidRPr="007D5F8E">
        <w:rPr>
          <w:szCs w:val="22"/>
          <w:lang w:val="en-GB"/>
        </w:rPr>
        <w:t>:</w:t>
      </w:r>
      <w:r w:rsidRPr="007D5F8E">
        <w:rPr>
          <w:sz w:val="19"/>
          <w:szCs w:val="19"/>
          <w:lang w:val="en-GB"/>
        </w:rPr>
        <w:t xml:space="preserve"> </w:t>
      </w:r>
      <w:r w:rsidRPr="007D5F8E">
        <w:rPr>
          <w:szCs w:val="22"/>
          <w:lang w:val="en-GB"/>
        </w:rPr>
        <w:t>Site venous lines through non-lesional skin, whenever possible, and change peripheral venous cannulas every 48 hours.</w:t>
      </w:r>
    </w:p>
    <w:p w14:paraId="499058E5" w14:textId="77777777" w:rsidR="007D5F8E" w:rsidRPr="007D5F8E" w:rsidRDefault="007D5F8E" w:rsidP="007D5F8E">
      <w:pPr>
        <w:pStyle w:val="ListParagraph"/>
        <w:numPr>
          <w:ilvl w:val="0"/>
          <w:numId w:val="21"/>
        </w:numPr>
        <w:autoSpaceDE w:val="0"/>
        <w:autoSpaceDN w:val="0"/>
        <w:adjustRightInd w:val="0"/>
        <w:spacing w:after="0"/>
        <w:outlineLvl w:val="9"/>
        <w:rPr>
          <w:szCs w:val="22"/>
          <w:lang w:val="en-GB"/>
        </w:rPr>
      </w:pPr>
      <w:r w:rsidRPr="007D5F8E">
        <w:rPr>
          <w:szCs w:val="22"/>
          <w:lang w:val="en-GB"/>
        </w:rPr>
        <w:t>Establish adequate intravenous fluid replacement initially. Fluid replacement can be guided by urine output and other endpoint measurements. Individualized fluid management shou</w:t>
      </w:r>
      <w:r w:rsidR="00582119">
        <w:rPr>
          <w:szCs w:val="22"/>
          <w:lang w:val="en-GB"/>
        </w:rPr>
        <w:t>ld be adjusted on a daily basis</w:t>
      </w:r>
      <w:r w:rsidR="00582119">
        <w:rPr>
          <w:rFonts w:ascii="Helvetica" w:hAnsi="Helvetica" w:cs="Helvetica"/>
          <w:szCs w:val="22"/>
        </w:rPr>
        <w:t>, but replacement volumes are approximately one-third lower than those needed for burn victims</w:t>
      </w:r>
      <w:r w:rsidR="00BD6E01">
        <w:rPr>
          <w:rFonts w:ascii="Helvetica" w:hAnsi="Helvetica" w:cs="Helvetica"/>
          <w:szCs w:val="22"/>
        </w:rPr>
        <w:t>.</w:t>
      </w:r>
    </w:p>
    <w:p w14:paraId="41AF2355" w14:textId="77777777" w:rsidR="007D5F8E" w:rsidRPr="007D5F8E" w:rsidRDefault="007D5F8E" w:rsidP="007D5F8E">
      <w:pPr>
        <w:pStyle w:val="ListParagraph"/>
        <w:numPr>
          <w:ilvl w:val="0"/>
          <w:numId w:val="21"/>
        </w:numPr>
        <w:autoSpaceDE w:val="0"/>
        <w:autoSpaceDN w:val="0"/>
        <w:adjustRightInd w:val="0"/>
        <w:spacing w:after="0"/>
        <w:outlineLvl w:val="9"/>
        <w:rPr>
          <w:szCs w:val="22"/>
          <w:lang w:val="en-GB"/>
        </w:rPr>
      </w:pPr>
      <w:r w:rsidRPr="007D5F8E">
        <w:rPr>
          <w:szCs w:val="22"/>
          <w:lang w:val="en-GB"/>
        </w:rPr>
        <w:t>With improvement of SJS/TEN mouth involvement, oral administration of fluids should be progressively increased</w:t>
      </w:r>
      <w:r w:rsidR="00BD6E01">
        <w:rPr>
          <w:szCs w:val="22"/>
          <w:lang w:val="en-GB"/>
        </w:rPr>
        <w:t>.</w:t>
      </w:r>
    </w:p>
    <w:p w14:paraId="76EB3B0F" w14:textId="77777777" w:rsidR="006578EA" w:rsidRPr="007D5F8E" w:rsidRDefault="007D5F8E" w:rsidP="007D5F8E">
      <w:pPr>
        <w:pStyle w:val="ListParagraph"/>
        <w:autoSpaceDE w:val="0"/>
        <w:autoSpaceDN w:val="0"/>
        <w:adjustRightInd w:val="0"/>
        <w:spacing w:after="0"/>
        <w:outlineLvl w:val="9"/>
        <w:rPr>
          <w:szCs w:val="22"/>
          <w:lang w:val="en-GB"/>
        </w:rPr>
      </w:pPr>
      <w:r>
        <w:rPr>
          <w:szCs w:val="22"/>
          <w:lang w:val="en-GB"/>
        </w:rPr>
        <w:t>I</w:t>
      </w:r>
      <w:r w:rsidR="006578EA" w:rsidRPr="007D5F8E">
        <w:rPr>
          <w:szCs w:val="22"/>
          <w:lang w:val="en-GB"/>
        </w:rPr>
        <w:t>f patient cannot maintain adequate nutrition orally, insert a nasogastric tube and institute</w:t>
      </w:r>
      <w:r>
        <w:rPr>
          <w:szCs w:val="22"/>
          <w:lang w:val="en-GB"/>
        </w:rPr>
        <w:t xml:space="preserve"> </w:t>
      </w:r>
      <w:r w:rsidR="006578EA" w:rsidRPr="007D5F8E">
        <w:rPr>
          <w:szCs w:val="22"/>
          <w:lang w:val="en-GB"/>
        </w:rPr>
        <w:t>nasogastric feeding</w:t>
      </w:r>
      <w:r w:rsidR="00BD6E01">
        <w:rPr>
          <w:szCs w:val="22"/>
          <w:lang w:val="en-GB"/>
        </w:rPr>
        <w:t>.</w:t>
      </w:r>
    </w:p>
    <w:p w14:paraId="39459DB8" w14:textId="77777777" w:rsidR="007D5F8E" w:rsidRPr="00EE0D5F" w:rsidRDefault="007D5F8E" w:rsidP="001401FE">
      <w:pPr>
        <w:pStyle w:val="ListParagraph"/>
        <w:numPr>
          <w:ilvl w:val="0"/>
          <w:numId w:val="9"/>
        </w:numPr>
        <w:rPr>
          <w:szCs w:val="22"/>
          <w:lang w:val="en-GB"/>
        </w:rPr>
      </w:pPr>
      <w:r w:rsidRPr="00EE0D5F">
        <w:rPr>
          <w:szCs w:val="22"/>
          <w:lang w:val="en-GB"/>
        </w:rPr>
        <w:t>I</w:t>
      </w:r>
      <w:r w:rsidR="006578EA" w:rsidRPr="00EE0D5F">
        <w:rPr>
          <w:szCs w:val="22"/>
          <w:lang w:val="en-GB"/>
        </w:rPr>
        <w:t>nsert a urinary catheter if urogenital involvement is causing significant dysuria/retention</w:t>
      </w:r>
      <w:r w:rsidR="00BD6E01">
        <w:rPr>
          <w:szCs w:val="22"/>
          <w:lang w:val="en-GB"/>
        </w:rPr>
        <w:t>.</w:t>
      </w:r>
    </w:p>
    <w:p w14:paraId="5009AB36" w14:textId="77777777" w:rsidR="00DD7DDB" w:rsidRDefault="00DD7DDB">
      <w:pPr>
        <w:spacing w:after="0"/>
        <w:outlineLvl w:val="9"/>
        <w:rPr>
          <w:rFonts w:eastAsia="Times New Roman" w:cs="Times New Roman"/>
          <w:b/>
          <w:bCs/>
          <w:szCs w:val="26"/>
          <w:u w:val="single"/>
          <w:lang w:val="en-GB" w:eastAsia="en-GB"/>
        </w:rPr>
      </w:pPr>
      <w:r>
        <w:rPr>
          <w:lang w:val="en-GB" w:eastAsia="en-GB"/>
        </w:rPr>
        <w:br w:type="page"/>
      </w:r>
    </w:p>
    <w:p w14:paraId="3EC06BA5" w14:textId="071BC964" w:rsidR="00AF304F" w:rsidRDefault="00AF304F" w:rsidP="00BD6E01">
      <w:pPr>
        <w:pStyle w:val="Heading3"/>
        <w:rPr>
          <w:lang w:val="en-GB" w:eastAsia="en-GB"/>
        </w:rPr>
      </w:pPr>
      <w:r w:rsidRPr="00555B4D">
        <w:rPr>
          <w:lang w:val="en-GB" w:eastAsia="en-GB"/>
        </w:rPr>
        <w:lastRenderedPageBreak/>
        <w:t>Prognostic</w:t>
      </w:r>
      <w:r w:rsidR="00FF58AE" w:rsidRPr="00555B4D">
        <w:rPr>
          <w:lang w:val="en-GB" w:eastAsia="en-GB"/>
        </w:rPr>
        <w:t xml:space="preserve"> scoring</w:t>
      </w:r>
      <w:r w:rsidR="00FF58AE">
        <w:rPr>
          <w:lang w:val="en-GB" w:eastAsia="en-GB"/>
        </w:rPr>
        <w:t xml:space="preserve"> </w:t>
      </w:r>
    </w:p>
    <w:p w14:paraId="76EE5D93" w14:textId="77777777" w:rsidR="00EE0D5F" w:rsidRDefault="007D5F8E" w:rsidP="007D5F8E">
      <w:pPr>
        <w:rPr>
          <w:lang w:val="en-GB" w:eastAsia="en-GB"/>
        </w:rPr>
      </w:pPr>
      <w:r w:rsidRPr="00427E44">
        <w:rPr>
          <w:lang w:val="en-GB" w:eastAsia="en-GB"/>
        </w:rPr>
        <w:t>The prognosis of individual patients can be rapidly evaluated on admission by applying a prognostic</w:t>
      </w:r>
      <w:r>
        <w:rPr>
          <w:lang w:val="en-GB" w:eastAsia="en-GB"/>
        </w:rPr>
        <w:t xml:space="preserve"> scoring system called </w:t>
      </w:r>
      <w:r w:rsidRPr="00FF58AE">
        <w:rPr>
          <w:b/>
          <w:lang w:val="en-GB" w:eastAsia="en-GB"/>
        </w:rPr>
        <w:t>SCORTEN</w:t>
      </w:r>
      <w:r w:rsidRPr="00427E44">
        <w:rPr>
          <w:lang w:val="en-GB" w:eastAsia="en-GB"/>
        </w:rPr>
        <w:t>. SCORTEN is based upon seven independent and easily measured</w:t>
      </w:r>
      <w:r>
        <w:rPr>
          <w:lang w:val="en-GB" w:eastAsia="en-GB"/>
        </w:rPr>
        <w:t xml:space="preserve"> clinical and laboratory variables</w:t>
      </w:r>
      <w:r>
        <w:rPr>
          <w:color w:val="00905A"/>
          <w:u w:val="single"/>
          <w:lang w:val="en-GB" w:eastAsia="en-GB"/>
        </w:rPr>
        <w:t xml:space="preserve"> </w:t>
      </w:r>
      <w:r w:rsidRPr="00427E44">
        <w:rPr>
          <w:lang w:val="en-GB" w:eastAsia="en-GB"/>
        </w:rPr>
        <w:t>and has been validated for use on days one and t</w:t>
      </w:r>
      <w:r w:rsidR="00EE0D5F" w:rsidRPr="00EE0D5F">
        <w:rPr>
          <w:lang w:val="en-GB" w:eastAsia="en-GB"/>
        </w:rPr>
        <w:t>hree of hospitalization for SJS/TEN.</w:t>
      </w:r>
    </w:p>
    <w:tbl>
      <w:tblPr>
        <w:tblStyle w:val="TableGrid"/>
        <w:tblW w:w="8709" w:type="dxa"/>
        <w:tblLook w:val="04A0" w:firstRow="1" w:lastRow="0" w:firstColumn="1" w:lastColumn="0" w:noHBand="0" w:noVBand="1"/>
      </w:tblPr>
      <w:tblGrid>
        <w:gridCol w:w="3681"/>
        <w:gridCol w:w="1028"/>
        <w:gridCol w:w="956"/>
        <w:gridCol w:w="1569"/>
        <w:gridCol w:w="1475"/>
      </w:tblGrid>
      <w:tr w:rsidR="00BD6E01" w14:paraId="7EF7296E" w14:textId="77777777" w:rsidTr="00BD6E01">
        <w:tc>
          <w:tcPr>
            <w:tcW w:w="3681" w:type="dxa"/>
          </w:tcPr>
          <w:p w14:paraId="3188B8EE" w14:textId="77777777" w:rsidR="00BD6E01" w:rsidRPr="00C00BC2" w:rsidRDefault="00BD6E01" w:rsidP="00BD6E01">
            <w:pPr>
              <w:rPr>
                <w:b/>
                <w:lang w:val="en-GB" w:eastAsia="en-GB"/>
              </w:rPr>
            </w:pPr>
            <w:r w:rsidRPr="00C00BC2">
              <w:rPr>
                <w:b/>
                <w:lang w:val="en-GB" w:eastAsia="en-GB"/>
              </w:rPr>
              <w:t xml:space="preserve">Prognostic factors </w:t>
            </w:r>
          </w:p>
        </w:tc>
        <w:tc>
          <w:tcPr>
            <w:tcW w:w="1028" w:type="dxa"/>
            <w:tcBorders>
              <w:right w:val="single" w:sz="4" w:space="0" w:color="auto"/>
            </w:tcBorders>
          </w:tcPr>
          <w:p w14:paraId="652B44EC" w14:textId="77777777" w:rsidR="00BD6E01" w:rsidRPr="00C00BC2" w:rsidRDefault="00BD6E01" w:rsidP="00BD6E01">
            <w:pPr>
              <w:jc w:val="center"/>
              <w:rPr>
                <w:b/>
                <w:lang w:val="en-GB" w:eastAsia="en-GB"/>
              </w:rPr>
            </w:pPr>
            <w:r w:rsidRPr="00C00BC2">
              <w:rPr>
                <w:b/>
                <w:lang w:val="en-GB" w:eastAsia="en-GB"/>
              </w:rPr>
              <w:t>Score</w:t>
            </w:r>
          </w:p>
        </w:tc>
        <w:tc>
          <w:tcPr>
            <w:tcW w:w="956" w:type="dxa"/>
            <w:tcBorders>
              <w:top w:val="nil"/>
              <w:left w:val="single" w:sz="4" w:space="0" w:color="auto"/>
              <w:bottom w:val="nil"/>
              <w:right w:val="single" w:sz="4" w:space="0" w:color="auto"/>
            </w:tcBorders>
          </w:tcPr>
          <w:p w14:paraId="47FFEFFE" w14:textId="77777777" w:rsidR="00BD6E01" w:rsidRPr="00C00BC2" w:rsidRDefault="00BD6E01" w:rsidP="00BD6E01">
            <w:pPr>
              <w:jc w:val="center"/>
              <w:rPr>
                <w:b/>
                <w:lang w:val="en-GB" w:eastAsia="en-GB"/>
              </w:rPr>
            </w:pPr>
          </w:p>
        </w:tc>
        <w:tc>
          <w:tcPr>
            <w:tcW w:w="1569" w:type="dxa"/>
            <w:tcBorders>
              <w:left w:val="single" w:sz="4" w:space="0" w:color="auto"/>
            </w:tcBorders>
          </w:tcPr>
          <w:p w14:paraId="40A6D072" w14:textId="77777777" w:rsidR="00BD6E01" w:rsidRPr="00C00BC2" w:rsidRDefault="00BD6E01" w:rsidP="00BD6E01">
            <w:pPr>
              <w:rPr>
                <w:b/>
                <w:lang w:val="en-GB" w:eastAsia="en-GB"/>
              </w:rPr>
            </w:pPr>
            <w:r w:rsidRPr="00C00BC2">
              <w:rPr>
                <w:b/>
                <w:lang w:eastAsia="en-GB"/>
              </w:rPr>
              <w:t>SCORTEN</w:t>
            </w:r>
          </w:p>
        </w:tc>
        <w:tc>
          <w:tcPr>
            <w:tcW w:w="1475" w:type="dxa"/>
          </w:tcPr>
          <w:p w14:paraId="5A9771D7" w14:textId="77777777" w:rsidR="00BD6E01" w:rsidRPr="00C00BC2" w:rsidRDefault="00BD6E01" w:rsidP="00BD6E01">
            <w:pPr>
              <w:jc w:val="center"/>
              <w:rPr>
                <w:b/>
                <w:lang w:eastAsia="en-GB"/>
              </w:rPr>
            </w:pPr>
            <w:r w:rsidRPr="00C00BC2">
              <w:rPr>
                <w:b/>
                <w:lang w:eastAsia="en-GB"/>
              </w:rPr>
              <w:t>Mortality(%)</w:t>
            </w:r>
          </w:p>
        </w:tc>
      </w:tr>
      <w:tr w:rsidR="00BD6E01" w14:paraId="26BAC272" w14:textId="77777777" w:rsidTr="00BD6E01">
        <w:tc>
          <w:tcPr>
            <w:tcW w:w="3681" w:type="dxa"/>
          </w:tcPr>
          <w:p w14:paraId="6AFD697A" w14:textId="77777777" w:rsidR="00BD6E01" w:rsidRPr="00C00BC2" w:rsidRDefault="00BD6E01" w:rsidP="00BD6E01">
            <w:pPr>
              <w:spacing w:after="0"/>
              <w:outlineLvl w:val="9"/>
              <w:rPr>
                <w:rFonts w:eastAsia="Times New Roman"/>
                <w:szCs w:val="22"/>
                <w:lang w:val="en-GB" w:eastAsia="en-GB"/>
              </w:rPr>
            </w:pPr>
            <w:r w:rsidRPr="00EE0D5F">
              <w:rPr>
                <w:rFonts w:eastAsia="Times New Roman"/>
                <w:szCs w:val="22"/>
                <w:lang w:val="en-GB" w:eastAsia="en-GB"/>
              </w:rPr>
              <w:t xml:space="preserve">Age &gt; 40 years </w:t>
            </w:r>
          </w:p>
        </w:tc>
        <w:tc>
          <w:tcPr>
            <w:tcW w:w="1028" w:type="dxa"/>
            <w:tcBorders>
              <w:right w:val="single" w:sz="4" w:space="0" w:color="auto"/>
            </w:tcBorders>
          </w:tcPr>
          <w:p w14:paraId="16C46BBA" w14:textId="77777777" w:rsidR="00BD6E01" w:rsidRPr="00C00BC2" w:rsidRDefault="00BD6E01" w:rsidP="00BD6E01">
            <w:pPr>
              <w:jc w:val="center"/>
              <w:rPr>
                <w:szCs w:val="22"/>
                <w:lang w:val="en-GB" w:eastAsia="en-GB"/>
              </w:rPr>
            </w:pPr>
            <w:r w:rsidRPr="00C00BC2">
              <w:rPr>
                <w:szCs w:val="22"/>
                <w:lang w:val="en-GB" w:eastAsia="en-GB"/>
              </w:rPr>
              <w:t>1</w:t>
            </w:r>
          </w:p>
        </w:tc>
        <w:tc>
          <w:tcPr>
            <w:tcW w:w="956" w:type="dxa"/>
            <w:tcBorders>
              <w:top w:val="nil"/>
              <w:left w:val="single" w:sz="4" w:space="0" w:color="auto"/>
              <w:bottom w:val="nil"/>
              <w:right w:val="single" w:sz="4" w:space="0" w:color="auto"/>
            </w:tcBorders>
          </w:tcPr>
          <w:p w14:paraId="08658289" w14:textId="77777777" w:rsidR="00BD6E01" w:rsidRPr="00C00BC2" w:rsidRDefault="00BD6E01" w:rsidP="00BD6E01">
            <w:pPr>
              <w:jc w:val="center"/>
              <w:rPr>
                <w:szCs w:val="22"/>
                <w:lang w:val="en-GB" w:eastAsia="en-GB"/>
              </w:rPr>
            </w:pPr>
          </w:p>
        </w:tc>
        <w:tc>
          <w:tcPr>
            <w:tcW w:w="1569" w:type="dxa"/>
            <w:tcBorders>
              <w:left w:val="single" w:sz="4" w:space="0" w:color="auto"/>
            </w:tcBorders>
          </w:tcPr>
          <w:p w14:paraId="394D6B95" w14:textId="77777777" w:rsidR="00BD6E01" w:rsidRPr="00EE0D5F" w:rsidRDefault="00BD6E01" w:rsidP="00BD6E01">
            <w:pPr>
              <w:rPr>
                <w:lang w:eastAsia="en-GB"/>
              </w:rPr>
            </w:pPr>
            <w:r w:rsidRPr="00EE0D5F">
              <w:rPr>
                <w:lang w:eastAsia="en-GB"/>
              </w:rPr>
              <w:t>0-1</w:t>
            </w:r>
          </w:p>
        </w:tc>
        <w:tc>
          <w:tcPr>
            <w:tcW w:w="1475" w:type="dxa"/>
          </w:tcPr>
          <w:p w14:paraId="6A24F43D" w14:textId="77777777" w:rsidR="00BD6E01" w:rsidRPr="00EE0D5F" w:rsidRDefault="00BD6E01" w:rsidP="00BD6E01">
            <w:pPr>
              <w:jc w:val="center"/>
              <w:rPr>
                <w:lang w:eastAsia="en-GB"/>
              </w:rPr>
            </w:pPr>
            <w:r w:rsidRPr="00EE0D5F">
              <w:rPr>
                <w:lang w:eastAsia="en-GB"/>
              </w:rPr>
              <w:t>3</w:t>
            </w:r>
          </w:p>
        </w:tc>
      </w:tr>
      <w:tr w:rsidR="00BD6E01" w14:paraId="5E0C527B" w14:textId="77777777" w:rsidTr="00BD6E01">
        <w:tc>
          <w:tcPr>
            <w:tcW w:w="3681" w:type="dxa"/>
          </w:tcPr>
          <w:p w14:paraId="65C253AC" w14:textId="77777777" w:rsidR="00BD6E01" w:rsidRPr="00C00BC2" w:rsidRDefault="00BD6E01" w:rsidP="00BD6E01">
            <w:pPr>
              <w:spacing w:after="0"/>
              <w:outlineLvl w:val="9"/>
              <w:rPr>
                <w:rFonts w:eastAsia="Times New Roman"/>
                <w:szCs w:val="22"/>
                <w:lang w:val="en-GB" w:eastAsia="en-GB"/>
              </w:rPr>
            </w:pPr>
            <w:r w:rsidRPr="00EE0D5F">
              <w:rPr>
                <w:rFonts w:eastAsia="Times New Roman"/>
                <w:szCs w:val="22"/>
                <w:lang w:val="en-GB" w:eastAsia="en-GB"/>
              </w:rPr>
              <w:t xml:space="preserve">Tachycardia &gt;120 bpm </w:t>
            </w:r>
          </w:p>
        </w:tc>
        <w:tc>
          <w:tcPr>
            <w:tcW w:w="1028" w:type="dxa"/>
            <w:tcBorders>
              <w:right w:val="single" w:sz="4" w:space="0" w:color="auto"/>
            </w:tcBorders>
          </w:tcPr>
          <w:p w14:paraId="6B10D987" w14:textId="77777777" w:rsidR="00BD6E01" w:rsidRPr="00C00BC2" w:rsidRDefault="00BD6E01" w:rsidP="00BD6E01">
            <w:pPr>
              <w:jc w:val="center"/>
              <w:rPr>
                <w:szCs w:val="22"/>
              </w:rPr>
            </w:pPr>
            <w:r w:rsidRPr="00C00BC2">
              <w:rPr>
                <w:szCs w:val="22"/>
                <w:lang w:val="en-GB" w:eastAsia="en-GB"/>
              </w:rPr>
              <w:t>1</w:t>
            </w:r>
          </w:p>
        </w:tc>
        <w:tc>
          <w:tcPr>
            <w:tcW w:w="956" w:type="dxa"/>
            <w:tcBorders>
              <w:top w:val="nil"/>
              <w:left w:val="single" w:sz="4" w:space="0" w:color="auto"/>
              <w:bottom w:val="nil"/>
              <w:right w:val="single" w:sz="4" w:space="0" w:color="auto"/>
            </w:tcBorders>
          </w:tcPr>
          <w:p w14:paraId="00760D67" w14:textId="77777777" w:rsidR="00BD6E01" w:rsidRPr="00C00BC2" w:rsidRDefault="00BD6E01" w:rsidP="00BD6E01">
            <w:pPr>
              <w:jc w:val="center"/>
              <w:rPr>
                <w:szCs w:val="22"/>
                <w:lang w:val="en-GB" w:eastAsia="en-GB"/>
              </w:rPr>
            </w:pPr>
          </w:p>
        </w:tc>
        <w:tc>
          <w:tcPr>
            <w:tcW w:w="1569" w:type="dxa"/>
            <w:tcBorders>
              <w:left w:val="single" w:sz="4" w:space="0" w:color="auto"/>
            </w:tcBorders>
          </w:tcPr>
          <w:p w14:paraId="4BECD78C" w14:textId="77777777" w:rsidR="00BD6E01" w:rsidRPr="00EE0D5F" w:rsidRDefault="00BD6E01" w:rsidP="00BD6E01">
            <w:pPr>
              <w:rPr>
                <w:lang w:eastAsia="en-GB"/>
              </w:rPr>
            </w:pPr>
            <w:r w:rsidRPr="00EE0D5F">
              <w:rPr>
                <w:lang w:eastAsia="en-GB"/>
              </w:rPr>
              <w:t>2</w:t>
            </w:r>
          </w:p>
        </w:tc>
        <w:tc>
          <w:tcPr>
            <w:tcW w:w="1475" w:type="dxa"/>
          </w:tcPr>
          <w:p w14:paraId="5815F95D" w14:textId="77777777" w:rsidR="00BD6E01" w:rsidRPr="00EE0D5F" w:rsidRDefault="00BD6E01" w:rsidP="00BD6E01">
            <w:pPr>
              <w:jc w:val="center"/>
              <w:rPr>
                <w:lang w:eastAsia="en-GB"/>
              </w:rPr>
            </w:pPr>
            <w:r w:rsidRPr="00EE0D5F">
              <w:rPr>
                <w:lang w:eastAsia="en-GB"/>
              </w:rPr>
              <w:t>12</w:t>
            </w:r>
          </w:p>
        </w:tc>
      </w:tr>
      <w:tr w:rsidR="00BD6E01" w14:paraId="3F820ECD" w14:textId="77777777" w:rsidTr="00BD6E01">
        <w:tc>
          <w:tcPr>
            <w:tcW w:w="3681" w:type="dxa"/>
          </w:tcPr>
          <w:p w14:paraId="19C50F87" w14:textId="77777777" w:rsidR="00BD6E01" w:rsidRPr="00C00BC2" w:rsidRDefault="00BD6E01" w:rsidP="00BD6E01">
            <w:pPr>
              <w:spacing w:after="0"/>
              <w:outlineLvl w:val="9"/>
              <w:rPr>
                <w:rFonts w:eastAsia="Times New Roman"/>
                <w:szCs w:val="22"/>
                <w:lang w:val="en-GB" w:eastAsia="en-GB"/>
              </w:rPr>
            </w:pPr>
            <w:r w:rsidRPr="00EE0D5F">
              <w:rPr>
                <w:rFonts w:eastAsia="Times New Roman"/>
                <w:szCs w:val="22"/>
                <w:lang w:val="en-GB" w:eastAsia="en-GB"/>
              </w:rPr>
              <w:t xml:space="preserve">Neoplasia </w:t>
            </w:r>
          </w:p>
        </w:tc>
        <w:tc>
          <w:tcPr>
            <w:tcW w:w="1028" w:type="dxa"/>
            <w:tcBorders>
              <w:right w:val="single" w:sz="4" w:space="0" w:color="auto"/>
            </w:tcBorders>
          </w:tcPr>
          <w:p w14:paraId="37F17586" w14:textId="77777777" w:rsidR="00BD6E01" w:rsidRPr="00C00BC2" w:rsidRDefault="00BD6E01" w:rsidP="00BD6E01">
            <w:pPr>
              <w:jc w:val="center"/>
              <w:rPr>
                <w:szCs w:val="22"/>
              </w:rPr>
            </w:pPr>
            <w:r w:rsidRPr="00C00BC2">
              <w:rPr>
                <w:szCs w:val="22"/>
                <w:lang w:val="en-GB" w:eastAsia="en-GB"/>
              </w:rPr>
              <w:t>1</w:t>
            </w:r>
          </w:p>
        </w:tc>
        <w:tc>
          <w:tcPr>
            <w:tcW w:w="956" w:type="dxa"/>
            <w:tcBorders>
              <w:top w:val="nil"/>
              <w:left w:val="single" w:sz="4" w:space="0" w:color="auto"/>
              <w:bottom w:val="nil"/>
              <w:right w:val="single" w:sz="4" w:space="0" w:color="auto"/>
            </w:tcBorders>
          </w:tcPr>
          <w:p w14:paraId="45367A75" w14:textId="77777777" w:rsidR="00BD6E01" w:rsidRPr="00C00BC2" w:rsidRDefault="00BD6E01" w:rsidP="00BD6E01">
            <w:pPr>
              <w:jc w:val="center"/>
              <w:rPr>
                <w:szCs w:val="22"/>
                <w:lang w:val="en-GB" w:eastAsia="en-GB"/>
              </w:rPr>
            </w:pPr>
          </w:p>
        </w:tc>
        <w:tc>
          <w:tcPr>
            <w:tcW w:w="1569" w:type="dxa"/>
            <w:tcBorders>
              <w:left w:val="single" w:sz="4" w:space="0" w:color="auto"/>
            </w:tcBorders>
          </w:tcPr>
          <w:p w14:paraId="5604C01B" w14:textId="77777777" w:rsidR="00BD6E01" w:rsidRPr="00EE0D5F" w:rsidRDefault="00BD6E01" w:rsidP="00BD6E01">
            <w:pPr>
              <w:rPr>
                <w:lang w:eastAsia="en-GB"/>
              </w:rPr>
            </w:pPr>
            <w:r w:rsidRPr="00EE0D5F">
              <w:rPr>
                <w:lang w:eastAsia="en-GB"/>
              </w:rPr>
              <w:t>3</w:t>
            </w:r>
          </w:p>
        </w:tc>
        <w:tc>
          <w:tcPr>
            <w:tcW w:w="1475" w:type="dxa"/>
          </w:tcPr>
          <w:p w14:paraId="0F4AB157" w14:textId="77777777" w:rsidR="00BD6E01" w:rsidRPr="00EE0D5F" w:rsidRDefault="00BD6E01" w:rsidP="00BD6E01">
            <w:pPr>
              <w:jc w:val="center"/>
              <w:rPr>
                <w:lang w:eastAsia="en-GB"/>
              </w:rPr>
            </w:pPr>
            <w:r w:rsidRPr="00EE0D5F">
              <w:rPr>
                <w:lang w:eastAsia="en-GB"/>
              </w:rPr>
              <w:t>35</w:t>
            </w:r>
          </w:p>
        </w:tc>
      </w:tr>
      <w:tr w:rsidR="00BD6E01" w14:paraId="4ABB5E07" w14:textId="77777777" w:rsidTr="00BD6E01">
        <w:tc>
          <w:tcPr>
            <w:tcW w:w="3681" w:type="dxa"/>
          </w:tcPr>
          <w:p w14:paraId="7B7EB126" w14:textId="77777777" w:rsidR="00BD6E01" w:rsidRPr="00C00BC2" w:rsidRDefault="00BD6E01" w:rsidP="00BD6E01">
            <w:pPr>
              <w:spacing w:after="0"/>
              <w:outlineLvl w:val="9"/>
              <w:rPr>
                <w:rFonts w:eastAsia="Times New Roman"/>
                <w:szCs w:val="22"/>
                <w:lang w:val="en-GB" w:eastAsia="en-GB"/>
              </w:rPr>
            </w:pPr>
            <w:r w:rsidRPr="00EE0D5F">
              <w:rPr>
                <w:rFonts w:eastAsia="Times New Roman"/>
                <w:szCs w:val="22"/>
                <w:lang w:val="en-GB" w:eastAsia="en-GB"/>
              </w:rPr>
              <w:t xml:space="preserve">Initial detachment &gt; 10% </w:t>
            </w:r>
          </w:p>
        </w:tc>
        <w:tc>
          <w:tcPr>
            <w:tcW w:w="1028" w:type="dxa"/>
            <w:tcBorders>
              <w:right w:val="single" w:sz="4" w:space="0" w:color="auto"/>
            </w:tcBorders>
          </w:tcPr>
          <w:p w14:paraId="465F0779" w14:textId="77777777" w:rsidR="00BD6E01" w:rsidRPr="00C00BC2" w:rsidRDefault="00BD6E01" w:rsidP="00BD6E01">
            <w:pPr>
              <w:jc w:val="center"/>
              <w:rPr>
                <w:szCs w:val="22"/>
              </w:rPr>
            </w:pPr>
            <w:r w:rsidRPr="00C00BC2">
              <w:rPr>
                <w:szCs w:val="22"/>
                <w:lang w:val="en-GB" w:eastAsia="en-GB"/>
              </w:rPr>
              <w:t>1</w:t>
            </w:r>
          </w:p>
        </w:tc>
        <w:tc>
          <w:tcPr>
            <w:tcW w:w="956" w:type="dxa"/>
            <w:tcBorders>
              <w:top w:val="nil"/>
              <w:left w:val="single" w:sz="4" w:space="0" w:color="auto"/>
              <w:bottom w:val="nil"/>
              <w:right w:val="single" w:sz="4" w:space="0" w:color="auto"/>
            </w:tcBorders>
          </w:tcPr>
          <w:p w14:paraId="46AE92C9" w14:textId="77777777" w:rsidR="00BD6E01" w:rsidRPr="00C00BC2" w:rsidRDefault="00BD6E01" w:rsidP="00BD6E01">
            <w:pPr>
              <w:jc w:val="center"/>
              <w:rPr>
                <w:szCs w:val="22"/>
                <w:lang w:val="en-GB" w:eastAsia="en-GB"/>
              </w:rPr>
            </w:pPr>
          </w:p>
        </w:tc>
        <w:tc>
          <w:tcPr>
            <w:tcW w:w="1569" w:type="dxa"/>
            <w:tcBorders>
              <w:left w:val="single" w:sz="4" w:space="0" w:color="auto"/>
            </w:tcBorders>
          </w:tcPr>
          <w:p w14:paraId="3241FD17" w14:textId="77777777" w:rsidR="00BD6E01" w:rsidRPr="00EE0D5F" w:rsidRDefault="00BD6E01" w:rsidP="00BD6E01">
            <w:pPr>
              <w:rPr>
                <w:lang w:eastAsia="en-GB"/>
              </w:rPr>
            </w:pPr>
            <w:r w:rsidRPr="00EE0D5F">
              <w:rPr>
                <w:lang w:eastAsia="en-GB"/>
              </w:rPr>
              <w:t>4</w:t>
            </w:r>
          </w:p>
        </w:tc>
        <w:tc>
          <w:tcPr>
            <w:tcW w:w="1475" w:type="dxa"/>
          </w:tcPr>
          <w:p w14:paraId="28972D8E" w14:textId="77777777" w:rsidR="00BD6E01" w:rsidRPr="00EE0D5F" w:rsidRDefault="00BD6E01" w:rsidP="00BD6E01">
            <w:pPr>
              <w:jc w:val="center"/>
              <w:rPr>
                <w:lang w:eastAsia="en-GB"/>
              </w:rPr>
            </w:pPr>
            <w:r w:rsidRPr="00EE0D5F">
              <w:rPr>
                <w:lang w:eastAsia="en-GB"/>
              </w:rPr>
              <w:t>58</w:t>
            </w:r>
          </w:p>
        </w:tc>
      </w:tr>
      <w:tr w:rsidR="00BD6E01" w14:paraId="0A83126E" w14:textId="77777777" w:rsidTr="00BD6E01">
        <w:tc>
          <w:tcPr>
            <w:tcW w:w="3681" w:type="dxa"/>
          </w:tcPr>
          <w:p w14:paraId="11130A4A" w14:textId="77777777" w:rsidR="00BD6E01" w:rsidRPr="00C00BC2" w:rsidRDefault="00BD6E01" w:rsidP="00BD6E01">
            <w:pPr>
              <w:spacing w:after="0"/>
              <w:outlineLvl w:val="9"/>
              <w:rPr>
                <w:rFonts w:eastAsia="Times New Roman"/>
                <w:szCs w:val="22"/>
                <w:lang w:val="en-GB" w:eastAsia="en-GB"/>
              </w:rPr>
            </w:pPr>
            <w:r w:rsidRPr="00EE0D5F">
              <w:rPr>
                <w:rFonts w:eastAsia="Times New Roman"/>
                <w:szCs w:val="22"/>
                <w:lang w:val="en-GB" w:eastAsia="en-GB"/>
              </w:rPr>
              <w:t xml:space="preserve">Serum urea &gt; 10 mmol/L </w:t>
            </w:r>
          </w:p>
        </w:tc>
        <w:tc>
          <w:tcPr>
            <w:tcW w:w="1028" w:type="dxa"/>
            <w:tcBorders>
              <w:right w:val="single" w:sz="4" w:space="0" w:color="auto"/>
            </w:tcBorders>
          </w:tcPr>
          <w:p w14:paraId="227E60E6" w14:textId="77777777" w:rsidR="00BD6E01" w:rsidRPr="00C00BC2" w:rsidRDefault="00BD6E01" w:rsidP="00BD6E01">
            <w:pPr>
              <w:jc w:val="center"/>
              <w:rPr>
                <w:szCs w:val="22"/>
              </w:rPr>
            </w:pPr>
            <w:r w:rsidRPr="00C00BC2">
              <w:rPr>
                <w:szCs w:val="22"/>
                <w:lang w:val="en-GB" w:eastAsia="en-GB"/>
              </w:rPr>
              <w:t>1</w:t>
            </w:r>
          </w:p>
        </w:tc>
        <w:tc>
          <w:tcPr>
            <w:tcW w:w="956" w:type="dxa"/>
            <w:tcBorders>
              <w:top w:val="nil"/>
              <w:left w:val="single" w:sz="4" w:space="0" w:color="auto"/>
              <w:bottom w:val="nil"/>
              <w:right w:val="single" w:sz="4" w:space="0" w:color="auto"/>
            </w:tcBorders>
          </w:tcPr>
          <w:p w14:paraId="65580AE1" w14:textId="77777777" w:rsidR="00BD6E01" w:rsidRPr="00C00BC2" w:rsidRDefault="00BD6E01" w:rsidP="00BD6E01">
            <w:pPr>
              <w:jc w:val="center"/>
              <w:rPr>
                <w:szCs w:val="22"/>
                <w:lang w:val="en-GB" w:eastAsia="en-GB"/>
              </w:rPr>
            </w:pPr>
          </w:p>
        </w:tc>
        <w:tc>
          <w:tcPr>
            <w:tcW w:w="1569" w:type="dxa"/>
            <w:tcBorders>
              <w:left w:val="single" w:sz="4" w:space="0" w:color="auto"/>
              <w:bottom w:val="single" w:sz="4" w:space="0" w:color="auto"/>
            </w:tcBorders>
          </w:tcPr>
          <w:p w14:paraId="7DA643D5" w14:textId="77777777" w:rsidR="00BD6E01" w:rsidRPr="00EE0D5F" w:rsidRDefault="00BD6E01" w:rsidP="00BD6E01">
            <w:pPr>
              <w:rPr>
                <w:lang w:eastAsia="en-GB"/>
              </w:rPr>
            </w:pPr>
            <w:r>
              <w:rPr>
                <w:lang w:eastAsia="en-GB"/>
              </w:rPr>
              <w:t>≥</w:t>
            </w:r>
            <w:r w:rsidRPr="00EE0D5F">
              <w:rPr>
                <w:lang w:eastAsia="en-GB"/>
              </w:rPr>
              <w:t>5</w:t>
            </w:r>
          </w:p>
        </w:tc>
        <w:tc>
          <w:tcPr>
            <w:tcW w:w="1475" w:type="dxa"/>
            <w:tcBorders>
              <w:bottom w:val="single" w:sz="4" w:space="0" w:color="auto"/>
            </w:tcBorders>
          </w:tcPr>
          <w:p w14:paraId="6E854A5F" w14:textId="77777777" w:rsidR="00BD6E01" w:rsidRPr="00EE0D5F" w:rsidRDefault="00BD6E01" w:rsidP="00BD6E01">
            <w:pPr>
              <w:jc w:val="center"/>
              <w:rPr>
                <w:lang w:eastAsia="en-GB"/>
              </w:rPr>
            </w:pPr>
            <w:r w:rsidRPr="00EE0D5F">
              <w:rPr>
                <w:lang w:eastAsia="en-GB"/>
              </w:rPr>
              <w:t>90</w:t>
            </w:r>
          </w:p>
        </w:tc>
      </w:tr>
      <w:tr w:rsidR="00BD6E01" w14:paraId="73C3E1B0" w14:textId="77777777" w:rsidTr="00BD6E01">
        <w:tc>
          <w:tcPr>
            <w:tcW w:w="3681" w:type="dxa"/>
          </w:tcPr>
          <w:p w14:paraId="6166B96F" w14:textId="77777777" w:rsidR="00BD6E01" w:rsidRPr="00C00BC2" w:rsidRDefault="00BD6E01" w:rsidP="00BD6E01">
            <w:pPr>
              <w:spacing w:after="0"/>
              <w:outlineLvl w:val="9"/>
              <w:rPr>
                <w:rFonts w:eastAsia="Times New Roman"/>
                <w:szCs w:val="22"/>
                <w:lang w:val="en-GB" w:eastAsia="en-GB"/>
              </w:rPr>
            </w:pPr>
            <w:r w:rsidRPr="00EE0D5F">
              <w:rPr>
                <w:rFonts w:eastAsia="Times New Roman"/>
                <w:szCs w:val="22"/>
                <w:lang w:val="en-GB" w:eastAsia="en-GB"/>
              </w:rPr>
              <w:t>Serum bicarbonate &lt; 20</w:t>
            </w:r>
            <w:r>
              <w:rPr>
                <w:rFonts w:eastAsia="Times New Roman"/>
                <w:szCs w:val="22"/>
                <w:lang w:val="en-GB" w:eastAsia="en-GB"/>
              </w:rPr>
              <w:t xml:space="preserve"> </w:t>
            </w:r>
            <w:r w:rsidRPr="00EE0D5F">
              <w:rPr>
                <w:rFonts w:eastAsia="Times New Roman"/>
                <w:szCs w:val="22"/>
                <w:lang w:val="en-GB" w:eastAsia="en-GB"/>
              </w:rPr>
              <w:t xml:space="preserve">mmol/L </w:t>
            </w:r>
          </w:p>
        </w:tc>
        <w:tc>
          <w:tcPr>
            <w:tcW w:w="1028" w:type="dxa"/>
            <w:tcBorders>
              <w:right w:val="single" w:sz="4" w:space="0" w:color="auto"/>
            </w:tcBorders>
          </w:tcPr>
          <w:p w14:paraId="3CE4CF5C" w14:textId="77777777" w:rsidR="00BD6E01" w:rsidRPr="00C00BC2" w:rsidRDefault="00BD6E01" w:rsidP="00BD6E01">
            <w:pPr>
              <w:jc w:val="center"/>
              <w:rPr>
                <w:szCs w:val="22"/>
              </w:rPr>
            </w:pPr>
            <w:r w:rsidRPr="00C00BC2">
              <w:rPr>
                <w:szCs w:val="22"/>
                <w:lang w:val="en-GB" w:eastAsia="en-GB"/>
              </w:rPr>
              <w:t>1</w:t>
            </w:r>
          </w:p>
        </w:tc>
        <w:tc>
          <w:tcPr>
            <w:tcW w:w="956" w:type="dxa"/>
            <w:tcBorders>
              <w:top w:val="nil"/>
              <w:left w:val="single" w:sz="4" w:space="0" w:color="auto"/>
              <w:bottom w:val="nil"/>
              <w:right w:val="nil"/>
            </w:tcBorders>
          </w:tcPr>
          <w:p w14:paraId="30F3D5D0" w14:textId="77777777" w:rsidR="00BD6E01" w:rsidRPr="00C00BC2" w:rsidRDefault="00BD6E01" w:rsidP="00BD6E01">
            <w:pPr>
              <w:jc w:val="center"/>
              <w:rPr>
                <w:szCs w:val="22"/>
                <w:lang w:val="en-GB" w:eastAsia="en-GB"/>
              </w:rPr>
            </w:pPr>
          </w:p>
        </w:tc>
        <w:tc>
          <w:tcPr>
            <w:tcW w:w="1569" w:type="dxa"/>
            <w:tcBorders>
              <w:top w:val="single" w:sz="4" w:space="0" w:color="auto"/>
              <w:left w:val="nil"/>
              <w:bottom w:val="nil"/>
              <w:right w:val="nil"/>
            </w:tcBorders>
          </w:tcPr>
          <w:p w14:paraId="155E5ACA" w14:textId="77777777" w:rsidR="00BD6E01" w:rsidRPr="00C00BC2" w:rsidRDefault="00BD6E01" w:rsidP="00BD6E01">
            <w:pPr>
              <w:jc w:val="center"/>
              <w:rPr>
                <w:szCs w:val="22"/>
                <w:lang w:val="en-GB" w:eastAsia="en-GB"/>
              </w:rPr>
            </w:pPr>
          </w:p>
        </w:tc>
        <w:tc>
          <w:tcPr>
            <w:tcW w:w="1475" w:type="dxa"/>
            <w:tcBorders>
              <w:top w:val="single" w:sz="4" w:space="0" w:color="auto"/>
              <w:left w:val="nil"/>
              <w:bottom w:val="nil"/>
              <w:right w:val="nil"/>
            </w:tcBorders>
          </w:tcPr>
          <w:p w14:paraId="5FCDC322" w14:textId="77777777" w:rsidR="00BD6E01" w:rsidRPr="00C00BC2" w:rsidRDefault="00BD6E01" w:rsidP="00BD6E01">
            <w:pPr>
              <w:jc w:val="center"/>
              <w:rPr>
                <w:szCs w:val="22"/>
                <w:lang w:val="en-GB" w:eastAsia="en-GB"/>
              </w:rPr>
            </w:pPr>
          </w:p>
        </w:tc>
      </w:tr>
      <w:tr w:rsidR="00BD6E01" w14:paraId="5E00C7E8" w14:textId="77777777" w:rsidTr="00BD6E01">
        <w:tc>
          <w:tcPr>
            <w:tcW w:w="3681" w:type="dxa"/>
          </w:tcPr>
          <w:p w14:paraId="3CB6242F" w14:textId="77777777" w:rsidR="00BD6E01" w:rsidRPr="00C00BC2" w:rsidRDefault="00BD6E01" w:rsidP="00BD6E01">
            <w:pPr>
              <w:spacing w:after="0"/>
              <w:outlineLvl w:val="9"/>
              <w:rPr>
                <w:rFonts w:eastAsia="Times New Roman"/>
                <w:szCs w:val="22"/>
                <w:lang w:val="en-GB" w:eastAsia="en-GB"/>
              </w:rPr>
            </w:pPr>
            <w:r w:rsidRPr="00EE0D5F">
              <w:rPr>
                <w:rFonts w:eastAsia="Times New Roman"/>
                <w:szCs w:val="22"/>
                <w:lang w:val="en-GB" w:eastAsia="en-GB"/>
              </w:rPr>
              <w:t>Blood glucose &gt; 14 mmol/L</w:t>
            </w:r>
          </w:p>
        </w:tc>
        <w:tc>
          <w:tcPr>
            <w:tcW w:w="1028" w:type="dxa"/>
            <w:tcBorders>
              <w:right w:val="single" w:sz="4" w:space="0" w:color="auto"/>
            </w:tcBorders>
          </w:tcPr>
          <w:p w14:paraId="3296F3AB" w14:textId="77777777" w:rsidR="00BD6E01" w:rsidRPr="00C00BC2" w:rsidRDefault="00BD6E01" w:rsidP="00BD6E01">
            <w:pPr>
              <w:jc w:val="center"/>
              <w:rPr>
                <w:szCs w:val="22"/>
              </w:rPr>
            </w:pPr>
            <w:r w:rsidRPr="00C00BC2">
              <w:rPr>
                <w:szCs w:val="22"/>
                <w:lang w:val="en-GB" w:eastAsia="en-GB"/>
              </w:rPr>
              <w:t>1</w:t>
            </w:r>
          </w:p>
        </w:tc>
        <w:tc>
          <w:tcPr>
            <w:tcW w:w="956" w:type="dxa"/>
            <w:tcBorders>
              <w:top w:val="nil"/>
              <w:left w:val="single" w:sz="4" w:space="0" w:color="auto"/>
              <w:bottom w:val="nil"/>
              <w:right w:val="nil"/>
            </w:tcBorders>
          </w:tcPr>
          <w:p w14:paraId="640EC3BB" w14:textId="77777777" w:rsidR="00BD6E01" w:rsidRPr="00C00BC2" w:rsidRDefault="00BD6E01" w:rsidP="00BD6E01">
            <w:pPr>
              <w:jc w:val="center"/>
              <w:rPr>
                <w:szCs w:val="22"/>
                <w:lang w:val="en-GB" w:eastAsia="en-GB"/>
              </w:rPr>
            </w:pPr>
          </w:p>
        </w:tc>
        <w:tc>
          <w:tcPr>
            <w:tcW w:w="1569" w:type="dxa"/>
            <w:tcBorders>
              <w:top w:val="nil"/>
              <w:left w:val="nil"/>
              <w:bottom w:val="nil"/>
              <w:right w:val="nil"/>
            </w:tcBorders>
          </w:tcPr>
          <w:p w14:paraId="2577CA42" w14:textId="77777777" w:rsidR="00BD6E01" w:rsidRPr="00C00BC2" w:rsidRDefault="00BD6E01" w:rsidP="00BD6E01">
            <w:pPr>
              <w:jc w:val="center"/>
              <w:rPr>
                <w:szCs w:val="22"/>
                <w:lang w:val="en-GB" w:eastAsia="en-GB"/>
              </w:rPr>
            </w:pPr>
          </w:p>
        </w:tc>
        <w:tc>
          <w:tcPr>
            <w:tcW w:w="1475" w:type="dxa"/>
            <w:tcBorders>
              <w:top w:val="nil"/>
              <w:left w:val="nil"/>
              <w:bottom w:val="nil"/>
              <w:right w:val="nil"/>
            </w:tcBorders>
          </w:tcPr>
          <w:p w14:paraId="7F96F9F9" w14:textId="77777777" w:rsidR="00BD6E01" w:rsidRPr="00C00BC2" w:rsidRDefault="00BD6E01" w:rsidP="00BD6E01">
            <w:pPr>
              <w:jc w:val="center"/>
              <w:rPr>
                <w:szCs w:val="22"/>
                <w:lang w:val="en-GB" w:eastAsia="en-GB"/>
              </w:rPr>
            </w:pPr>
          </w:p>
        </w:tc>
      </w:tr>
    </w:tbl>
    <w:p w14:paraId="5F01F243" w14:textId="77777777" w:rsidR="00AF304F" w:rsidRPr="00AF304F" w:rsidRDefault="00AF304F" w:rsidP="007D5F8E">
      <w:pPr>
        <w:rPr>
          <w:rStyle w:val="h23"/>
          <w:rFonts w:ascii="Helvetica" w:hAnsi="Helvetica" w:cs="Helvetica"/>
          <w:szCs w:val="22"/>
          <w:u w:val="single"/>
        </w:rPr>
      </w:pPr>
    </w:p>
    <w:p w14:paraId="68B7CC27" w14:textId="77777777" w:rsidR="00FF58AE" w:rsidRDefault="007D5F8E" w:rsidP="007D5F8E">
      <w:pPr>
        <w:rPr>
          <w:rFonts w:ascii="Helvetica" w:hAnsi="Helvetica" w:cs="Helvetica"/>
          <w:szCs w:val="22"/>
        </w:rPr>
      </w:pPr>
      <w:r>
        <w:rPr>
          <w:rFonts w:ascii="Helvetica" w:hAnsi="Helvetica" w:cs="Helvetica"/>
          <w:szCs w:val="22"/>
        </w:rPr>
        <w:t>The decision to refer the patient to an intensive care or burn unit should be made on a case-by-case basis, based upon the extent of skin involvement and the presence of comorbidities. Patients with a limited ski</w:t>
      </w:r>
      <w:r w:rsidR="00FF58AE">
        <w:rPr>
          <w:rFonts w:ascii="Helvetica" w:hAnsi="Helvetica" w:cs="Helvetica"/>
          <w:szCs w:val="22"/>
        </w:rPr>
        <w:t>n involvement, a SCORTEN score</w:t>
      </w:r>
      <w:r w:rsidR="00FF58AE">
        <w:rPr>
          <w:rFonts w:ascii="Helvetica" w:hAnsi="Helvetica" w:cs="Helvetica"/>
          <w:color w:val="00905A"/>
          <w:szCs w:val="22"/>
          <w:u w:val="single"/>
        </w:rPr>
        <w:t xml:space="preserve"> </w:t>
      </w:r>
      <w:r>
        <w:rPr>
          <w:rFonts w:ascii="Helvetica" w:hAnsi="Helvetica" w:cs="Helvetica"/>
          <w:szCs w:val="22"/>
        </w:rPr>
        <w:t>of 0 or 1, and disease that is not rapidly progressing may be treated in nonspecialized wards</w:t>
      </w:r>
      <w:r w:rsidR="00BD6E01">
        <w:rPr>
          <w:rFonts w:ascii="Helvetica" w:hAnsi="Helvetica" w:cs="Helvetica"/>
          <w:szCs w:val="22"/>
        </w:rPr>
        <w:t xml:space="preserve">. </w:t>
      </w:r>
      <w:r>
        <w:rPr>
          <w:rFonts w:ascii="Helvetica" w:hAnsi="Helvetica" w:cs="Helvetica"/>
          <w:szCs w:val="22"/>
        </w:rPr>
        <w:t>Patients with more severe disease (skin detachment &gt;30</w:t>
      </w:r>
      <w:r w:rsidR="00BD6E01">
        <w:rPr>
          <w:rFonts w:ascii="Helvetica" w:hAnsi="Helvetica" w:cs="Helvetica"/>
          <w:szCs w:val="22"/>
        </w:rPr>
        <w:t xml:space="preserve">% </w:t>
      </w:r>
      <w:r>
        <w:rPr>
          <w:rFonts w:ascii="Helvetica" w:hAnsi="Helvetica" w:cs="Helvetica"/>
          <w:szCs w:val="22"/>
        </w:rPr>
        <w:t xml:space="preserve">of the body surface area) </w:t>
      </w:r>
      <w:r>
        <w:rPr>
          <w:rStyle w:val="Strong"/>
          <w:rFonts w:ascii="Helvetica" w:hAnsi="Helvetica" w:cs="Helvetica"/>
          <w:szCs w:val="22"/>
        </w:rPr>
        <w:t>or</w:t>
      </w:r>
      <w:r>
        <w:rPr>
          <w:rFonts w:ascii="Helvetica" w:hAnsi="Helvetica" w:cs="Helvetica"/>
          <w:szCs w:val="22"/>
        </w:rPr>
        <w:t xml:space="preserve"> a SCORTEN score ≥2 should be transferred to intensive care units, burn units, or specialized dermatology units, if available</w:t>
      </w:r>
      <w:r w:rsidR="00BD6E01">
        <w:rPr>
          <w:rFonts w:ascii="Helvetica" w:hAnsi="Helvetica" w:cs="Helvetica"/>
          <w:szCs w:val="22"/>
        </w:rPr>
        <w:t>.</w:t>
      </w:r>
    </w:p>
    <w:p w14:paraId="6E1FEFDF" w14:textId="77777777" w:rsidR="00FF58AE" w:rsidRPr="00AF304F" w:rsidRDefault="00FF58AE" w:rsidP="00BD6E01">
      <w:pPr>
        <w:pStyle w:val="Heading3"/>
        <w:rPr>
          <w:color w:val="000000"/>
          <w:lang w:val="en-GB"/>
        </w:rPr>
      </w:pPr>
      <w:r w:rsidRPr="00AF304F">
        <w:t>Skin Care</w:t>
      </w:r>
      <w:r w:rsidRPr="00AF304F">
        <w:rPr>
          <w:color w:val="000000"/>
          <w:lang w:val="en-GB"/>
        </w:rPr>
        <w:t xml:space="preserve"> </w:t>
      </w:r>
    </w:p>
    <w:p w14:paraId="5A4239F1" w14:textId="77777777" w:rsidR="00FF58AE" w:rsidRPr="00FF58AE" w:rsidRDefault="00FF58AE" w:rsidP="00FF58AE">
      <w:pPr>
        <w:pStyle w:val="ListParagraph"/>
        <w:numPr>
          <w:ilvl w:val="0"/>
          <w:numId w:val="22"/>
        </w:numPr>
        <w:autoSpaceDE w:val="0"/>
        <w:autoSpaceDN w:val="0"/>
        <w:adjustRightInd w:val="0"/>
        <w:spacing w:after="0"/>
        <w:outlineLvl w:val="9"/>
        <w:rPr>
          <w:color w:val="000000"/>
          <w:szCs w:val="22"/>
          <w:lang w:val="en-GB"/>
        </w:rPr>
      </w:pPr>
      <w:r w:rsidRPr="00FF58AE">
        <w:rPr>
          <w:color w:val="000000"/>
          <w:szCs w:val="22"/>
          <w:lang w:val="en-GB"/>
        </w:rPr>
        <w:t>Employ strict barrier nursing to reduce nosocomial infections</w:t>
      </w:r>
    </w:p>
    <w:p w14:paraId="39B5BD2D" w14:textId="77777777" w:rsidR="00FF58AE" w:rsidRPr="00FF58AE" w:rsidRDefault="00FF58AE" w:rsidP="00FF58AE">
      <w:pPr>
        <w:pStyle w:val="ListParagraph"/>
        <w:numPr>
          <w:ilvl w:val="0"/>
          <w:numId w:val="22"/>
        </w:numPr>
        <w:autoSpaceDE w:val="0"/>
        <w:autoSpaceDN w:val="0"/>
        <w:adjustRightInd w:val="0"/>
        <w:spacing w:after="0"/>
        <w:outlineLvl w:val="9"/>
        <w:rPr>
          <w:color w:val="000000"/>
          <w:szCs w:val="22"/>
          <w:lang w:val="en-GB"/>
        </w:rPr>
      </w:pPr>
      <w:r w:rsidRPr="00FF58AE">
        <w:rPr>
          <w:color w:val="000000"/>
          <w:szCs w:val="22"/>
          <w:lang w:val="en-GB"/>
        </w:rPr>
        <w:t>Take swabs for bacterial and candidal culture from three areas of lesional skin, particularly</w:t>
      </w:r>
      <w:r>
        <w:rPr>
          <w:color w:val="000000"/>
          <w:szCs w:val="22"/>
          <w:lang w:val="en-GB"/>
        </w:rPr>
        <w:t xml:space="preserve"> </w:t>
      </w:r>
      <w:r w:rsidRPr="00FF58AE">
        <w:rPr>
          <w:color w:val="000000"/>
          <w:szCs w:val="22"/>
          <w:lang w:val="en-GB"/>
        </w:rPr>
        <w:t>sloughy or crusted areas, on alternate days throughout the acute phase</w:t>
      </w:r>
      <w:r>
        <w:rPr>
          <w:color w:val="000000"/>
          <w:szCs w:val="22"/>
          <w:lang w:val="en-GB"/>
        </w:rPr>
        <w:t>.</w:t>
      </w:r>
    </w:p>
    <w:p w14:paraId="0C272D09" w14:textId="77777777" w:rsidR="00FF58AE" w:rsidRDefault="00FF58AE" w:rsidP="00FF58AE">
      <w:pPr>
        <w:pStyle w:val="ListParagraph"/>
        <w:numPr>
          <w:ilvl w:val="0"/>
          <w:numId w:val="22"/>
        </w:numPr>
        <w:autoSpaceDE w:val="0"/>
        <w:autoSpaceDN w:val="0"/>
        <w:adjustRightInd w:val="0"/>
        <w:spacing w:after="0"/>
        <w:outlineLvl w:val="9"/>
        <w:rPr>
          <w:color w:val="000000"/>
          <w:szCs w:val="22"/>
          <w:lang w:val="en-GB"/>
        </w:rPr>
      </w:pPr>
      <w:r w:rsidRPr="00FF58AE">
        <w:rPr>
          <w:color w:val="000000"/>
          <w:szCs w:val="22"/>
          <w:lang w:val="en-GB"/>
        </w:rPr>
        <w:t>Administer systemic antibiotics only if there are clinical signs of infectio</w:t>
      </w:r>
      <w:r>
        <w:rPr>
          <w:color w:val="000000"/>
          <w:szCs w:val="22"/>
          <w:lang w:val="en-GB"/>
        </w:rPr>
        <w:t>n</w:t>
      </w:r>
    </w:p>
    <w:p w14:paraId="55F762E6" w14:textId="77777777" w:rsidR="00FF58AE" w:rsidRPr="00FF58AE" w:rsidRDefault="00FF58AE" w:rsidP="00FF58AE">
      <w:pPr>
        <w:pStyle w:val="ListParagraph"/>
        <w:numPr>
          <w:ilvl w:val="0"/>
          <w:numId w:val="22"/>
        </w:numPr>
        <w:autoSpaceDE w:val="0"/>
        <w:autoSpaceDN w:val="0"/>
        <w:adjustRightInd w:val="0"/>
        <w:spacing w:after="0"/>
        <w:outlineLvl w:val="9"/>
        <w:rPr>
          <w:color w:val="000000"/>
          <w:szCs w:val="22"/>
          <w:lang w:val="en-GB"/>
        </w:rPr>
      </w:pPr>
      <w:r w:rsidRPr="00FF58AE">
        <w:rPr>
          <w:color w:val="000000"/>
          <w:szCs w:val="22"/>
          <w:lang w:val="en-GB"/>
        </w:rPr>
        <w:t>Regularly cleanse wounds and intact skin by irrigating gently using warmed sterile water, saline</w:t>
      </w:r>
      <w:r>
        <w:rPr>
          <w:color w:val="000000"/>
          <w:szCs w:val="22"/>
          <w:lang w:val="en-GB"/>
        </w:rPr>
        <w:t xml:space="preserve"> </w:t>
      </w:r>
      <w:r w:rsidRPr="00FF58AE">
        <w:rPr>
          <w:color w:val="000000"/>
          <w:szCs w:val="22"/>
          <w:lang w:val="en-GB"/>
        </w:rPr>
        <w:t>or an antimicrobial such as chlorhexidine (1/5000)</w:t>
      </w:r>
    </w:p>
    <w:p w14:paraId="0E99E6FA" w14:textId="432FB655" w:rsidR="00F13754" w:rsidRDefault="00FF58AE" w:rsidP="00FF58AE">
      <w:pPr>
        <w:pStyle w:val="ListParagraph"/>
        <w:numPr>
          <w:ilvl w:val="0"/>
          <w:numId w:val="22"/>
        </w:numPr>
        <w:autoSpaceDE w:val="0"/>
        <w:autoSpaceDN w:val="0"/>
        <w:adjustRightInd w:val="0"/>
        <w:spacing w:after="0"/>
        <w:outlineLvl w:val="9"/>
        <w:rPr>
          <w:color w:val="000000"/>
          <w:szCs w:val="22"/>
          <w:lang w:val="en-GB"/>
        </w:rPr>
      </w:pPr>
      <w:r w:rsidRPr="00FF58AE">
        <w:rPr>
          <w:color w:val="000000"/>
          <w:szCs w:val="22"/>
          <w:lang w:val="en-GB"/>
        </w:rPr>
        <w:t>Apply a greasy emollient, such as</w:t>
      </w:r>
      <w:r w:rsidR="00F13754">
        <w:rPr>
          <w:color w:val="000000"/>
          <w:szCs w:val="22"/>
          <w:lang w:val="en-GB"/>
        </w:rPr>
        <w:t xml:space="preserve"> emulsifying ointment,</w:t>
      </w:r>
      <w:r w:rsidRPr="00FF58AE">
        <w:rPr>
          <w:color w:val="000000"/>
          <w:szCs w:val="22"/>
          <w:lang w:val="en-GB"/>
        </w:rPr>
        <w:t xml:space="preserve"> 50% white soft paraffin with 50% liquid paraffin</w:t>
      </w:r>
      <w:r w:rsidRPr="00F13754">
        <w:rPr>
          <w:color w:val="000000"/>
          <w:szCs w:val="22"/>
          <w:lang w:val="en-GB"/>
        </w:rPr>
        <w:t>, over the whole epidermis, including denuded areas</w:t>
      </w:r>
    </w:p>
    <w:p w14:paraId="413EBAFE" w14:textId="77777777" w:rsidR="00F13754" w:rsidRDefault="00FF58AE" w:rsidP="005E38E6">
      <w:pPr>
        <w:pStyle w:val="ListParagraph"/>
        <w:numPr>
          <w:ilvl w:val="0"/>
          <w:numId w:val="22"/>
        </w:numPr>
        <w:autoSpaceDE w:val="0"/>
        <w:autoSpaceDN w:val="0"/>
        <w:adjustRightInd w:val="0"/>
        <w:spacing w:after="0"/>
        <w:outlineLvl w:val="9"/>
        <w:rPr>
          <w:color w:val="000000"/>
          <w:szCs w:val="22"/>
          <w:lang w:val="en-GB"/>
        </w:rPr>
      </w:pPr>
      <w:r w:rsidRPr="00F13754">
        <w:rPr>
          <w:color w:val="000000"/>
          <w:szCs w:val="22"/>
          <w:lang w:val="en-GB"/>
        </w:rPr>
        <w:t>Apply a topical antimicrobial agent to sloughy areas only (choice should be guided by local</w:t>
      </w:r>
      <w:r w:rsidR="00F13754" w:rsidRPr="00F13754">
        <w:rPr>
          <w:color w:val="000000"/>
          <w:szCs w:val="22"/>
          <w:lang w:val="en-GB"/>
        </w:rPr>
        <w:t xml:space="preserve"> </w:t>
      </w:r>
      <w:r w:rsidRPr="00F13754">
        <w:rPr>
          <w:color w:val="000000"/>
          <w:szCs w:val="22"/>
          <w:lang w:val="en-GB"/>
        </w:rPr>
        <w:t>microbiological advice·</w:t>
      </w:r>
    </w:p>
    <w:p w14:paraId="1E9888A1" w14:textId="77777777" w:rsidR="00FF58AE" w:rsidRPr="00F13754" w:rsidRDefault="00FF58AE" w:rsidP="00FF58AE">
      <w:pPr>
        <w:pStyle w:val="ListParagraph"/>
        <w:numPr>
          <w:ilvl w:val="0"/>
          <w:numId w:val="22"/>
        </w:numPr>
        <w:autoSpaceDE w:val="0"/>
        <w:autoSpaceDN w:val="0"/>
        <w:adjustRightInd w:val="0"/>
        <w:spacing w:after="0"/>
        <w:outlineLvl w:val="9"/>
        <w:rPr>
          <w:color w:val="000000"/>
          <w:szCs w:val="22"/>
          <w:lang w:val="en-GB"/>
        </w:rPr>
      </w:pPr>
      <w:r w:rsidRPr="00F13754">
        <w:rPr>
          <w:color w:val="000000"/>
          <w:szCs w:val="22"/>
          <w:lang w:val="en-GB"/>
        </w:rPr>
        <w:t xml:space="preserve">The detached, lesional epidermis may be left </w:t>
      </w:r>
      <w:r w:rsidRPr="00F13754">
        <w:rPr>
          <w:i/>
          <w:iCs/>
          <w:color w:val="000000"/>
          <w:szCs w:val="22"/>
          <w:lang w:val="en-GB"/>
        </w:rPr>
        <w:t xml:space="preserve">in situ </w:t>
      </w:r>
      <w:r w:rsidRPr="00F13754">
        <w:rPr>
          <w:color w:val="000000"/>
          <w:szCs w:val="22"/>
          <w:lang w:val="en-GB"/>
        </w:rPr>
        <w:t>to act as a biological dressing. Blisters</w:t>
      </w:r>
      <w:r w:rsidR="00F13754">
        <w:rPr>
          <w:color w:val="000000"/>
          <w:szCs w:val="22"/>
          <w:lang w:val="en-GB"/>
        </w:rPr>
        <w:t xml:space="preserve"> </w:t>
      </w:r>
      <w:r w:rsidRPr="00F13754">
        <w:rPr>
          <w:color w:val="000000"/>
          <w:szCs w:val="22"/>
          <w:lang w:val="en-GB"/>
        </w:rPr>
        <w:t>should be decompressed by piercing and expression or aspiration of tissue fluid.</w:t>
      </w:r>
    </w:p>
    <w:p w14:paraId="5CBE409C" w14:textId="77777777" w:rsidR="007D5F8E" w:rsidRPr="00F13754" w:rsidRDefault="00FF58AE" w:rsidP="00F13754">
      <w:pPr>
        <w:pStyle w:val="ListParagraph"/>
        <w:numPr>
          <w:ilvl w:val="0"/>
          <w:numId w:val="22"/>
        </w:numPr>
        <w:autoSpaceDE w:val="0"/>
        <w:autoSpaceDN w:val="0"/>
        <w:adjustRightInd w:val="0"/>
        <w:spacing w:after="0"/>
        <w:outlineLvl w:val="9"/>
        <w:rPr>
          <w:szCs w:val="22"/>
          <w:lang w:val="en-GB"/>
        </w:rPr>
      </w:pPr>
      <w:r w:rsidRPr="00F13754">
        <w:rPr>
          <w:color w:val="000000"/>
          <w:szCs w:val="22"/>
          <w:lang w:val="en-GB"/>
        </w:rPr>
        <w:t>Apply non-adherent dressings to denuded der</w:t>
      </w:r>
      <w:r w:rsidR="00F13754">
        <w:rPr>
          <w:color w:val="000000"/>
          <w:szCs w:val="22"/>
          <w:lang w:val="en-GB"/>
        </w:rPr>
        <w:t xml:space="preserve">mis </w:t>
      </w:r>
    </w:p>
    <w:p w14:paraId="206CA69D" w14:textId="77777777" w:rsidR="00DD7DDB" w:rsidRDefault="00DD7DDB">
      <w:pPr>
        <w:spacing w:after="0"/>
        <w:outlineLvl w:val="9"/>
        <w:rPr>
          <w:rFonts w:eastAsia="Times New Roman" w:cs="Times New Roman"/>
          <w:b/>
          <w:bCs/>
          <w:szCs w:val="26"/>
          <w:u w:val="single"/>
          <w:lang w:val="en-GB"/>
        </w:rPr>
      </w:pPr>
      <w:r>
        <w:rPr>
          <w:lang w:val="en-GB"/>
        </w:rPr>
        <w:br w:type="page"/>
      </w:r>
    </w:p>
    <w:p w14:paraId="09C17C63" w14:textId="1DFA2510" w:rsidR="00F13754" w:rsidRPr="00AF304F" w:rsidRDefault="00F13754" w:rsidP="00BD6E01">
      <w:pPr>
        <w:pStyle w:val="Heading3"/>
        <w:rPr>
          <w:lang w:val="en-GB"/>
        </w:rPr>
      </w:pPr>
      <w:r w:rsidRPr="00AF304F">
        <w:rPr>
          <w:lang w:val="en-GB"/>
        </w:rPr>
        <w:lastRenderedPageBreak/>
        <w:t>Analgesia</w:t>
      </w:r>
    </w:p>
    <w:p w14:paraId="5ECDA207" w14:textId="77777777" w:rsidR="00F13754" w:rsidRDefault="00F13754" w:rsidP="00F13754">
      <w:pPr>
        <w:pStyle w:val="ListParagraph"/>
        <w:numPr>
          <w:ilvl w:val="0"/>
          <w:numId w:val="24"/>
        </w:numPr>
        <w:autoSpaceDE w:val="0"/>
        <w:autoSpaceDN w:val="0"/>
        <w:adjustRightInd w:val="0"/>
        <w:spacing w:after="0"/>
        <w:outlineLvl w:val="9"/>
        <w:rPr>
          <w:color w:val="000000"/>
          <w:szCs w:val="22"/>
          <w:lang w:val="en-GB"/>
        </w:rPr>
      </w:pPr>
      <w:r w:rsidRPr="00F13754">
        <w:rPr>
          <w:color w:val="000000"/>
          <w:szCs w:val="22"/>
          <w:lang w:val="en-GB"/>
        </w:rPr>
        <w:t>Use a patient appropriate validated pain tool to assess pain in all conscious patients at least once</w:t>
      </w:r>
      <w:r>
        <w:rPr>
          <w:color w:val="000000"/>
          <w:szCs w:val="22"/>
          <w:lang w:val="en-GB"/>
        </w:rPr>
        <w:t xml:space="preserve"> </w:t>
      </w:r>
      <w:r w:rsidRPr="00F13754">
        <w:rPr>
          <w:color w:val="000000"/>
          <w:szCs w:val="22"/>
          <w:lang w:val="en-GB"/>
        </w:rPr>
        <w:t>a day</w:t>
      </w:r>
      <w:r>
        <w:rPr>
          <w:color w:val="000000"/>
          <w:szCs w:val="22"/>
          <w:lang w:val="en-GB"/>
        </w:rPr>
        <w:t>.</w:t>
      </w:r>
    </w:p>
    <w:p w14:paraId="11CDCC00" w14:textId="77777777" w:rsidR="00F13754" w:rsidRPr="00F13754" w:rsidRDefault="00F13754" w:rsidP="00F13754">
      <w:pPr>
        <w:pStyle w:val="ListParagraph"/>
        <w:numPr>
          <w:ilvl w:val="0"/>
          <w:numId w:val="24"/>
        </w:numPr>
        <w:autoSpaceDE w:val="0"/>
        <w:autoSpaceDN w:val="0"/>
        <w:adjustRightInd w:val="0"/>
        <w:spacing w:after="0"/>
        <w:outlineLvl w:val="9"/>
        <w:rPr>
          <w:color w:val="000000"/>
          <w:szCs w:val="22"/>
          <w:lang w:val="en-GB"/>
        </w:rPr>
      </w:pPr>
      <w:r w:rsidRPr="00F13754">
        <w:rPr>
          <w:color w:val="000000"/>
          <w:szCs w:val="22"/>
          <w:lang w:val="en-GB"/>
        </w:rPr>
        <w:t xml:space="preserve"> Patients should receive adequate analgesia to ensure comfort at rest, with the addition of</w:t>
      </w:r>
      <w:r>
        <w:rPr>
          <w:color w:val="000000"/>
          <w:szCs w:val="22"/>
          <w:lang w:val="en-GB"/>
        </w:rPr>
        <w:t xml:space="preserve"> </w:t>
      </w:r>
      <w:r w:rsidRPr="00F13754">
        <w:rPr>
          <w:color w:val="000000"/>
          <w:szCs w:val="22"/>
          <w:lang w:val="en-GB"/>
        </w:rPr>
        <w:t>supplementary opiates, as required</w:t>
      </w:r>
      <w:r>
        <w:rPr>
          <w:color w:val="000000"/>
          <w:szCs w:val="22"/>
          <w:lang w:val="en-GB"/>
        </w:rPr>
        <w:t>.</w:t>
      </w:r>
    </w:p>
    <w:p w14:paraId="1F17CD3B" w14:textId="77777777" w:rsidR="00F13754" w:rsidRPr="00AF304F" w:rsidRDefault="00F13754" w:rsidP="00AF304F">
      <w:pPr>
        <w:pStyle w:val="ListParagraph"/>
        <w:numPr>
          <w:ilvl w:val="0"/>
          <w:numId w:val="24"/>
        </w:numPr>
        <w:autoSpaceDE w:val="0"/>
        <w:autoSpaceDN w:val="0"/>
        <w:adjustRightInd w:val="0"/>
        <w:spacing w:after="0"/>
        <w:outlineLvl w:val="9"/>
        <w:rPr>
          <w:color w:val="000000"/>
          <w:szCs w:val="22"/>
          <w:lang w:val="en-GB"/>
        </w:rPr>
      </w:pPr>
      <w:r w:rsidRPr="00F13754">
        <w:rPr>
          <w:color w:val="000000"/>
          <w:szCs w:val="22"/>
          <w:lang w:val="en-GB"/>
        </w:rPr>
        <w:t>Additional analgesia may be needed to address increased pain associated with patient handling, re-positioning and dressing changes</w:t>
      </w:r>
    </w:p>
    <w:p w14:paraId="6F2910DF" w14:textId="77777777" w:rsidR="00F13754" w:rsidRPr="00AF304F" w:rsidRDefault="00F13754" w:rsidP="00BD6E01">
      <w:pPr>
        <w:pStyle w:val="Heading3"/>
        <w:rPr>
          <w:lang w:val="en-GB"/>
        </w:rPr>
      </w:pPr>
      <w:r w:rsidRPr="00AF304F">
        <w:rPr>
          <w:lang w:val="en-GB"/>
        </w:rPr>
        <w:t>Supportive therapeutic measures</w:t>
      </w:r>
    </w:p>
    <w:p w14:paraId="15791CF2" w14:textId="77777777" w:rsidR="00F13754" w:rsidRPr="0090374A" w:rsidRDefault="00F13754" w:rsidP="00F13754">
      <w:pPr>
        <w:pStyle w:val="ListParagraph"/>
        <w:numPr>
          <w:ilvl w:val="0"/>
          <w:numId w:val="27"/>
        </w:numPr>
        <w:rPr>
          <w:b/>
          <w:bCs/>
          <w:color w:val="000000"/>
          <w:szCs w:val="22"/>
          <w:lang w:val="en-GB"/>
        </w:rPr>
      </w:pPr>
      <w:r w:rsidRPr="0090374A">
        <w:rPr>
          <w:color w:val="000000"/>
          <w:szCs w:val="22"/>
          <w:lang w:val="en-GB"/>
        </w:rPr>
        <w:t>Immobile patients should receive low molecular weight heparin</w:t>
      </w:r>
    </w:p>
    <w:p w14:paraId="625832F9" w14:textId="77777777" w:rsidR="0090374A" w:rsidRPr="00AF304F" w:rsidRDefault="00F13754" w:rsidP="009D74F6">
      <w:pPr>
        <w:pStyle w:val="ListParagraph"/>
        <w:numPr>
          <w:ilvl w:val="0"/>
          <w:numId w:val="27"/>
        </w:numPr>
        <w:autoSpaceDE w:val="0"/>
        <w:autoSpaceDN w:val="0"/>
        <w:adjustRightInd w:val="0"/>
        <w:spacing w:after="0"/>
        <w:outlineLvl w:val="9"/>
        <w:rPr>
          <w:color w:val="000000"/>
          <w:szCs w:val="22"/>
          <w:lang w:val="en-GB"/>
        </w:rPr>
      </w:pPr>
      <w:r w:rsidRPr="00AF304F">
        <w:rPr>
          <w:color w:val="000000"/>
          <w:szCs w:val="22"/>
          <w:lang w:val="en-GB"/>
        </w:rPr>
        <w:t>Patients in whom enteral nutrition cannot be established should receive a proton pump inhibitor</w:t>
      </w:r>
      <w:r w:rsidR="0090374A" w:rsidRPr="00AF304F">
        <w:rPr>
          <w:color w:val="000000"/>
          <w:szCs w:val="22"/>
          <w:lang w:val="en-GB"/>
        </w:rPr>
        <w:t xml:space="preserve"> </w:t>
      </w:r>
      <w:r w:rsidRPr="00AF304F">
        <w:rPr>
          <w:color w:val="000000"/>
          <w:szCs w:val="22"/>
          <w:lang w:val="en-GB"/>
        </w:rPr>
        <w:t>to reduce the risk of stress-related gastro-intestinal ulceration</w:t>
      </w:r>
    </w:p>
    <w:p w14:paraId="6CA86A19" w14:textId="77777777" w:rsidR="00F13754" w:rsidRPr="00AF304F" w:rsidRDefault="0090374A" w:rsidP="00BD6E01">
      <w:pPr>
        <w:pStyle w:val="Heading3"/>
        <w:rPr>
          <w:color w:val="FFFFFF"/>
          <w:lang w:val="en-GB"/>
        </w:rPr>
      </w:pPr>
      <w:r w:rsidRPr="00AF304F">
        <w:rPr>
          <w:lang w:val="en-GB"/>
        </w:rPr>
        <w:t>Ocular Care</w:t>
      </w:r>
    </w:p>
    <w:p w14:paraId="13FB33A7" w14:textId="77777777" w:rsidR="00F13754" w:rsidRPr="0090374A" w:rsidRDefault="00F13754" w:rsidP="0090374A">
      <w:pPr>
        <w:pStyle w:val="ListParagraph"/>
        <w:numPr>
          <w:ilvl w:val="0"/>
          <w:numId w:val="29"/>
        </w:numPr>
        <w:autoSpaceDE w:val="0"/>
        <w:autoSpaceDN w:val="0"/>
        <w:adjustRightInd w:val="0"/>
        <w:spacing w:after="0"/>
        <w:outlineLvl w:val="9"/>
        <w:rPr>
          <w:color w:val="000000"/>
          <w:szCs w:val="22"/>
          <w:lang w:val="en-GB"/>
        </w:rPr>
      </w:pPr>
      <w:r w:rsidRPr="0090374A">
        <w:rPr>
          <w:color w:val="000000"/>
          <w:szCs w:val="22"/>
          <w:lang w:val="en-GB"/>
        </w:rPr>
        <w:t>Apply an ocular lubricant (e.g. non-preserved hyaluronate or carmellose eye drops) every two</w:t>
      </w:r>
      <w:r w:rsidR="0090374A" w:rsidRPr="0090374A">
        <w:rPr>
          <w:color w:val="000000"/>
          <w:szCs w:val="22"/>
          <w:lang w:val="en-GB"/>
        </w:rPr>
        <w:t xml:space="preserve"> </w:t>
      </w:r>
      <w:r w:rsidRPr="0090374A">
        <w:rPr>
          <w:color w:val="000000"/>
          <w:szCs w:val="22"/>
          <w:lang w:val="en-GB"/>
        </w:rPr>
        <w:t>hours through the acute illness</w:t>
      </w:r>
    </w:p>
    <w:p w14:paraId="26F936CE" w14:textId="77777777" w:rsidR="0090374A" w:rsidRPr="0090374A" w:rsidRDefault="00F13754" w:rsidP="006C3514">
      <w:pPr>
        <w:pStyle w:val="ListParagraph"/>
        <w:numPr>
          <w:ilvl w:val="0"/>
          <w:numId w:val="29"/>
        </w:numPr>
        <w:autoSpaceDE w:val="0"/>
        <w:autoSpaceDN w:val="0"/>
        <w:adjustRightInd w:val="0"/>
        <w:spacing w:after="0"/>
        <w:outlineLvl w:val="9"/>
        <w:rPr>
          <w:color w:val="000000"/>
          <w:szCs w:val="22"/>
          <w:lang w:val="en-GB"/>
        </w:rPr>
      </w:pPr>
      <w:r w:rsidRPr="0090374A">
        <w:rPr>
          <w:color w:val="000000"/>
          <w:szCs w:val="22"/>
          <w:lang w:val="en-GB"/>
        </w:rPr>
        <w:t>Ocular hygiene must be carried out each day</w:t>
      </w:r>
    </w:p>
    <w:p w14:paraId="41B84BF6" w14:textId="77777777" w:rsidR="00F13754" w:rsidRPr="0090374A" w:rsidRDefault="00F13754" w:rsidP="00F13754">
      <w:pPr>
        <w:pStyle w:val="ListParagraph"/>
        <w:numPr>
          <w:ilvl w:val="0"/>
          <w:numId w:val="29"/>
        </w:numPr>
        <w:autoSpaceDE w:val="0"/>
        <w:autoSpaceDN w:val="0"/>
        <w:adjustRightInd w:val="0"/>
        <w:spacing w:after="0"/>
        <w:outlineLvl w:val="9"/>
        <w:rPr>
          <w:color w:val="000000"/>
          <w:szCs w:val="22"/>
          <w:lang w:val="en-GB"/>
        </w:rPr>
      </w:pPr>
      <w:r w:rsidRPr="0090374A">
        <w:rPr>
          <w:color w:val="000000"/>
          <w:szCs w:val="22"/>
          <w:lang w:val="en-GB"/>
        </w:rPr>
        <w:t>Application of topical corticosteroid drops (e.g. non-preserved dexamethasone 0.1% twice a day)</w:t>
      </w:r>
      <w:r w:rsidR="0090374A" w:rsidRPr="0090374A">
        <w:rPr>
          <w:color w:val="000000"/>
          <w:szCs w:val="22"/>
          <w:lang w:val="en-GB"/>
        </w:rPr>
        <w:t xml:space="preserve"> </w:t>
      </w:r>
      <w:r w:rsidRPr="0090374A">
        <w:rPr>
          <w:color w:val="000000"/>
          <w:szCs w:val="22"/>
          <w:lang w:val="en-GB"/>
        </w:rPr>
        <w:t>may reduce ocular surface damage</w:t>
      </w:r>
    </w:p>
    <w:p w14:paraId="5646EF03" w14:textId="1872A1FD" w:rsidR="00F13754" w:rsidRPr="00BD6E01" w:rsidRDefault="0090374A" w:rsidP="00F13754">
      <w:pPr>
        <w:pStyle w:val="ListParagraph"/>
        <w:numPr>
          <w:ilvl w:val="0"/>
          <w:numId w:val="29"/>
        </w:numPr>
        <w:autoSpaceDE w:val="0"/>
        <w:autoSpaceDN w:val="0"/>
        <w:adjustRightInd w:val="0"/>
        <w:spacing w:after="0"/>
        <w:outlineLvl w:val="9"/>
        <w:rPr>
          <w:color w:val="000000"/>
          <w:szCs w:val="22"/>
          <w:lang w:val="en-GB"/>
        </w:rPr>
      </w:pPr>
      <w:r w:rsidRPr="0090374A">
        <w:rPr>
          <w:color w:val="000000"/>
          <w:szCs w:val="22"/>
          <w:lang w:val="en-GB"/>
        </w:rPr>
        <w:t xml:space="preserve">Administer </w:t>
      </w:r>
      <w:r w:rsidR="00F13754" w:rsidRPr="0090374A">
        <w:rPr>
          <w:color w:val="000000"/>
          <w:szCs w:val="22"/>
          <w:lang w:val="en-GB"/>
        </w:rPr>
        <w:t>topical antibiotic as</w:t>
      </w:r>
      <w:r w:rsidRPr="0090374A">
        <w:rPr>
          <w:color w:val="000000"/>
          <w:szCs w:val="22"/>
          <w:lang w:val="en-GB"/>
        </w:rPr>
        <w:t xml:space="preserve"> prophylaxis (e.g. ciprofloxacin </w:t>
      </w:r>
      <w:r w:rsidR="00F13754" w:rsidRPr="0090374A">
        <w:rPr>
          <w:color w:val="000000"/>
          <w:szCs w:val="22"/>
          <w:lang w:val="en-GB"/>
        </w:rPr>
        <w:t>drops four times</w:t>
      </w:r>
      <w:r w:rsidRPr="00BD6E01">
        <w:rPr>
          <w:color w:val="000000"/>
          <w:szCs w:val="22"/>
          <w:lang w:val="en-GB"/>
        </w:rPr>
        <w:t xml:space="preserve"> </w:t>
      </w:r>
      <w:r w:rsidR="00F13754" w:rsidRPr="00BD6E01">
        <w:rPr>
          <w:color w:val="000000"/>
          <w:szCs w:val="22"/>
          <w:lang w:val="en-GB"/>
        </w:rPr>
        <w:t>a day) in the presence of corneal ulceration</w:t>
      </w:r>
    </w:p>
    <w:p w14:paraId="7A4C2D56" w14:textId="77777777" w:rsidR="0090374A" w:rsidRPr="00AF304F" w:rsidRDefault="00F13754" w:rsidP="000B18E7">
      <w:pPr>
        <w:pStyle w:val="ListParagraph"/>
        <w:numPr>
          <w:ilvl w:val="0"/>
          <w:numId w:val="32"/>
        </w:numPr>
        <w:autoSpaceDE w:val="0"/>
        <w:autoSpaceDN w:val="0"/>
        <w:adjustRightInd w:val="0"/>
        <w:spacing w:after="0"/>
        <w:outlineLvl w:val="9"/>
        <w:rPr>
          <w:b/>
          <w:bCs/>
          <w:color w:val="000000"/>
          <w:szCs w:val="22"/>
          <w:lang w:val="en-GB"/>
        </w:rPr>
      </w:pPr>
      <w:r w:rsidRPr="00AF304F">
        <w:rPr>
          <w:color w:val="000000"/>
          <w:szCs w:val="22"/>
          <w:lang w:val="en-GB"/>
        </w:rPr>
        <w:t>In the unconscious patient, prevention of corneal exposure is essential</w:t>
      </w:r>
      <w:r w:rsidR="0090374A" w:rsidRPr="00AF304F">
        <w:rPr>
          <w:color w:val="000000"/>
          <w:szCs w:val="22"/>
          <w:lang w:val="en-GB"/>
        </w:rPr>
        <w:t>.</w:t>
      </w:r>
    </w:p>
    <w:p w14:paraId="577447FB" w14:textId="77777777" w:rsidR="00F13754" w:rsidRPr="0090374A" w:rsidRDefault="0090374A" w:rsidP="00BD6E01">
      <w:pPr>
        <w:pStyle w:val="Heading3"/>
        <w:rPr>
          <w:color w:val="FFFFFF"/>
          <w:lang w:val="en-GB"/>
        </w:rPr>
      </w:pPr>
      <w:r w:rsidRPr="00AF304F">
        <w:rPr>
          <w:lang w:val="en-GB"/>
        </w:rPr>
        <w:t>Mouth care</w:t>
      </w:r>
    </w:p>
    <w:p w14:paraId="22FA5F3F" w14:textId="77777777" w:rsidR="00F13754" w:rsidRPr="0090374A" w:rsidRDefault="00F13754" w:rsidP="0090374A">
      <w:pPr>
        <w:pStyle w:val="ListParagraph"/>
        <w:numPr>
          <w:ilvl w:val="0"/>
          <w:numId w:val="32"/>
        </w:numPr>
        <w:autoSpaceDE w:val="0"/>
        <w:autoSpaceDN w:val="0"/>
        <w:adjustRightInd w:val="0"/>
        <w:spacing w:after="0"/>
        <w:outlineLvl w:val="9"/>
        <w:rPr>
          <w:color w:val="000000"/>
          <w:szCs w:val="22"/>
          <w:lang w:val="en-GB"/>
        </w:rPr>
      </w:pPr>
      <w:r w:rsidRPr="0090374A">
        <w:rPr>
          <w:color w:val="000000"/>
          <w:szCs w:val="22"/>
          <w:lang w:val="en-GB"/>
        </w:rPr>
        <w:t>Daily oral review is necessary during the acute illness</w:t>
      </w:r>
    </w:p>
    <w:p w14:paraId="7A24BF69" w14:textId="77777777" w:rsidR="00F13754" w:rsidRPr="0090374A" w:rsidRDefault="00F13754" w:rsidP="0090374A">
      <w:pPr>
        <w:pStyle w:val="ListParagraph"/>
        <w:numPr>
          <w:ilvl w:val="0"/>
          <w:numId w:val="32"/>
        </w:numPr>
        <w:autoSpaceDE w:val="0"/>
        <w:autoSpaceDN w:val="0"/>
        <w:adjustRightInd w:val="0"/>
        <w:spacing w:after="0"/>
        <w:outlineLvl w:val="9"/>
        <w:rPr>
          <w:color w:val="000000"/>
          <w:szCs w:val="22"/>
          <w:lang w:val="en-GB"/>
        </w:rPr>
      </w:pPr>
      <w:r w:rsidRPr="0090374A">
        <w:rPr>
          <w:color w:val="000000"/>
          <w:szCs w:val="22"/>
          <w:lang w:val="en-GB"/>
        </w:rPr>
        <w:t>Apply white soft paraffin ointment to the lips every two hours through the acute illness</w:t>
      </w:r>
    </w:p>
    <w:p w14:paraId="6ED022F1" w14:textId="77777777" w:rsidR="0090374A" w:rsidRPr="00BD6E01" w:rsidRDefault="00F13754" w:rsidP="00BD6E01">
      <w:pPr>
        <w:pStyle w:val="ListParagraph"/>
        <w:numPr>
          <w:ilvl w:val="0"/>
          <w:numId w:val="32"/>
        </w:numPr>
        <w:autoSpaceDE w:val="0"/>
        <w:autoSpaceDN w:val="0"/>
        <w:adjustRightInd w:val="0"/>
        <w:spacing w:after="0"/>
        <w:outlineLvl w:val="9"/>
        <w:rPr>
          <w:color w:val="000000"/>
          <w:szCs w:val="22"/>
          <w:lang w:val="en-GB"/>
        </w:rPr>
      </w:pPr>
      <w:r w:rsidRPr="0090374A">
        <w:rPr>
          <w:color w:val="000000"/>
          <w:szCs w:val="22"/>
          <w:lang w:val="en-GB"/>
        </w:rPr>
        <w:t>Clean the mouth daily with warm saline mouthwashes or an oral sponge</w:t>
      </w:r>
    </w:p>
    <w:p w14:paraId="41D964DF" w14:textId="77777777" w:rsidR="00F13754" w:rsidRPr="0090374A" w:rsidRDefault="0090374A" w:rsidP="00BD6E01">
      <w:pPr>
        <w:pStyle w:val="Heading3"/>
        <w:rPr>
          <w:color w:val="FFFFFF"/>
          <w:lang w:val="en-GB"/>
        </w:rPr>
      </w:pPr>
      <w:r w:rsidRPr="00AF304F">
        <w:rPr>
          <w:lang w:val="en-GB"/>
        </w:rPr>
        <w:t>Urogenital Care</w:t>
      </w:r>
      <w:r w:rsidR="00F13754" w:rsidRPr="0090374A">
        <w:rPr>
          <w:color w:val="FFFFFF"/>
          <w:lang w:val="en-GB"/>
        </w:rPr>
        <w:t>t</w:t>
      </w:r>
    </w:p>
    <w:p w14:paraId="4BFF9973" w14:textId="77777777" w:rsidR="00F13754" w:rsidRPr="0090374A" w:rsidRDefault="00F13754" w:rsidP="0090374A">
      <w:pPr>
        <w:pStyle w:val="ListParagraph"/>
        <w:numPr>
          <w:ilvl w:val="0"/>
          <w:numId w:val="36"/>
        </w:numPr>
        <w:autoSpaceDE w:val="0"/>
        <w:autoSpaceDN w:val="0"/>
        <w:adjustRightInd w:val="0"/>
        <w:spacing w:after="0"/>
        <w:outlineLvl w:val="9"/>
        <w:rPr>
          <w:color w:val="000000"/>
          <w:szCs w:val="22"/>
          <w:lang w:val="en-GB"/>
        </w:rPr>
      </w:pPr>
      <w:r w:rsidRPr="0090374A">
        <w:rPr>
          <w:color w:val="000000"/>
          <w:szCs w:val="22"/>
          <w:lang w:val="en-GB"/>
        </w:rPr>
        <w:t>Daily urogenital review is necessary during the acute illness</w:t>
      </w:r>
    </w:p>
    <w:p w14:paraId="27AEB3D6" w14:textId="77777777" w:rsidR="00F13754" w:rsidRPr="0090374A" w:rsidRDefault="00F13754" w:rsidP="00F13754">
      <w:pPr>
        <w:pStyle w:val="ListParagraph"/>
        <w:numPr>
          <w:ilvl w:val="0"/>
          <w:numId w:val="36"/>
        </w:numPr>
        <w:autoSpaceDE w:val="0"/>
        <w:autoSpaceDN w:val="0"/>
        <w:adjustRightInd w:val="0"/>
        <w:spacing w:after="0"/>
        <w:outlineLvl w:val="9"/>
        <w:rPr>
          <w:color w:val="000000"/>
          <w:szCs w:val="22"/>
          <w:lang w:val="en-GB"/>
        </w:rPr>
      </w:pPr>
      <w:r w:rsidRPr="0090374A">
        <w:rPr>
          <w:color w:val="000000"/>
          <w:szCs w:val="22"/>
          <w:lang w:val="en-GB"/>
        </w:rPr>
        <w:t>Apply white soft paraffin ointment to the urogenital skin and mucosae every four hours throug</w:t>
      </w:r>
      <w:r w:rsidR="00AF304F">
        <w:rPr>
          <w:color w:val="000000"/>
          <w:szCs w:val="22"/>
          <w:lang w:val="en-GB"/>
        </w:rPr>
        <w:t xml:space="preserve">hout </w:t>
      </w:r>
      <w:r w:rsidRPr="0090374A">
        <w:rPr>
          <w:color w:val="000000"/>
          <w:szCs w:val="22"/>
          <w:lang w:val="en-GB"/>
        </w:rPr>
        <w:t>the acute illness</w:t>
      </w:r>
    </w:p>
    <w:p w14:paraId="7435D129" w14:textId="77777777" w:rsidR="00F13754" w:rsidRDefault="00F13754" w:rsidP="0090374A">
      <w:pPr>
        <w:pStyle w:val="ListParagraph"/>
        <w:numPr>
          <w:ilvl w:val="0"/>
          <w:numId w:val="36"/>
        </w:numPr>
        <w:autoSpaceDE w:val="0"/>
        <w:autoSpaceDN w:val="0"/>
        <w:adjustRightInd w:val="0"/>
        <w:spacing w:after="0"/>
        <w:outlineLvl w:val="9"/>
        <w:rPr>
          <w:color w:val="000000"/>
          <w:szCs w:val="22"/>
          <w:lang w:val="en-GB"/>
        </w:rPr>
      </w:pPr>
      <w:r w:rsidRPr="0090374A">
        <w:rPr>
          <w:color w:val="000000"/>
          <w:szCs w:val="22"/>
          <w:lang w:val="en-GB"/>
        </w:rPr>
        <w:t xml:space="preserve">Use a potent topical corticosteroid ointment once a day </w:t>
      </w:r>
      <w:r w:rsidR="00375907">
        <w:rPr>
          <w:color w:val="000000"/>
          <w:szCs w:val="22"/>
          <w:lang w:val="en-GB"/>
        </w:rPr>
        <w:t>to the involved, but non-eroded</w:t>
      </w:r>
      <w:r w:rsidRPr="0090374A">
        <w:rPr>
          <w:color w:val="000000"/>
          <w:szCs w:val="22"/>
          <w:lang w:val="en-GB"/>
        </w:rPr>
        <w:t xml:space="preserve"> surfaces</w:t>
      </w:r>
      <w:r w:rsidR="00375907">
        <w:rPr>
          <w:color w:val="000000"/>
          <w:szCs w:val="22"/>
          <w:lang w:val="en-GB"/>
        </w:rPr>
        <w:t>.</w:t>
      </w:r>
    </w:p>
    <w:p w14:paraId="4FA6097B" w14:textId="77777777" w:rsidR="00F13754" w:rsidRDefault="00582119" w:rsidP="00BD6E01">
      <w:pPr>
        <w:pStyle w:val="Heading3"/>
        <w:rPr>
          <w:color w:val="FFFFFF"/>
          <w:lang w:val="en-GB"/>
        </w:rPr>
      </w:pPr>
      <w:r w:rsidRPr="00AF304F">
        <w:rPr>
          <w:lang w:val="en-GB"/>
        </w:rPr>
        <w:t>Nutritional care</w:t>
      </w:r>
      <w:r w:rsidR="00F13754" w:rsidRPr="0090374A">
        <w:rPr>
          <w:color w:val="FFFFFF"/>
          <w:lang w:val="en-GB"/>
        </w:rPr>
        <w:t xml:space="preserve"> of airway</w:t>
      </w:r>
    </w:p>
    <w:p w14:paraId="2FC689A1" w14:textId="77777777" w:rsidR="00582119" w:rsidRPr="00582119" w:rsidRDefault="00582119" w:rsidP="00582119">
      <w:pPr>
        <w:pStyle w:val="ListParagraph"/>
        <w:numPr>
          <w:ilvl w:val="0"/>
          <w:numId w:val="38"/>
        </w:numPr>
        <w:autoSpaceDE w:val="0"/>
        <w:autoSpaceDN w:val="0"/>
        <w:adjustRightInd w:val="0"/>
        <w:spacing w:after="0"/>
        <w:outlineLvl w:val="9"/>
        <w:rPr>
          <w:szCs w:val="22"/>
          <w:lang w:val="en-GB"/>
        </w:rPr>
      </w:pPr>
      <w:r w:rsidRPr="00582119">
        <w:rPr>
          <w:szCs w:val="22"/>
          <w:lang w:val="en-GB"/>
        </w:rPr>
        <w:t>Provide continuous enteral nutrition throughout the acute phase</w:t>
      </w:r>
    </w:p>
    <w:p w14:paraId="6E9AA613" w14:textId="77777777" w:rsidR="00F13754" w:rsidRPr="00BD6E01" w:rsidRDefault="00582119" w:rsidP="00F13754">
      <w:pPr>
        <w:pStyle w:val="ListParagraph"/>
        <w:numPr>
          <w:ilvl w:val="0"/>
          <w:numId w:val="38"/>
        </w:numPr>
        <w:autoSpaceDE w:val="0"/>
        <w:autoSpaceDN w:val="0"/>
        <w:adjustRightInd w:val="0"/>
        <w:spacing w:after="0"/>
        <w:outlineLvl w:val="9"/>
        <w:rPr>
          <w:szCs w:val="22"/>
          <w:lang w:val="en-GB"/>
        </w:rPr>
      </w:pPr>
      <w:r w:rsidRPr="00582119">
        <w:rPr>
          <w:szCs w:val="22"/>
          <w:lang w:val="en-GB"/>
        </w:rPr>
        <w:t>Deliver up to 20 to 25 kcal/kg/day during the early, catabolic phase and 25 to 30 kcal/kg/day</w:t>
      </w:r>
      <w:r>
        <w:rPr>
          <w:szCs w:val="22"/>
          <w:lang w:val="en-GB"/>
        </w:rPr>
        <w:t xml:space="preserve"> </w:t>
      </w:r>
      <w:r w:rsidRPr="00582119">
        <w:rPr>
          <w:szCs w:val="22"/>
          <w:lang w:val="en-GB"/>
        </w:rPr>
        <w:t>during the anabolic, recovery phase</w:t>
      </w:r>
      <w:r w:rsidR="00BD6E01">
        <w:rPr>
          <w:szCs w:val="22"/>
          <w:lang w:val="en-GB"/>
        </w:rPr>
        <w:t>.</w:t>
      </w:r>
    </w:p>
    <w:p w14:paraId="3DE216C5" w14:textId="77777777" w:rsidR="00375907" w:rsidRDefault="00AF304F" w:rsidP="00BD6E01">
      <w:pPr>
        <w:pStyle w:val="Heading3"/>
        <w:rPr>
          <w:lang w:val="en-GB"/>
        </w:rPr>
      </w:pPr>
      <w:r w:rsidRPr="00AF304F">
        <w:rPr>
          <w:lang w:val="en-GB"/>
        </w:rPr>
        <w:t>Discharge</w:t>
      </w:r>
      <w:r w:rsidR="00375907" w:rsidRPr="00AF304F">
        <w:rPr>
          <w:lang w:val="en-GB"/>
        </w:rPr>
        <w:t xml:space="preserve"> and follow u</w:t>
      </w:r>
      <w:r w:rsidRPr="00AF304F">
        <w:rPr>
          <w:lang w:val="en-GB"/>
        </w:rPr>
        <w:t>p</w:t>
      </w:r>
    </w:p>
    <w:p w14:paraId="259064C0" w14:textId="77777777" w:rsidR="00F13754" w:rsidRPr="00375907" w:rsidRDefault="00F13754" w:rsidP="00375907">
      <w:pPr>
        <w:pStyle w:val="ListParagraph"/>
        <w:numPr>
          <w:ilvl w:val="0"/>
          <w:numId w:val="37"/>
        </w:numPr>
        <w:autoSpaceDE w:val="0"/>
        <w:autoSpaceDN w:val="0"/>
        <w:adjustRightInd w:val="0"/>
        <w:spacing w:after="0"/>
        <w:outlineLvl w:val="9"/>
        <w:rPr>
          <w:color w:val="000000"/>
          <w:szCs w:val="22"/>
          <w:lang w:val="en-GB"/>
        </w:rPr>
      </w:pPr>
      <w:r w:rsidRPr="00375907">
        <w:rPr>
          <w:color w:val="000000"/>
          <w:szCs w:val="22"/>
          <w:lang w:val="en-GB"/>
        </w:rPr>
        <w:t>Give the patient written information about drug(s) to avoid</w:t>
      </w:r>
    </w:p>
    <w:p w14:paraId="2F75E3C8" w14:textId="77777777" w:rsidR="00F13754" w:rsidRPr="00375907" w:rsidRDefault="00F13754" w:rsidP="00F13754">
      <w:pPr>
        <w:pStyle w:val="ListParagraph"/>
        <w:numPr>
          <w:ilvl w:val="0"/>
          <w:numId w:val="37"/>
        </w:numPr>
        <w:autoSpaceDE w:val="0"/>
        <w:autoSpaceDN w:val="0"/>
        <w:adjustRightInd w:val="0"/>
        <w:spacing w:after="0"/>
        <w:outlineLvl w:val="9"/>
        <w:rPr>
          <w:color w:val="000000"/>
          <w:szCs w:val="22"/>
          <w:lang w:val="en-GB"/>
        </w:rPr>
      </w:pPr>
      <w:r w:rsidRPr="00375907">
        <w:rPr>
          <w:color w:val="000000"/>
          <w:szCs w:val="22"/>
          <w:lang w:val="en-GB"/>
        </w:rPr>
        <w:t>Drug allergy should be documented in the patient’s notes; all doctors involved in the patient’s</w:t>
      </w:r>
      <w:r w:rsidR="00375907">
        <w:rPr>
          <w:color w:val="000000"/>
          <w:szCs w:val="22"/>
          <w:lang w:val="en-GB"/>
        </w:rPr>
        <w:t xml:space="preserve"> </w:t>
      </w:r>
      <w:r w:rsidRPr="00375907">
        <w:rPr>
          <w:color w:val="000000"/>
          <w:szCs w:val="22"/>
          <w:lang w:val="en-GB"/>
        </w:rPr>
        <w:t>care should be informed</w:t>
      </w:r>
    </w:p>
    <w:p w14:paraId="58B034D0" w14:textId="77777777" w:rsidR="00F13754" w:rsidRPr="00375907" w:rsidRDefault="00F13754" w:rsidP="00F13754">
      <w:pPr>
        <w:pStyle w:val="ListParagraph"/>
        <w:numPr>
          <w:ilvl w:val="0"/>
          <w:numId w:val="37"/>
        </w:numPr>
        <w:autoSpaceDE w:val="0"/>
        <w:autoSpaceDN w:val="0"/>
        <w:adjustRightInd w:val="0"/>
        <w:spacing w:after="0"/>
        <w:outlineLvl w:val="9"/>
        <w:rPr>
          <w:color w:val="000000"/>
          <w:szCs w:val="22"/>
          <w:lang w:val="en-GB"/>
        </w:rPr>
      </w:pPr>
      <w:r w:rsidRPr="00375907">
        <w:rPr>
          <w:color w:val="000000"/>
          <w:szCs w:val="22"/>
          <w:lang w:val="en-GB"/>
        </w:rPr>
        <w:t>Organize an out-patient clinic appointment, and if required an ophthalmology out-patient</w:t>
      </w:r>
      <w:r w:rsidR="00375907">
        <w:rPr>
          <w:color w:val="000000"/>
          <w:szCs w:val="22"/>
          <w:lang w:val="en-GB"/>
        </w:rPr>
        <w:t xml:space="preserve"> </w:t>
      </w:r>
      <w:r w:rsidRPr="00375907">
        <w:rPr>
          <w:color w:val="000000"/>
          <w:szCs w:val="22"/>
          <w:lang w:val="en-GB"/>
        </w:rPr>
        <w:t>appointment, within a few weeks of discharge</w:t>
      </w:r>
    </w:p>
    <w:p w14:paraId="7AE70280" w14:textId="77777777" w:rsidR="00F13754" w:rsidRDefault="00375907" w:rsidP="00375907">
      <w:pPr>
        <w:pStyle w:val="ListParagraph"/>
        <w:numPr>
          <w:ilvl w:val="0"/>
          <w:numId w:val="37"/>
        </w:numPr>
        <w:rPr>
          <w:szCs w:val="22"/>
          <w:lang w:val="en-GB"/>
        </w:rPr>
      </w:pPr>
      <w:r w:rsidRPr="00375907">
        <w:rPr>
          <w:color w:val="000000"/>
          <w:szCs w:val="22"/>
          <w:lang w:val="en-GB"/>
        </w:rPr>
        <w:t>Refer for review to unit with</w:t>
      </w:r>
      <w:r w:rsidRPr="00375907">
        <w:rPr>
          <w:szCs w:val="22"/>
          <w:lang w:val="en-GB"/>
        </w:rPr>
        <w:t xml:space="preserve"> appropriate sub-speciality interest</w:t>
      </w:r>
    </w:p>
    <w:p w14:paraId="0B57DAC5" w14:textId="77777777" w:rsidR="00F03F25" w:rsidRDefault="00F03F25" w:rsidP="00F03F25">
      <w:pPr>
        <w:pStyle w:val="Heading2"/>
        <w:rPr>
          <w:rFonts w:cs="Arial"/>
          <w:szCs w:val="22"/>
          <w:lang w:val="en-GB"/>
        </w:rPr>
      </w:pPr>
      <w:r w:rsidRPr="000A3AA8">
        <w:rPr>
          <w:rFonts w:cs="Arial"/>
          <w:szCs w:val="22"/>
          <w:lang w:val="en-GB"/>
        </w:rPr>
        <w:lastRenderedPageBreak/>
        <w:t>Key Issues for Nursing care</w:t>
      </w:r>
    </w:p>
    <w:p w14:paraId="44706B31" w14:textId="77777777" w:rsidR="00582119" w:rsidRDefault="00582119" w:rsidP="00582119">
      <w:pPr>
        <w:pStyle w:val="ListParagraph"/>
        <w:numPr>
          <w:ilvl w:val="0"/>
          <w:numId w:val="40"/>
        </w:numPr>
        <w:rPr>
          <w:lang w:val="en-GB"/>
        </w:rPr>
      </w:pPr>
      <w:r>
        <w:rPr>
          <w:lang w:val="en-GB"/>
        </w:rPr>
        <w:t>Sterile handling and/or reverse-isolation nursing techniques are essential to decrease the risk of nosocomial infection</w:t>
      </w:r>
    </w:p>
    <w:p w14:paraId="27CD1669" w14:textId="77777777" w:rsidR="00582119" w:rsidRDefault="00582119" w:rsidP="00582119">
      <w:pPr>
        <w:pStyle w:val="ListParagraph"/>
        <w:numPr>
          <w:ilvl w:val="0"/>
          <w:numId w:val="40"/>
        </w:numPr>
        <w:rPr>
          <w:lang w:val="en-GB"/>
        </w:rPr>
      </w:pPr>
      <w:r>
        <w:rPr>
          <w:lang w:val="en-GB"/>
        </w:rPr>
        <w:t>Daily ocular and mouth hygiene</w:t>
      </w:r>
    </w:p>
    <w:p w14:paraId="01E18B4C" w14:textId="77777777" w:rsidR="00582119" w:rsidRPr="00582119" w:rsidRDefault="00582119" w:rsidP="00582119">
      <w:pPr>
        <w:pStyle w:val="ListParagraph"/>
        <w:numPr>
          <w:ilvl w:val="0"/>
          <w:numId w:val="40"/>
        </w:numPr>
        <w:rPr>
          <w:lang w:val="en-GB"/>
        </w:rPr>
      </w:pPr>
      <w:r>
        <w:rPr>
          <w:lang w:val="en-GB"/>
        </w:rPr>
        <w:t>Effective and timely skin care</w:t>
      </w:r>
    </w:p>
    <w:p w14:paraId="44A98B38" w14:textId="77777777" w:rsidR="00F03F25" w:rsidRPr="00AF304F" w:rsidRDefault="00F03F25" w:rsidP="00BD6E01">
      <w:pPr>
        <w:pStyle w:val="Heading2"/>
        <w:spacing w:after="120"/>
        <w:rPr>
          <w:rFonts w:cs="Arial"/>
          <w:szCs w:val="24"/>
          <w:lang w:val="en-GB"/>
        </w:rPr>
      </w:pPr>
      <w:r w:rsidRPr="00AF304F">
        <w:rPr>
          <w:rFonts w:cs="Arial"/>
          <w:szCs w:val="24"/>
          <w:lang w:val="en-GB"/>
        </w:rPr>
        <w:t>References</w:t>
      </w:r>
    </w:p>
    <w:p w14:paraId="374ECE6B" w14:textId="77777777" w:rsidR="005C0D3C" w:rsidRPr="00AF304F" w:rsidRDefault="007C0DC5" w:rsidP="00BD6E01">
      <w:pPr>
        <w:numPr>
          <w:ilvl w:val="0"/>
          <w:numId w:val="41"/>
        </w:numPr>
        <w:spacing w:before="100" w:beforeAutospacing="1" w:after="100" w:afterAutospacing="1"/>
        <w:ind w:left="240"/>
        <w:outlineLvl w:val="9"/>
        <w:rPr>
          <w:rFonts w:eastAsia="Times New Roman"/>
          <w:color w:val="000000" w:themeColor="text1"/>
          <w:sz w:val="20"/>
          <w:szCs w:val="20"/>
          <w:lang w:val="en-GB" w:eastAsia="en-GB"/>
        </w:rPr>
      </w:pPr>
      <w:hyperlink r:id="rId7" w:history="1">
        <w:r w:rsidR="005C0D3C" w:rsidRPr="00AF304F">
          <w:rPr>
            <w:rFonts w:eastAsia="Times New Roman"/>
            <w:color w:val="000000" w:themeColor="text1"/>
            <w:sz w:val="20"/>
            <w:szCs w:val="20"/>
            <w:lang w:val="en-GB" w:eastAsia="en-GB"/>
          </w:rPr>
          <w:t>Bastuji-Garin S, Rzany B, Stern RS, et al. Clinical classification of cases of toxic epidermal necrolysis, Stevens-Johnson syndrome, and erythema multiforme. Arch Dermatol 1993; 129:92.</w:t>
        </w:r>
      </w:hyperlink>
    </w:p>
    <w:p w14:paraId="6551BF01" w14:textId="77777777" w:rsidR="005C0D3C" w:rsidRPr="00AF304F" w:rsidRDefault="007C0DC5" w:rsidP="005C0D3C">
      <w:pPr>
        <w:numPr>
          <w:ilvl w:val="0"/>
          <w:numId w:val="41"/>
        </w:numPr>
        <w:spacing w:before="100" w:beforeAutospacing="1" w:after="100" w:afterAutospacing="1"/>
        <w:ind w:left="240"/>
        <w:outlineLvl w:val="9"/>
        <w:rPr>
          <w:rFonts w:eastAsia="Times New Roman"/>
          <w:color w:val="000000" w:themeColor="text1"/>
          <w:sz w:val="20"/>
          <w:szCs w:val="20"/>
          <w:lang w:val="en-GB" w:eastAsia="en-GB"/>
        </w:rPr>
      </w:pPr>
      <w:hyperlink r:id="rId8" w:history="1">
        <w:r w:rsidR="005C0D3C" w:rsidRPr="00AF304F">
          <w:rPr>
            <w:rFonts w:eastAsia="Times New Roman"/>
            <w:color w:val="000000" w:themeColor="text1"/>
            <w:sz w:val="20"/>
            <w:szCs w:val="20"/>
            <w:lang w:val="en-GB" w:eastAsia="en-GB"/>
          </w:rPr>
          <w:t>Creamer D, Walsh SA, Dziewulski P, et al. U.K. guidelines for the management of Stevens-Johnson syndrome/toxic epidermal necrolysis in adults 2016. Br J Dermatol 2016; 174:1194.</w:t>
        </w:r>
      </w:hyperlink>
    </w:p>
    <w:p w14:paraId="0C1964EE" w14:textId="77777777" w:rsidR="005C0D3C" w:rsidRPr="00AF304F" w:rsidRDefault="007C0DC5" w:rsidP="005C0D3C">
      <w:pPr>
        <w:numPr>
          <w:ilvl w:val="0"/>
          <w:numId w:val="41"/>
        </w:numPr>
        <w:spacing w:before="100" w:beforeAutospacing="1" w:after="100" w:afterAutospacing="1"/>
        <w:ind w:left="240"/>
        <w:outlineLvl w:val="9"/>
        <w:rPr>
          <w:rFonts w:eastAsia="Times New Roman"/>
          <w:color w:val="000000" w:themeColor="text1"/>
          <w:sz w:val="20"/>
          <w:szCs w:val="20"/>
          <w:lang w:val="en-GB" w:eastAsia="en-GB"/>
        </w:rPr>
      </w:pPr>
      <w:hyperlink r:id="rId9" w:history="1">
        <w:r w:rsidR="005C0D3C" w:rsidRPr="00AF304F">
          <w:rPr>
            <w:rFonts w:eastAsia="Times New Roman"/>
            <w:color w:val="000000" w:themeColor="text1"/>
            <w:sz w:val="20"/>
            <w:szCs w:val="20"/>
            <w:lang w:val="en-GB" w:eastAsia="en-GB"/>
          </w:rPr>
          <w:t>Harr T, French LE. Toxic epidermal necrolysis and Stevens-Johnson syndrome. Orphanet J Rare Dis 2010; 5:39.</w:t>
        </w:r>
      </w:hyperlink>
    </w:p>
    <w:p w14:paraId="4541B097" w14:textId="77777777" w:rsidR="005C0D3C" w:rsidRPr="00AF304F" w:rsidRDefault="007C0DC5" w:rsidP="005C0D3C">
      <w:pPr>
        <w:numPr>
          <w:ilvl w:val="0"/>
          <w:numId w:val="41"/>
        </w:numPr>
        <w:spacing w:before="100" w:beforeAutospacing="1" w:after="100" w:afterAutospacing="1"/>
        <w:ind w:left="240"/>
        <w:outlineLvl w:val="9"/>
        <w:rPr>
          <w:rFonts w:eastAsia="Times New Roman"/>
          <w:color w:val="000000" w:themeColor="text1"/>
          <w:sz w:val="20"/>
          <w:szCs w:val="20"/>
          <w:lang w:val="en-GB" w:eastAsia="en-GB"/>
        </w:rPr>
      </w:pPr>
      <w:hyperlink r:id="rId10" w:history="1">
        <w:r w:rsidR="005C0D3C" w:rsidRPr="00AF304F">
          <w:rPr>
            <w:rFonts w:eastAsia="Times New Roman"/>
            <w:color w:val="000000" w:themeColor="text1"/>
            <w:sz w:val="20"/>
            <w:szCs w:val="20"/>
            <w:lang w:val="en-GB" w:eastAsia="en-GB"/>
          </w:rPr>
          <w:t>Bastuji-Garin S, Fouchard N, Bertocchi M, et al. SCORTEN: a severity-of-illness score for toxic epidermal necrolysis. J Invest Dermatol 2000; 115:149.</w:t>
        </w:r>
      </w:hyperlink>
    </w:p>
    <w:p w14:paraId="04205831" w14:textId="77777777" w:rsidR="005C0D3C" w:rsidRPr="00AF304F" w:rsidRDefault="005C0D3C" w:rsidP="005C0D3C">
      <w:pPr>
        <w:numPr>
          <w:ilvl w:val="0"/>
          <w:numId w:val="41"/>
        </w:numPr>
        <w:spacing w:before="100" w:beforeAutospacing="1" w:after="100" w:afterAutospacing="1"/>
        <w:ind w:left="240"/>
        <w:outlineLvl w:val="9"/>
        <w:rPr>
          <w:rFonts w:eastAsia="Times New Roman"/>
          <w:color w:val="000000" w:themeColor="text1"/>
          <w:sz w:val="20"/>
          <w:szCs w:val="20"/>
          <w:lang w:val="en-GB" w:eastAsia="en-GB"/>
        </w:rPr>
      </w:pPr>
      <w:r w:rsidRPr="00AF304F">
        <w:rPr>
          <w:bCs/>
          <w:sz w:val="20"/>
          <w:szCs w:val="20"/>
          <w:lang w:val="en-GB"/>
        </w:rPr>
        <w:t>UK guidelines for the management of Stevens-Johnson syndrome/toxic epidermal necrolysis 2016</w:t>
      </w:r>
      <w:r w:rsidRPr="00AF304F">
        <w:rPr>
          <w:rFonts w:eastAsia="Times New Roman"/>
          <w:color w:val="000000" w:themeColor="text1"/>
          <w:sz w:val="20"/>
          <w:szCs w:val="20"/>
          <w:lang w:val="en-GB" w:eastAsia="en-GB"/>
        </w:rPr>
        <w:t xml:space="preserve"> </w:t>
      </w:r>
      <w:r w:rsidRPr="00AF304F">
        <w:rPr>
          <w:sz w:val="20"/>
          <w:szCs w:val="20"/>
          <w:lang w:val="en-GB"/>
        </w:rPr>
        <w:t>Creamer D, Walsh SA , Dziewulski P, Exton LS, Lee HY, Dart JKG, Setterfield J, Bunker CB, Ardern-Jones MR, Watson KMT,Wong GAE, Philippidou M, Vercueil A, Martin RV, Williams G, Shah M, Brown D, Williams P, Mohd Mustapa MF, Smith CH.</w:t>
      </w:r>
    </w:p>
    <w:p w14:paraId="67E40047" w14:textId="77777777" w:rsidR="005C0D3C" w:rsidRPr="00AF304F" w:rsidRDefault="005C0D3C" w:rsidP="005C0D3C">
      <w:pPr>
        <w:numPr>
          <w:ilvl w:val="0"/>
          <w:numId w:val="41"/>
        </w:numPr>
        <w:spacing w:before="100" w:beforeAutospacing="1" w:after="100" w:afterAutospacing="1"/>
        <w:ind w:left="240"/>
        <w:outlineLvl w:val="9"/>
        <w:rPr>
          <w:rFonts w:eastAsia="Times New Roman"/>
          <w:color w:val="000000" w:themeColor="text1"/>
          <w:sz w:val="20"/>
          <w:szCs w:val="20"/>
          <w:lang w:val="en-GB" w:eastAsia="en-GB"/>
        </w:rPr>
      </w:pPr>
      <w:r w:rsidRPr="00AF304F">
        <w:rPr>
          <w:i/>
          <w:iCs/>
          <w:sz w:val="20"/>
          <w:szCs w:val="20"/>
          <w:lang w:val="en-GB"/>
        </w:rPr>
        <w:t xml:space="preserve">Br J Dermatol </w:t>
      </w:r>
      <w:r w:rsidRPr="00AF304F">
        <w:rPr>
          <w:b/>
          <w:bCs/>
          <w:sz w:val="20"/>
          <w:szCs w:val="20"/>
          <w:lang w:val="en-GB"/>
        </w:rPr>
        <w:t>2016</w:t>
      </w:r>
      <w:r w:rsidRPr="00AF304F">
        <w:rPr>
          <w:sz w:val="20"/>
          <w:szCs w:val="20"/>
          <w:lang w:val="en-GB"/>
        </w:rPr>
        <w:t xml:space="preserve">; 174: 1194-1227 &amp; </w:t>
      </w:r>
      <w:r w:rsidRPr="00AF304F">
        <w:rPr>
          <w:i/>
          <w:iCs/>
          <w:sz w:val="20"/>
          <w:szCs w:val="20"/>
          <w:lang w:val="en-GB"/>
        </w:rPr>
        <w:t xml:space="preserve">J Plast Reconstr Aesthet Surg </w:t>
      </w:r>
      <w:r w:rsidRPr="00AF304F">
        <w:rPr>
          <w:b/>
          <w:bCs/>
          <w:sz w:val="20"/>
          <w:szCs w:val="20"/>
          <w:lang w:val="en-GB"/>
        </w:rPr>
        <w:t>2016</w:t>
      </w:r>
      <w:r w:rsidRPr="00AF304F">
        <w:rPr>
          <w:sz w:val="20"/>
          <w:szCs w:val="20"/>
          <w:lang w:val="en-GB"/>
        </w:rPr>
        <w:t>; 69: e119e153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0A3AA8" w14:paraId="5A0AE5E7" w14:textId="77777777" w:rsidTr="00515546">
        <w:trPr>
          <w:trHeight w:val="20"/>
        </w:trPr>
        <w:tc>
          <w:tcPr>
            <w:tcW w:w="2139" w:type="dxa"/>
            <w:shd w:val="clear" w:color="auto" w:fill="auto"/>
            <w:vAlign w:val="bottom"/>
          </w:tcPr>
          <w:p w14:paraId="30EB91A4" w14:textId="77777777" w:rsidR="004C4442" w:rsidRPr="000A3AA8" w:rsidRDefault="004C4442" w:rsidP="00522C6C">
            <w:pPr>
              <w:spacing w:after="0"/>
              <w:rPr>
                <w:b/>
                <w:szCs w:val="22"/>
                <w:lang w:val="en-GB"/>
              </w:rPr>
            </w:pPr>
            <w:r w:rsidRPr="000A3AA8">
              <w:rPr>
                <w:b/>
                <w:szCs w:val="22"/>
                <w:lang w:val="en-GB"/>
              </w:rPr>
              <w:t>Written by:</w:t>
            </w:r>
          </w:p>
        </w:tc>
        <w:tc>
          <w:tcPr>
            <w:tcW w:w="3622" w:type="dxa"/>
            <w:shd w:val="clear" w:color="auto" w:fill="auto"/>
            <w:vAlign w:val="bottom"/>
          </w:tcPr>
          <w:p w14:paraId="583EFEFE" w14:textId="77777777" w:rsidR="004C4442" w:rsidRPr="000A3AA8" w:rsidRDefault="004C4442" w:rsidP="00522C6C">
            <w:pPr>
              <w:spacing w:after="0"/>
              <w:rPr>
                <w:szCs w:val="22"/>
                <w:lang w:val="en-GB"/>
              </w:rPr>
            </w:pPr>
            <w:r w:rsidRPr="000A3AA8">
              <w:rPr>
                <w:szCs w:val="22"/>
                <w:lang w:val="en-GB"/>
              </w:rPr>
              <w:t>Name</w:t>
            </w:r>
            <w:r w:rsidR="005638D0" w:rsidRPr="000A3AA8">
              <w:rPr>
                <w:szCs w:val="22"/>
                <w:lang w:val="en-GB"/>
              </w:rPr>
              <w:t xml:space="preserve">: </w:t>
            </w:r>
            <w:r w:rsidR="00BF3226">
              <w:rPr>
                <w:szCs w:val="22"/>
                <w:lang w:val="en-GB"/>
              </w:rPr>
              <w:t>Amie Secka</w:t>
            </w:r>
          </w:p>
        </w:tc>
        <w:tc>
          <w:tcPr>
            <w:tcW w:w="2869" w:type="dxa"/>
            <w:shd w:val="clear" w:color="auto" w:fill="auto"/>
            <w:vAlign w:val="bottom"/>
          </w:tcPr>
          <w:p w14:paraId="03C93BE1" w14:textId="77777777" w:rsidR="004C4442" w:rsidRPr="000A3AA8" w:rsidRDefault="004C4442" w:rsidP="00522C6C">
            <w:pPr>
              <w:spacing w:after="0"/>
              <w:rPr>
                <w:szCs w:val="22"/>
                <w:lang w:val="en-GB"/>
              </w:rPr>
            </w:pPr>
            <w:r w:rsidRPr="000A3AA8">
              <w:rPr>
                <w:szCs w:val="22"/>
                <w:lang w:val="en-GB"/>
              </w:rPr>
              <w:t xml:space="preserve">Date: </w:t>
            </w:r>
            <w:r w:rsidR="005C0D3C">
              <w:rPr>
                <w:szCs w:val="22"/>
                <w:lang w:val="en-GB"/>
              </w:rPr>
              <w:t>30 Nov</w:t>
            </w:r>
            <w:r w:rsidR="00753CA4">
              <w:rPr>
                <w:szCs w:val="22"/>
                <w:lang w:val="en-GB"/>
              </w:rPr>
              <w:t>ember</w:t>
            </w:r>
            <w:r w:rsidR="00BF3226">
              <w:rPr>
                <w:szCs w:val="22"/>
                <w:lang w:val="en-GB"/>
              </w:rPr>
              <w:t xml:space="preserve"> 2018</w:t>
            </w:r>
          </w:p>
        </w:tc>
      </w:tr>
      <w:tr w:rsidR="004C4442" w:rsidRPr="000A3AA8" w14:paraId="1562B409" w14:textId="77777777" w:rsidTr="00515546">
        <w:trPr>
          <w:trHeight w:val="20"/>
        </w:trPr>
        <w:tc>
          <w:tcPr>
            <w:tcW w:w="2139" w:type="dxa"/>
            <w:shd w:val="clear" w:color="auto" w:fill="auto"/>
            <w:vAlign w:val="bottom"/>
          </w:tcPr>
          <w:p w14:paraId="6F22AD7A" w14:textId="77777777" w:rsidR="004C4442" w:rsidRPr="000A3AA8" w:rsidRDefault="004C4442" w:rsidP="00522C6C">
            <w:pPr>
              <w:spacing w:after="0"/>
              <w:rPr>
                <w:b/>
                <w:szCs w:val="22"/>
                <w:lang w:val="en-GB"/>
              </w:rPr>
            </w:pPr>
            <w:r w:rsidRPr="000A3AA8">
              <w:rPr>
                <w:b/>
                <w:szCs w:val="22"/>
                <w:lang w:val="en-GB"/>
              </w:rPr>
              <w:t>Reviewed by:</w:t>
            </w:r>
          </w:p>
        </w:tc>
        <w:tc>
          <w:tcPr>
            <w:tcW w:w="3622" w:type="dxa"/>
            <w:shd w:val="clear" w:color="auto" w:fill="auto"/>
            <w:vAlign w:val="bottom"/>
          </w:tcPr>
          <w:p w14:paraId="20660401" w14:textId="77777777" w:rsidR="004C4442" w:rsidRPr="000A3AA8" w:rsidRDefault="004C4442" w:rsidP="005C0D3C">
            <w:pPr>
              <w:spacing w:after="0"/>
              <w:rPr>
                <w:szCs w:val="22"/>
                <w:lang w:val="en-GB"/>
              </w:rPr>
            </w:pPr>
            <w:r w:rsidRPr="000A3AA8">
              <w:rPr>
                <w:szCs w:val="22"/>
                <w:lang w:val="en-GB"/>
              </w:rPr>
              <w:t xml:space="preserve">Name: </w:t>
            </w:r>
            <w:r w:rsidR="00753CA4">
              <w:rPr>
                <w:szCs w:val="22"/>
                <w:lang w:val="en-GB"/>
              </w:rPr>
              <w:t>Orighomisan Agboghoroma</w:t>
            </w:r>
          </w:p>
        </w:tc>
        <w:tc>
          <w:tcPr>
            <w:tcW w:w="2869" w:type="dxa"/>
            <w:shd w:val="clear" w:color="auto" w:fill="auto"/>
            <w:vAlign w:val="bottom"/>
          </w:tcPr>
          <w:p w14:paraId="04B45663" w14:textId="77777777" w:rsidR="004C4442" w:rsidRPr="000A3AA8" w:rsidRDefault="004C4442" w:rsidP="005C0D3C">
            <w:pPr>
              <w:spacing w:after="0"/>
              <w:rPr>
                <w:szCs w:val="22"/>
                <w:lang w:val="en-GB"/>
              </w:rPr>
            </w:pPr>
            <w:r w:rsidRPr="000A3AA8">
              <w:rPr>
                <w:szCs w:val="22"/>
                <w:lang w:val="en-GB"/>
              </w:rPr>
              <w:t xml:space="preserve">Date: </w:t>
            </w:r>
            <w:r w:rsidR="00753CA4">
              <w:rPr>
                <w:szCs w:val="22"/>
                <w:lang w:val="en-GB"/>
              </w:rPr>
              <w:t>0</w:t>
            </w:r>
            <w:r w:rsidR="0022195F">
              <w:rPr>
                <w:szCs w:val="22"/>
                <w:lang w:val="en-GB"/>
              </w:rPr>
              <w:t>6</w:t>
            </w:r>
            <w:r w:rsidR="00753CA4">
              <w:rPr>
                <w:szCs w:val="22"/>
                <w:lang w:val="en-GB"/>
              </w:rPr>
              <w:t xml:space="preserve"> December 2018 </w:t>
            </w:r>
          </w:p>
        </w:tc>
      </w:tr>
      <w:tr w:rsidR="004C4442" w:rsidRPr="000A3AA8" w14:paraId="5E1DB475" w14:textId="77777777" w:rsidTr="00515546">
        <w:trPr>
          <w:trHeight w:val="20"/>
        </w:trPr>
        <w:tc>
          <w:tcPr>
            <w:tcW w:w="2139" w:type="dxa"/>
            <w:shd w:val="clear" w:color="auto" w:fill="auto"/>
            <w:vAlign w:val="bottom"/>
          </w:tcPr>
          <w:p w14:paraId="06A18D39" w14:textId="77777777" w:rsidR="004C4442" w:rsidRPr="000A3AA8" w:rsidRDefault="004C4442" w:rsidP="00522C6C">
            <w:pPr>
              <w:spacing w:after="0"/>
              <w:rPr>
                <w:szCs w:val="22"/>
                <w:lang w:val="en-GB"/>
              </w:rPr>
            </w:pPr>
            <w:r w:rsidRPr="000A3AA8">
              <w:rPr>
                <w:b/>
                <w:szCs w:val="22"/>
                <w:lang w:val="en-GB"/>
              </w:rPr>
              <w:t>Version:</w:t>
            </w:r>
          </w:p>
        </w:tc>
        <w:tc>
          <w:tcPr>
            <w:tcW w:w="3622" w:type="dxa"/>
            <w:shd w:val="clear" w:color="auto" w:fill="auto"/>
            <w:vAlign w:val="bottom"/>
          </w:tcPr>
          <w:p w14:paraId="7EB36FE9" w14:textId="77777777" w:rsidR="004C4442" w:rsidRPr="000A3AA8" w:rsidRDefault="004C4442" w:rsidP="00522C6C">
            <w:pPr>
              <w:spacing w:after="0"/>
              <w:rPr>
                <w:szCs w:val="22"/>
                <w:lang w:val="en-GB"/>
              </w:rPr>
            </w:pPr>
            <w:r w:rsidRPr="000A3AA8">
              <w:rPr>
                <w:b/>
                <w:szCs w:val="22"/>
                <w:lang w:val="en-GB"/>
              </w:rPr>
              <w:t>Change history:</w:t>
            </w:r>
          </w:p>
        </w:tc>
        <w:tc>
          <w:tcPr>
            <w:tcW w:w="2869" w:type="dxa"/>
            <w:shd w:val="clear" w:color="auto" w:fill="auto"/>
            <w:vAlign w:val="bottom"/>
          </w:tcPr>
          <w:p w14:paraId="44D9444A" w14:textId="77777777" w:rsidR="004C4442" w:rsidRPr="000A3AA8" w:rsidRDefault="004C4442" w:rsidP="00522C6C">
            <w:pPr>
              <w:spacing w:after="0"/>
              <w:rPr>
                <w:b/>
                <w:szCs w:val="22"/>
                <w:lang w:val="en-GB"/>
              </w:rPr>
            </w:pPr>
            <w:r w:rsidRPr="000A3AA8">
              <w:rPr>
                <w:b/>
                <w:szCs w:val="22"/>
                <w:lang w:val="en-GB"/>
              </w:rPr>
              <w:t>Review due date:</w:t>
            </w:r>
          </w:p>
        </w:tc>
      </w:tr>
      <w:tr w:rsidR="004C4442" w:rsidRPr="000A3AA8" w14:paraId="1F5EE439" w14:textId="77777777" w:rsidTr="00515546">
        <w:trPr>
          <w:trHeight w:val="20"/>
        </w:trPr>
        <w:tc>
          <w:tcPr>
            <w:tcW w:w="2139" w:type="dxa"/>
            <w:shd w:val="clear" w:color="auto" w:fill="auto"/>
            <w:vAlign w:val="bottom"/>
          </w:tcPr>
          <w:p w14:paraId="34A0C3B9" w14:textId="77777777" w:rsidR="004C4442" w:rsidRPr="000A3AA8" w:rsidRDefault="004C4442" w:rsidP="00522C6C">
            <w:pPr>
              <w:spacing w:after="0"/>
              <w:rPr>
                <w:szCs w:val="22"/>
                <w:lang w:val="en-GB"/>
              </w:rPr>
            </w:pPr>
            <w:r w:rsidRPr="000A3AA8">
              <w:rPr>
                <w:szCs w:val="22"/>
                <w:lang w:val="en-GB"/>
              </w:rPr>
              <w:t>1.0</w:t>
            </w:r>
          </w:p>
        </w:tc>
        <w:tc>
          <w:tcPr>
            <w:tcW w:w="3622" w:type="dxa"/>
            <w:shd w:val="clear" w:color="auto" w:fill="auto"/>
            <w:vAlign w:val="bottom"/>
          </w:tcPr>
          <w:p w14:paraId="1681542B" w14:textId="77777777" w:rsidR="004C4442" w:rsidRPr="000A3AA8" w:rsidRDefault="004C4442" w:rsidP="00522C6C">
            <w:pPr>
              <w:spacing w:after="0"/>
              <w:rPr>
                <w:szCs w:val="22"/>
                <w:lang w:val="en-GB"/>
              </w:rPr>
            </w:pPr>
            <w:r w:rsidRPr="000A3AA8">
              <w:rPr>
                <w:szCs w:val="22"/>
                <w:lang w:val="en-GB"/>
              </w:rPr>
              <w:t>New document</w:t>
            </w:r>
          </w:p>
        </w:tc>
        <w:tc>
          <w:tcPr>
            <w:tcW w:w="2869" w:type="dxa"/>
            <w:shd w:val="clear" w:color="auto" w:fill="auto"/>
            <w:vAlign w:val="bottom"/>
          </w:tcPr>
          <w:p w14:paraId="7A86C5CB" w14:textId="77777777" w:rsidR="004C4442" w:rsidRPr="000A3AA8" w:rsidRDefault="00305F2C" w:rsidP="00522C6C">
            <w:pPr>
              <w:spacing w:after="0"/>
              <w:rPr>
                <w:szCs w:val="22"/>
                <w:lang w:val="en-GB"/>
              </w:rPr>
            </w:pPr>
            <w:r>
              <w:rPr>
                <w:szCs w:val="22"/>
                <w:lang w:val="en-GB"/>
              </w:rPr>
              <w:t>31 January</w:t>
            </w:r>
            <w:r w:rsidR="00753CA4">
              <w:rPr>
                <w:szCs w:val="22"/>
                <w:lang w:val="en-GB"/>
              </w:rPr>
              <w:t xml:space="preserve"> 20</w:t>
            </w:r>
            <w:r>
              <w:rPr>
                <w:szCs w:val="22"/>
                <w:lang w:val="en-GB"/>
              </w:rPr>
              <w:t>21</w:t>
            </w:r>
          </w:p>
        </w:tc>
      </w:tr>
      <w:tr w:rsidR="005B0BA2" w:rsidRPr="000A3AA8" w14:paraId="55372EB6" w14:textId="77777777" w:rsidTr="00515546">
        <w:trPr>
          <w:trHeight w:val="20"/>
        </w:trPr>
        <w:tc>
          <w:tcPr>
            <w:tcW w:w="2139" w:type="dxa"/>
            <w:shd w:val="clear" w:color="auto" w:fill="auto"/>
            <w:vAlign w:val="bottom"/>
          </w:tcPr>
          <w:p w14:paraId="09628C88" w14:textId="440961ED" w:rsidR="005B0BA2" w:rsidRPr="000A3AA8" w:rsidRDefault="005B0BA2" w:rsidP="00522C6C">
            <w:pPr>
              <w:spacing w:after="0"/>
              <w:rPr>
                <w:szCs w:val="22"/>
                <w:lang w:val="en-GB"/>
              </w:rPr>
            </w:pPr>
            <w:r>
              <w:rPr>
                <w:szCs w:val="22"/>
                <w:lang w:val="en-GB"/>
              </w:rPr>
              <w:t>1.1</w:t>
            </w:r>
          </w:p>
        </w:tc>
        <w:tc>
          <w:tcPr>
            <w:tcW w:w="3622" w:type="dxa"/>
            <w:shd w:val="clear" w:color="auto" w:fill="auto"/>
            <w:vAlign w:val="bottom"/>
          </w:tcPr>
          <w:p w14:paraId="24B5F35B" w14:textId="306E2B59" w:rsidR="005B0BA2" w:rsidRPr="000A3AA8" w:rsidRDefault="005B0BA2" w:rsidP="00522C6C">
            <w:pPr>
              <w:spacing w:after="0"/>
              <w:rPr>
                <w:szCs w:val="22"/>
                <w:lang w:val="en-GB"/>
              </w:rPr>
            </w:pPr>
            <w:r>
              <w:rPr>
                <w:szCs w:val="22"/>
                <w:lang w:val="en-GB"/>
              </w:rPr>
              <w:t>Executive summary added</w:t>
            </w:r>
          </w:p>
        </w:tc>
        <w:tc>
          <w:tcPr>
            <w:tcW w:w="2869" w:type="dxa"/>
            <w:shd w:val="clear" w:color="auto" w:fill="auto"/>
            <w:vAlign w:val="bottom"/>
          </w:tcPr>
          <w:p w14:paraId="7345BB81" w14:textId="47ADBFE4" w:rsidR="005B0BA2" w:rsidRDefault="005B0BA2" w:rsidP="00522C6C">
            <w:pPr>
              <w:spacing w:after="0"/>
              <w:rPr>
                <w:szCs w:val="22"/>
                <w:lang w:val="en-GB"/>
              </w:rPr>
            </w:pPr>
            <w:r>
              <w:rPr>
                <w:szCs w:val="22"/>
                <w:lang w:val="en-GB"/>
              </w:rPr>
              <w:t>31 January 2021</w:t>
            </w:r>
          </w:p>
        </w:tc>
      </w:tr>
      <w:tr w:rsidR="005638D0" w:rsidRPr="000A3AA8" w14:paraId="4C7D4685" w14:textId="77777777" w:rsidTr="00515546">
        <w:trPr>
          <w:trHeight w:val="20"/>
        </w:trPr>
        <w:tc>
          <w:tcPr>
            <w:tcW w:w="2139" w:type="dxa"/>
            <w:shd w:val="clear" w:color="auto" w:fill="auto"/>
            <w:vAlign w:val="bottom"/>
          </w:tcPr>
          <w:p w14:paraId="166632B4" w14:textId="77777777" w:rsidR="005638D0" w:rsidRPr="000A3AA8" w:rsidRDefault="005638D0" w:rsidP="005638D0">
            <w:pPr>
              <w:spacing w:after="0"/>
              <w:rPr>
                <w:szCs w:val="22"/>
                <w:lang w:val="en-GB"/>
              </w:rPr>
            </w:pPr>
            <w:r w:rsidRPr="000A3AA8">
              <w:rPr>
                <w:szCs w:val="22"/>
                <w:lang w:val="en-GB"/>
              </w:rPr>
              <w:t>Review Comments (</w:t>
            </w:r>
            <w:r w:rsidRPr="000A3AA8">
              <w:rPr>
                <w:i/>
                <w:szCs w:val="22"/>
                <w:lang w:val="en-GB"/>
              </w:rPr>
              <w:t>if applicable)</w:t>
            </w:r>
          </w:p>
        </w:tc>
        <w:tc>
          <w:tcPr>
            <w:tcW w:w="3622" w:type="dxa"/>
            <w:shd w:val="clear" w:color="auto" w:fill="auto"/>
            <w:vAlign w:val="bottom"/>
          </w:tcPr>
          <w:p w14:paraId="69B3EE9E" w14:textId="77777777" w:rsidR="005638D0" w:rsidRPr="000A3AA8" w:rsidRDefault="005638D0" w:rsidP="005638D0">
            <w:pPr>
              <w:spacing w:after="0"/>
              <w:rPr>
                <w:szCs w:val="22"/>
                <w:lang w:val="en-GB"/>
              </w:rPr>
            </w:pPr>
          </w:p>
        </w:tc>
        <w:tc>
          <w:tcPr>
            <w:tcW w:w="2869" w:type="dxa"/>
            <w:shd w:val="clear" w:color="auto" w:fill="auto"/>
            <w:vAlign w:val="bottom"/>
          </w:tcPr>
          <w:p w14:paraId="36D60B53" w14:textId="77777777" w:rsidR="005638D0" w:rsidRPr="000A3AA8" w:rsidRDefault="005638D0" w:rsidP="005638D0">
            <w:pPr>
              <w:spacing w:after="0"/>
              <w:rPr>
                <w:b/>
                <w:szCs w:val="22"/>
                <w:lang w:val="en-GB"/>
              </w:rPr>
            </w:pPr>
          </w:p>
        </w:tc>
      </w:tr>
    </w:tbl>
    <w:p w14:paraId="7D072E36" w14:textId="77777777" w:rsidR="00975A60" w:rsidRPr="000A3AA8" w:rsidRDefault="00975A60" w:rsidP="00975A60">
      <w:pPr>
        <w:rPr>
          <w:szCs w:val="22"/>
          <w:lang w:val="en-GB"/>
        </w:rPr>
      </w:pPr>
    </w:p>
    <w:sectPr w:rsidR="00975A60" w:rsidRPr="000A3AA8" w:rsidSect="00D13825">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2D2FE" w14:textId="77777777" w:rsidR="00E821DF" w:rsidRDefault="00E821DF" w:rsidP="00975A60">
      <w:pPr>
        <w:spacing w:after="0"/>
      </w:pPr>
      <w:r>
        <w:separator/>
      </w:r>
    </w:p>
  </w:endnote>
  <w:endnote w:type="continuationSeparator" w:id="0">
    <w:p w14:paraId="2C808B91" w14:textId="77777777" w:rsidR="00E821DF" w:rsidRDefault="00E821DF" w:rsidP="00975A60">
      <w:pPr>
        <w:spacing w:after="0"/>
      </w:pPr>
      <w:r>
        <w:continuationSeparator/>
      </w:r>
    </w:p>
  </w:endnote>
  <w:endnote w:type="continuationNotice" w:id="1">
    <w:p w14:paraId="2D5DB852" w14:textId="77777777" w:rsidR="007C0DC5" w:rsidRDefault="007C0DC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140A7" w14:textId="77777777" w:rsidR="005D1877" w:rsidRDefault="00E41190" w:rsidP="00975A60">
    <w:pPr>
      <w:pStyle w:val="Footer"/>
      <w:framePr w:wrap="around" w:vAnchor="text" w:hAnchor="margin" w:xAlign="center" w:y="1"/>
      <w:rPr>
        <w:rStyle w:val="PageNumber"/>
      </w:rPr>
    </w:pPr>
    <w:r>
      <w:rPr>
        <w:rStyle w:val="PageNumber"/>
      </w:rPr>
      <w:fldChar w:fldCharType="begin"/>
    </w:r>
    <w:r w:rsidR="005D1877">
      <w:rPr>
        <w:rStyle w:val="PageNumber"/>
      </w:rPr>
      <w:instrText xml:space="preserve">PAGE  </w:instrText>
    </w:r>
    <w:r>
      <w:rPr>
        <w:rStyle w:val="PageNumber"/>
      </w:rPr>
      <w:fldChar w:fldCharType="end"/>
    </w:r>
  </w:p>
  <w:p w14:paraId="4E1A1E2F"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F3A55" w14:textId="77777777" w:rsidR="005D1877" w:rsidRPr="003A02A5" w:rsidRDefault="005D1877" w:rsidP="00975A60">
    <w:pPr>
      <w:pStyle w:val="Footer"/>
      <w:jc w:val="center"/>
    </w:pPr>
    <w:r w:rsidRPr="003A02A5">
      <w:rPr>
        <w:rStyle w:val="PageNumber"/>
      </w:rPr>
      <w:t xml:space="preserve">Page </w:t>
    </w:r>
    <w:r w:rsidR="00E41190" w:rsidRPr="003A02A5">
      <w:rPr>
        <w:rStyle w:val="PageNumber"/>
      </w:rPr>
      <w:fldChar w:fldCharType="begin"/>
    </w:r>
    <w:r w:rsidRPr="003A02A5">
      <w:rPr>
        <w:rStyle w:val="PageNumber"/>
      </w:rPr>
      <w:instrText xml:space="preserve"> PAGE </w:instrText>
    </w:r>
    <w:r w:rsidR="00E41190" w:rsidRPr="003A02A5">
      <w:rPr>
        <w:rStyle w:val="PageNumber"/>
      </w:rPr>
      <w:fldChar w:fldCharType="separate"/>
    </w:r>
    <w:r w:rsidR="005C0D3C">
      <w:rPr>
        <w:rStyle w:val="PageNumber"/>
        <w:noProof/>
      </w:rPr>
      <w:t>7</w:t>
    </w:r>
    <w:r w:rsidR="00E41190" w:rsidRPr="003A02A5">
      <w:rPr>
        <w:rStyle w:val="PageNumber"/>
      </w:rPr>
      <w:fldChar w:fldCharType="end"/>
    </w:r>
    <w:r w:rsidRPr="003A02A5">
      <w:rPr>
        <w:rStyle w:val="PageNumber"/>
      </w:rPr>
      <w:t xml:space="preserve"> of </w:t>
    </w:r>
    <w:r w:rsidR="00E41190" w:rsidRPr="003A02A5">
      <w:rPr>
        <w:rStyle w:val="PageNumber"/>
      </w:rPr>
      <w:fldChar w:fldCharType="begin"/>
    </w:r>
    <w:r w:rsidRPr="003A02A5">
      <w:rPr>
        <w:rStyle w:val="PageNumber"/>
      </w:rPr>
      <w:instrText xml:space="preserve"> NUMPAGES </w:instrText>
    </w:r>
    <w:r w:rsidR="00E41190" w:rsidRPr="003A02A5">
      <w:rPr>
        <w:rStyle w:val="PageNumber"/>
      </w:rPr>
      <w:fldChar w:fldCharType="separate"/>
    </w:r>
    <w:r w:rsidR="005C0D3C">
      <w:rPr>
        <w:rStyle w:val="PageNumber"/>
        <w:noProof/>
      </w:rPr>
      <w:t>7</w:t>
    </w:r>
    <w:r w:rsidR="00E41190"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2734E" w14:textId="77777777" w:rsidR="00D13825" w:rsidRDefault="00D13825" w:rsidP="00D13825">
    <w:pPr>
      <w:pStyle w:val="Footer"/>
      <w:jc w:val="center"/>
    </w:pPr>
    <w:r w:rsidRPr="003A02A5">
      <w:rPr>
        <w:rStyle w:val="PageNumber"/>
      </w:rPr>
      <w:t xml:space="preserve">Page </w:t>
    </w:r>
    <w:r w:rsidR="00E41190" w:rsidRPr="003A02A5">
      <w:rPr>
        <w:rStyle w:val="PageNumber"/>
      </w:rPr>
      <w:fldChar w:fldCharType="begin"/>
    </w:r>
    <w:r w:rsidRPr="003A02A5">
      <w:rPr>
        <w:rStyle w:val="PageNumber"/>
      </w:rPr>
      <w:instrText xml:space="preserve"> PAGE </w:instrText>
    </w:r>
    <w:r w:rsidR="00E41190" w:rsidRPr="003A02A5">
      <w:rPr>
        <w:rStyle w:val="PageNumber"/>
      </w:rPr>
      <w:fldChar w:fldCharType="separate"/>
    </w:r>
    <w:r w:rsidR="005C0D3C">
      <w:rPr>
        <w:rStyle w:val="PageNumber"/>
        <w:noProof/>
      </w:rPr>
      <w:t>1</w:t>
    </w:r>
    <w:r w:rsidR="00E41190" w:rsidRPr="003A02A5">
      <w:rPr>
        <w:rStyle w:val="PageNumber"/>
      </w:rPr>
      <w:fldChar w:fldCharType="end"/>
    </w:r>
    <w:r w:rsidRPr="003A02A5">
      <w:rPr>
        <w:rStyle w:val="PageNumber"/>
      </w:rPr>
      <w:t xml:space="preserve"> of </w:t>
    </w:r>
    <w:r w:rsidR="00E41190" w:rsidRPr="003A02A5">
      <w:rPr>
        <w:rStyle w:val="PageNumber"/>
      </w:rPr>
      <w:fldChar w:fldCharType="begin"/>
    </w:r>
    <w:r w:rsidRPr="003A02A5">
      <w:rPr>
        <w:rStyle w:val="PageNumber"/>
      </w:rPr>
      <w:instrText xml:space="preserve"> NUMPAGES </w:instrText>
    </w:r>
    <w:r w:rsidR="00E41190" w:rsidRPr="003A02A5">
      <w:rPr>
        <w:rStyle w:val="PageNumber"/>
      </w:rPr>
      <w:fldChar w:fldCharType="separate"/>
    </w:r>
    <w:r w:rsidR="005C0D3C">
      <w:rPr>
        <w:rStyle w:val="PageNumber"/>
        <w:noProof/>
      </w:rPr>
      <w:t>6</w:t>
    </w:r>
    <w:r w:rsidR="00E41190"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AE5D3" w14:textId="77777777" w:rsidR="00E821DF" w:rsidRDefault="00E821DF" w:rsidP="00975A60">
      <w:pPr>
        <w:spacing w:after="0"/>
      </w:pPr>
      <w:r>
        <w:separator/>
      </w:r>
    </w:p>
  </w:footnote>
  <w:footnote w:type="continuationSeparator" w:id="0">
    <w:p w14:paraId="440F02ED" w14:textId="77777777" w:rsidR="00E821DF" w:rsidRDefault="00E821DF" w:rsidP="00975A60">
      <w:pPr>
        <w:spacing w:after="0"/>
      </w:pPr>
      <w:r>
        <w:continuationSeparator/>
      </w:r>
    </w:p>
  </w:footnote>
  <w:footnote w:type="continuationNotice" w:id="1">
    <w:p w14:paraId="0CBD8BE8" w14:textId="77777777" w:rsidR="007C0DC5" w:rsidRDefault="007C0DC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0D265" w14:textId="77777777" w:rsidR="005B0BA2" w:rsidRDefault="005B0B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0DBD1" w14:textId="77777777" w:rsidR="00BF3226" w:rsidRPr="00BF3226" w:rsidRDefault="00BF3226" w:rsidP="00BF3226">
    <w:pPr>
      <w:pStyle w:val="Header"/>
    </w:pPr>
    <w:r w:rsidRPr="00BF3226">
      <w:t>Identification code: MeG-CLS-</w:t>
    </w:r>
    <w:r w:rsidR="0022195F">
      <w:t>0</w:t>
    </w:r>
    <w:r w:rsidR="00305F2C">
      <w:t>67</w:t>
    </w:r>
    <w:r w:rsidRPr="00BF3226">
      <w:tab/>
    </w:r>
  </w:p>
  <w:p w14:paraId="017D9E99" w14:textId="1C9B67F4" w:rsidR="00BF3226" w:rsidRPr="00BF3226" w:rsidRDefault="00BF3226" w:rsidP="00BF3226">
    <w:pPr>
      <w:pStyle w:val="Header"/>
    </w:pPr>
    <w:r w:rsidRPr="00BF3226">
      <w:t xml:space="preserve">Version: </w:t>
    </w:r>
    <w:r w:rsidR="0022195F">
      <w:t>1</w:t>
    </w:r>
    <w:r w:rsidRPr="00BF3226">
      <w:t>.</w:t>
    </w:r>
    <w:r w:rsidR="005B0BA2">
      <w:t>1</w:t>
    </w:r>
    <w:r w:rsidR="0064031D">
      <w:t xml:space="preserve"> </w:t>
    </w:r>
    <w:r w:rsidR="00305F2C">
      <w:t>–</w:t>
    </w:r>
    <w:r w:rsidR="0064031D">
      <w:t xml:space="preserve"> </w:t>
    </w:r>
    <w:r w:rsidR="00305F2C">
      <w:t>31 January 2019</w:t>
    </w:r>
  </w:p>
  <w:p w14:paraId="4B39F380" w14:textId="77777777" w:rsidR="005D1877" w:rsidRPr="00BF3226" w:rsidRDefault="005D1877" w:rsidP="00BF32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31265"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58240" behindDoc="1" locked="0" layoutInCell="1" allowOverlap="1" wp14:anchorId="0DE30809" wp14:editId="59B80262">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anchor>
      </w:drawing>
    </w:r>
  </w:p>
  <w:p w14:paraId="31656B42"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1AD09028" w14:textId="77777777" w:rsidR="00D13825" w:rsidRPr="003C0800" w:rsidRDefault="00D13825" w:rsidP="00D13825">
    <w:pPr>
      <w:pStyle w:val="Header"/>
      <w:ind w:firstLine="2880"/>
      <w:rPr>
        <w:rFonts w:cs="Arial"/>
        <w:b/>
      </w:rPr>
    </w:pPr>
  </w:p>
  <w:p w14:paraId="4E370574" w14:textId="77777777" w:rsidR="00D13825" w:rsidRPr="00BF3226" w:rsidRDefault="00D13825" w:rsidP="00D13825">
    <w:pPr>
      <w:pStyle w:val="Header"/>
    </w:pPr>
    <w:r w:rsidRPr="00BF3226">
      <w:t>Identification code: MeG-CLS</w:t>
    </w:r>
    <w:r w:rsidR="000A3AA8" w:rsidRPr="00BF3226">
      <w:t>-</w:t>
    </w:r>
    <w:r w:rsidR="00305F2C">
      <w:t>067</w:t>
    </w:r>
    <w:r w:rsidRPr="00BF3226">
      <w:tab/>
    </w:r>
  </w:p>
  <w:p w14:paraId="2FD91273" w14:textId="58BBA570" w:rsidR="00D13825" w:rsidRPr="00BF3226" w:rsidRDefault="00D13825" w:rsidP="00D13825">
    <w:pPr>
      <w:pStyle w:val="Header"/>
    </w:pPr>
    <w:r w:rsidRPr="00BF3226">
      <w:t xml:space="preserve">Version: </w:t>
    </w:r>
    <w:r w:rsidR="0022195F">
      <w:t>1</w:t>
    </w:r>
    <w:r w:rsidR="000A3AA8" w:rsidRPr="00BF3226">
      <w:t>.</w:t>
    </w:r>
    <w:r w:rsidR="005B0BA2">
      <w:t>1</w:t>
    </w:r>
    <w:r w:rsidR="0064031D">
      <w:t xml:space="preserve"> </w:t>
    </w:r>
    <w:r w:rsidR="00305F2C">
      <w:t>–</w:t>
    </w:r>
    <w:r w:rsidR="0064031D">
      <w:t xml:space="preserve"> </w:t>
    </w:r>
    <w:r w:rsidR="00305F2C">
      <w:t>31 January 2019</w:t>
    </w:r>
  </w:p>
  <w:p w14:paraId="35A5A16A"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8802AD2"/>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DD56D702"/>
    <w:lvl w:ilvl="0">
      <w:start w:val="1"/>
      <w:numFmt w:val="decimal"/>
      <w:lvlText w:val="%1."/>
      <w:lvlJc w:val="left"/>
      <w:pPr>
        <w:tabs>
          <w:tab w:val="num" w:pos="643"/>
        </w:tabs>
        <w:ind w:left="643" w:hanging="360"/>
      </w:pPr>
    </w:lvl>
  </w:abstractNum>
  <w:abstractNum w:abstractNumId="2" w15:restartNumberingAfterBreak="0">
    <w:nsid w:val="015E2024"/>
    <w:multiLevelType w:val="hybridMultilevel"/>
    <w:tmpl w:val="F6A6F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133803"/>
    <w:multiLevelType w:val="hybridMultilevel"/>
    <w:tmpl w:val="0A3AD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4751AD"/>
    <w:multiLevelType w:val="hybridMultilevel"/>
    <w:tmpl w:val="3458A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B14D60"/>
    <w:multiLevelType w:val="hybridMultilevel"/>
    <w:tmpl w:val="3FC03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984EA9"/>
    <w:multiLevelType w:val="hybridMultilevel"/>
    <w:tmpl w:val="C024D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F57EA4"/>
    <w:multiLevelType w:val="hybridMultilevel"/>
    <w:tmpl w:val="38C42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A33071"/>
    <w:multiLevelType w:val="hybridMultilevel"/>
    <w:tmpl w:val="12301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222B91"/>
    <w:multiLevelType w:val="hybridMultilevel"/>
    <w:tmpl w:val="0616D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DB056B2"/>
    <w:multiLevelType w:val="hybridMultilevel"/>
    <w:tmpl w:val="58CC2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E3531AC"/>
    <w:multiLevelType w:val="hybridMultilevel"/>
    <w:tmpl w:val="C074D74C"/>
    <w:lvl w:ilvl="0" w:tplc="08090001">
      <w:start w:val="1"/>
      <w:numFmt w:val="bullet"/>
      <w:lvlText w:val=""/>
      <w:lvlJc w:val="left"/>
      <w:pPr>
        <w:ind w:left="720" w:hanging="360"/>
      </w:pPr>
      <w:rPr>
        <w:rFonts w:ascii="Symbol" w:hAnsi="Symbol" w:hint="default"/>
      </w:rPr>
    </w:lvl>
    <w:lvl w:ilvl="1" w:tplc="0B82B65C">
      <w:numFmt w:val="bullet"/>
      <w:lvlText w:val="·"/>
      <w:lvlJc w:val="left"/>
      <w:pPr>
        <w:ind w:left="1440" w:hanging="360"/>
      </w:pPr>
      <w:rPr>
        <w:rFonts w:ascii="Arial" w:eastAsia="MS Mincho"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2F04AA"/>
    <w:multiLevelType w:val="multilevel"/>
    <w:tmpl w:val="BE50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A5205D"/>
    <w:multiLevelType w:val="hybridMultilevel"/>
    <w:tmpl w:val="B4107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8769F5"/>
    <w:multiLevelType w:val="hybridMultilevel"/>
    <w:tmpl w:val="5C7C7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3F0501"/>
    <w:multiLevelType w:val="hybridMultilevel"/>
    <w:tmpl w:val="6DDC0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104B9C"/>
    <w:multiLevelType w:val="multilevel"/>
    <w:tmpl w:val="BE50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027F21"/>
    <w:multiLevelType w:val="hybridMultilevel"/>
    <w:tmpl w:val="91389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E0197C"/>
    <w:multiLevelType w:val="multilevel"/>
    <w:tmpl w:val="BE50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64F03"/>
    <w:multiLevelType w:val="hybridMultilevel"/>
    <w:tmpl w:val="DE169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565A8E"/>
    <w:multiLevelType w:val="multilevel"/>
    <w:tmpl w:val="BE50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423CA2"/>
    <w:multiLevelType w:val="multilevel"/>
    <w:tmpl w:val="A7063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F037BA"/>
    <w:multiLevelType w:val="hybridMultilevel"/>
    <w:tmpl w:val="20B41D7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3" w15:restartNumberingAfterBreak="0">
    <w:nsid w:val="3672022B"/>
    <w:multiLevelType w:val="hybridMultilevel"/>
    <w:tmpl w:val="D56E8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5A37BC"/>
    <w:multiLevelType w:val="multilevel"/>
    <w:tmpl w:val="BE50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0C5061"/>
    <w:multiLevelType w:val="hybridMultilevel"/>
    <w:tmpl w:val="DED2B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B6F558B"/>
    <w:multiLevelType w:val="hybridMultilevel"/>
    <w:tmpl w:val="D5FCB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3B105A"/>
    <w:multiLevelType w:val="hybridMultilevel"/>
    <w:tmpl w:val="2500D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C50DB1"/>
    <w:multiLevelType w:val="hybridMultilevel"/>
    <w:tmpl w:val="BF827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1C0CAC"/>
    <w:multiLevelType w:val="hybridMultilevel"/>
    <w:tmpl w:val="87344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853F44"/>
    <w:multiLevelType w:val="hybridMultilevel"/>
    <w:tmpl w:val="B0B6B89A"/>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1" w15:restartNumberingAfterBreak="0">
    <w:nsid w:val="50D67994"/>
    <w:multiLevelType w:val="hybridMultilevel"/>
    <w:tmpl w:val="04EC3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12136C8"/>
    <w:multiLevelType w:val="hybridMultilevel"/>
    <w:tmpl w:val="9988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6914086"/>
    <w:multiLevelType w:val="hybridMultilevel"/>
    <w:tmpl w:val="4164E80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4" w15:restartNumberingAfterBreak="0">
    <w:nsid w:val="5A3E3B58"/>
    <w:multiLevelType w:val="hybridMultilevel"/>
    <w:tmpl w:val="AF026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F13405"/>
    <w:multiLevelType w:val="hybridMultilevel"/>
    <w:tmpl w:val="C4C66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2355925"/>
    <w:multiLevelType w:val="hybridMultilevel"/>
    <w:tmpl w:val="5C20C4A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15:restartNumberingAfterBreak="0">
    <w:nsid w:val="637F5D4A"/>
    <w:multiLevelType w:val="hybridMultilevel"/>
    <w:tmpl w:val="8B1C1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C41D54"/>
    <w:multiLevelType w:val="multilevel"/>
    <w:tmpl w:val="BE50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88015E"/>
    <w:multiLevelType w:val="hybridMultilevel"/>
    <w:tmpl w:val="A93CF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EF5EC2"/>
    <w:multiLevelType w:val="hybridMultilevel"/>
    <w:tmpl w:val="45E26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914F14"/>
    <w:multiLevelType w:val="hybridMultilevel"/>
    <w:tmpl w:val="9B58F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567270"/>
    <w:multiLevelType w:val="hybridMultilevel"/>
    <w:tmpl w:val="E8966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941CBF"/>
    <w:multiLevelType w:val="hybridMultilevel"/>
    <w:tmpl w:val="0EBED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7F4EFC"/>
    <w:multiLevelType w:val="hybridMultilevel"/>
    <w:tmpl w:val="C42C8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C92C29"/>
    <w:multiLevelType w:val="hybridMultilevel"/>
    <w:tmpl w:val="B1EC409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6" w15:restartNumberingAfterBreak="0">
    <w:nsid w:val="7F8E480C"/>
    <w:multiLevelType w:val="hybridMultilevel"/>
    <w:tmpl w:val="808C1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6"/>
  </w:num>
  <w:num w:numId="4">
    <w:abstractNumId w:val="34"/>
  </w:num>
  <w:num w:numId="5">
    <w:abstractNumId w:val="7"/>
  </w:num>
  <w:num w:numId="6">
    <w:abstractNumId w:val="43"/>
  </w:num>
  <w:num w:numId="7">
    <w:abstractNumId w:val="16"/>
  </w:num>
  <w:num w:numId="8">
    <w:abstractNumId w:val="41"/>
  </w:num>
  <w:num w:numId="9">
    <w:abstractNumId w:val="20"/>
  </w:num>
  <w:num w:numId="10">
    <w:abstractNumId w:val="24"/>
  </w:num>
  <w:num w:numId="11">
    <w:abstractNumId w:val="12"/>
  </w:num>
  <w:num w:numId="12">
    <w:abstractNumId w:val="18"/>
  </w:num>
  <w:num w:numId="13">
    <w:abstractNumId w:val="38"/>
  </w:num>
  <w:num w:numId="14">
    <w:abstractNumId w:val="14"/>
  </w:num>
  <w:num w:numId="15">
    <w:abstractNumId w:val="29"/>
  </w:num>
  <w:num w:numId="16">
    <w:abstractNumId w:val="15"/>
  </w:num>
  <w:num w:numId="17">
    <w:abstractNumId w:val="4"/>
  </w:num>
  <w:num w:numId="18">
    <w:abstractNumId w:val="10"/>
  </w:num>
  <w:num w:numId="19">
    <w:abstractNumId w:val="44"/>
  </w:num>
  <w:num w:numId="20">
    <w:abstractNumId w:val="32"/>
  </w:num>
  <w:num w:numId="21">
    <w:abstractNumId w:val="19"/>
  </w:num>
  <w:num w:numId="22">
    <w:abstractNumId w:val="11"/>
  </w:num>
  <w:num w:numId="23">
    <w:abstractNumId w:val="22"/>
  </w:num>
  <w:num w:numId="24">
    <w:abstractNumId w:val="40"/>
  </w:num>
  <w:num w:numId="25">
    <w:abstractNumId w:val="13"/>
  </w:num>
  <w:num w:numId="26">
    <w:abstractNumId w:val="46"/>
  </w:num>
  <w:num w:numId="27">
    <w:abstractNumId w:val="30"/>
  </w:num>
  <w:num w:numId="28">
    <w:abstractNumId w:val="5"/>
  </w:num>
  <w:num w:numId="29">
    <w:abstractNumId w:val="39"/>
  </w:num>
  <w:num w:numId="30">
    <w:abstractNumId w:val="28"/>
  </w:num>
  <w:num w:numId="31">
    <w:abstractNumId w:val="45"/>
  </w:num>
  <w:num w:numId="32">
    <w:abstractNumId w:val="17"/>
  </w:num>
  <w:num w:numId="33">
    <w:abstractNumId w:val="42"/>
  </w:num>
  <w:num w:numId="34">
    <w:abstractNumId w:val="36"/>
  </w:num>
  <w:num w:numId="35">
    <w:abstractNumId w:val="33"/>
  </w:num>
  <w:num w:numId="36">
    <w:abstractNumId w:val="2"/>
  </w:num>
  <w:num w:numId="37">
    <w:abstractNumId w:val="25"/>
  </w:num>
  <w:num w:numId="38">
    <w:abstractNumId w:val="37"/>
  </w:num>
  <w:num w:numId="39">
    <w:abstractNumId w:val="26"/>
  </w:num>
  <w:num w:numId="40">
    <w:abstractNumId w:val="9"/>
  </w:num>
  <w:num w:numId="41">
    <w:abstractNumId w:val="21"/>
  </w:num>
  <w:num w:numId="42">
    <w:abstractNumId w:val="1"/>
  </w:num>
  <w:num w:numId="43">
    <w:abstractNumId w:val="0"/>
  </w:num>
  <w:num w:numId="44">
    <w:abstractNumId w:val="35"/>
  </w:num>
  <w:num w:numId="45">
    <w:abstractNumId w:val="23"/>
  </w:num>
  <w:num w:numId="46">
    <w:abstractNumId w:val="8"/>
  </w:num>
  <w:num w:numId="47">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yMjazNDQzNbU0M7NU0lEKTi0uzszPAykwrgUAUp/14SwAAAA="/>
  </w:docVars>
  <w:rsids>
    <w:rsidRoot w:val="00AA46AD"/>
    <w:rsid w:val="00001DC4"/>
    <w:rsid w:val="000039D9"/>
    <w:rsid w:val="0001389A"/>
    <w:rsid w:val="0002172F"/>
    <w:rsid w:val="0006090B"/>
    <w:rsid w:val="000651B8"/>
    <w:rsid w:val="0007147C"/>
    <w:rsid w:val="00081642"/>
    <w:rsid w:val="000A3AA8"/>
    <w:rsid w:val="000B1955"/>
    <w:rsid w:val="0010563C"/>
    <w:rsid w:val="00114AAF"/>
    <w:rsid w:val="001203AE"/>
    <w:rsid w:val="00175153"/>
    <w:rsid w:val="00175C56"/>
    <w:rsid w:val="001A00FC"/>
    <w:rsid w:val="001C1450"/>
    <w:rsid w:val="00215822"/>
    <w:rsid w:val="0022195F"/>
    <w:rsid w:val="00223920"/>
    <w:rsid w:val="00251005"/>
    <w:rsid w:val="00252A11"/>
    <w:rsid w:val="0029357D"/>
    <w:rsid w:val="002A2856"/>
    <w:rsid w:val="002E0F9E"/>
    <w:rsid w:val="003020A2"/>
    <w:rsid w:val="003038D3"/>
    <w:rsid w:val="00305F2C"/>
    <w:rsid w:val="0031698B"/>
    <w:rsid w:val="003225CD"/>
    <w:rsid w:val="00371BC8"/>
    <w:rsid w:val="00375907"/>
    <w:rsid w:val="00387274"/>
    <w:rsid w:val="003C0800"/>
    <w:rsid w:val="003D03A8"/>
    <w:rsid w:val="003F2CE8"/>
    <w:rsid w:val="003F70CA"/>
    <w:rsid w:val="00427E44"/>
    <w:rsid w:val="004979ED"/>
    <w:rsid w:val="004A25F0"/>
    <w:rsid w:val="004A4C93"/>
    <w:rsid w:val="004C4442"/>
    <w:rsid w:val="005151D8"/>
    <w:rsid w:val="00515546"/>
    <w:rsid w:val="0052773E"/>
    <w:rsid w:val="00527E55"/>
    <w:rsid w:val="0054617B"/>
    <w:rsid w:val="00555B4D"/>
    <w:rsid w:val="00556B6C"/>
    <w:rsid w:val="005638D0"/>
    <w:rsid w:val="00582119"/>
    <w:rsid w:val="00590CCE"/>
    <w:rsid w:val="00594FBC"/>
    <w:rsid w:val="005B0BA2"/>
    <w:rsid w:val="005C0D3C"/>
    <w:rsid w:val="005D1877"/>
    <w:rsid w:val="005E5332"/>
    <w:rsid w:val="00611539"/>
    <w:rsid w:val="00621B48"/>
    <w:rsid w:val="00633320"/>
    <w:rsid w:val="0064031D"/>
    <w:rsid w:val="006578EA"/>
    <w:rsid w:val="007067BE"/>
    <w:rsid w:val="00722ACF"/>
    <w:rsid w:val="00753CA4"/>
    <w:rsid w:val="007A5419"/>
    <w:rsid w:val="007B26B1"/>
    <w:rsid w:val="007C0DC5"/>
    <w:rsid w:val="007D5F8E"/>
    <w:rsid w:val="00831225"/>
    <w:rsid w:val="008328D4"/>
    <w:rsid w:val="00852937"/>
    <w:rsid w:val="00857027"/>
    <w:rsid w:val="00864C50"/>
    <w:rsid w:val="0090374A"/>
    <w:rsid w:val="00915082"/>
    <w:rsid w:val="009165E9"/>
    <w:rsid w:val="009325A7"/>
    <w:rsid w:val="0095529A"/>
    <w:rsid w:val="00973B29"/>
    <w:rsid w:val="00975A60"/>
    <w:rsid w:val="009956F9"/>
    <w:rsid w:val="009A42D3"/>
    <w:rsid w:val="009B44BE"/>
    <w:rsid w:val="009F1E75"/>
    <w:rsid w:val="009F5B1B"/>
    <w:rsid w:val="00A04F2C"/>
    <w:rsid w:val="00A165EE"/>
    <w:rsid w:val="00A312D8"/>
    <w:rsid w:val="00A41080"/>
    <w:rsid w:val="00A861DA"/>
    <w:rsid w:val="00A87061"/>
    <w:rsid w:val="00AA46AD"/>
    <w:rsid w:val="00AC1EB4"/>
    <w:rsid w:val="00AF304F"/>
    <w:rsid w:val="00AF4DCE"/>
    <w:rsid w:val="00AF57DE"/>
    <w:rsid w:val="00B31AC4"/>
    <w:rsid w:val="00B40AFF"/>
    <w:rsid w:val="00B606BF"/>
    <w:rsid w:val="00B65030"/>
    <w:rsid w:val="00B844E8"/>
    <w:rsid w:val="00BD08AB"/>
    <w:rsid w:val="00BD6E01"/>
    <w:rsid w:val="00BF3226"/>
    <w:rsid w:val="00BF49A8"/>
    <w:rsid w:val="00C00BC2"/>
    <w:rsid w:val="00C05AD4"/>
    <w:rsid w:val="00C150E9"/>
    <w:rsid w:val="00C6018C"/>
    <w:rsid w:val="00C67021"/>
    <w:rsid w:val="00CA35A7"/>
    <w:rsid w:val="00CB0F63"/>
    <w:rsid w:val="00CC3CF5"/>
    <w:rsid w:val="00CC4368"/>
    <w:rsid w:val="00CD14B2"/>
    <w:rsid w:val="00CD4A1D"/>
    <w:rsid w:val="00CE3A6E"/>
    <w:rsid w:val="00D03AB2"/>
    <w:rsid w:val="00D13825"/>
    <w:rsid w:val="00D13A88"/>
    <w:rsid w:val="00D1493C"/>
    <w:rsid w:val="00D205CB"/>
    <w:rsid w:val="00D37D8D"/>
    <w:rsid w:val="00D47B60"/>
    <w:rsid w:val="00D841B4"/>
    <w:rsid w:val="00D95DC9"/>
    <w:rsid w:val="00DA20ED"/>
    <w:rsid w:val="00DC1CC5"/>
    <w:rsid w:val="00DC590C"/>
    <w:rsid w:val="00DD7DDB"/>
    <w:rsid w:val="00DE3D6D"/>
    <w:rsid w:val="00DF345F"/>
    <w:rsid w:val="00E02923"/>
    <w:rsid w:val="00E162DA"/>
    <w:rsid w:val="00E41190"/>
    <w:rsid w:val="00E821DF"/>
    <w:rsid w:val="00EA1890"/>
    <w:rsid w:val="00EA30AD"/>
    <w:rsid w:val="00EE0D5F"/>
    <w:rsid w:val="00F03F25"/>
    <w:rsid w:val="00F06346"/>
    <w:rsid w:val="00F13754"/>
    <w:rsid w:val="00F53968"/>
    <w:rsid w:val="00F71F11"/>
    <w:rsid w:val="00FA0078"/>
    <w:rsid w:val="00FC26E4"/>
    <w:rsid w:val="00FF58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28501F0"/>
  <w15:docId w15:val="{CC0A4BDD-AFBD-4345-B930-532C3E56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6E0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paragraph" w:styleId="NoSpacing">
    <w:name w:val="No Spacing"/>
    <w:rsid w:val="000A3AA8"/>
    <w:pPr>
      <w:outlineLvl w:val="0"/>
    </w:pPr>
    <w:rPr>
      <w:rFonts w:ascii="Arial" w:hAnsi="Arial"/>
      <w:sz w:val="22"/>
      <w:szCs w:val="24"/>
      <w:lang w:val="en-US"/>
    </w:rPr>
  </w:style>
  <w:style w:type="character" w:customStyle="1" w:styleId="glyph8">
    <w:name w:val="glyph8"/>
    <w:basedOn w:val="DefaultParagraphFont"/>
    <w:rsid w:val="00852937"/>
    <w:rPr>
      <w:rFonts w:ascii="Times New Roman" w:hAnsi="Times New Roman" w:cs="Times New Roman" w:hint="default"/>
    </w:rPr>
  </w:style>
  <w:style w:type="paragraph" w:customStyle="1" w:styleId="bulletindent12">
    <w:name w:val="bulletindent12"/>
    <w:basedOn w:val="Normal"/>
    <w:rsid w:val="00852937"/>
    <w:pPr>
      <w:spacing w:before="216" w:after="216" w:line="336" w:lineRule="auto"/>
      <w:ind w:left="480"/>
      <w:outlineLvl w:val="9"/>
    </w:pPr>
    <w:rPr>
      <w:rFonts w:ascii="Times New Roman" w:eastAsia="Times New Roman" w:hAnsi="Times New Roman" w:cs="Times New Roman"/>
      <w:sz w:val="24"/>
      <w:lang w:val="en-GB" w:eastAsia="en-GB"/>
    </w:rPr>
  </w:style>
  <w:style w:type="character" w:customStyle="1" w:styleId="nowrap1">
    <w:name w:val="nowrap1"/>
    <w:basedOn w:val="DefaultParagraphFont"/>
    <w:rsid w:val="00852937"/>
  </w:style>
  <w:style w:type="character" w:styleId="Emphasis">
    <w:name w:val="Emphasis"/>
    <w:basedOn w:val="DefaultParagraphFont"/>
    <w:uiPriority w:val="20"/>
    <w:qFormat/>
    <w:rsid w:val="0054617B"/>
    <w:rPr>
      <w:i/>
      <w:iCs/>
    </w:rPr>
  </w:style>
  <w:style w:type="character" w:customStyle="1" w:styleId="h33">
    <w:name w:val="h33"/>
    <w:basedOn w:val="DefaultParagraphFont"/>
    <w:rsid w:val="0054617B"/>
    <w:rPr>
      <w:b/>
      <w:bCs/>
    </w:rPr>
  </w:style>
  <w:style w:type="character" w:customStyle="1" w:styleId="headingendmark">
    <w:name w:val="headingendmark"/>
    <w:basedOn w:val="DefaultParagraphFont"/>
    <w:rsid w:val="0054617B"/>
  </w:style>
  <w:style w:type="character" w:styleId="Strong">
    <w:name w:val="Strong"/>
    <w:basedOn w:val="DefaultParagraphFont"/>
    <w:uiPriority w:val="22"/>
    <w:qFormat/>
    <w:rsid w:val="00D205CB"/>
    <w:rPr>
      <w:b/>
      <w:bCs/>
    </w:rPr>
  </w:style>
  <w:style w:type="character" w:customStyle="1" w:styleId="h23">
    <w:name w:val="h23"/>
    <w:basedOn w:val="DefaultParagraphFont"/>
    <w:rsid w:val="00D205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733199">
      <w:bodyDiv w:val="1"/>
      <w:marLeft w:val="0"/>
      <w:marRight w:val="0"/>
      <w:marTop w:val="0"/>
      <w:marBottom w:val="0"/>
      <w:divBdr>
        <w:top w:val="none" w:sz="0" w:space="0" w:color="auto"/>
        <w:left w:val="none" w:sz="0" w:space="0" w:color="auto"/>
        <w:bottom w:val="none" w:sz="0" w:space="0" w:color="auto"/>
        <w:right w:val="none" w:sz="0" w:space="0" w:color="auto"/>
      </w:divBdr>
      <w:divsChild>
        <w:div w:id="706874033">
          <w:marLeft w:val="0"/>
          <w:marRight w:val="0"/>
          <w:marTop w:val="0"/>
          <w:marBottom w:val="0"/>
          <w:divBdr>
            <w:top w:val="none" w:sz="0" w:space="0" w:color="auto"/>
            <w:left w:val="none" w:sz="0" w:space="0" w:color="auto"/>
            <w:bottom w:val="none" w:sz="0" w:space="0" w:color="auto"/>
            <w:right w:val="none" w:sz="0" w:space="0" w:color="auto"/>
          </w:divBdr>
          <w:divsChild>
            <w:div w:id="1987661917">
              <w:marLeft w:val="0"/>
              <w:marRight w:val="0"/>
              <w:marTop w:val="0"/>
              <w:marBottom w:val="0"/>
              <w:divBdr>
                <w:top w:val="none" w:sz="0" w:space="0" w:color="auto"/>
                <w:left w:val="none" w:sz="0" w:space="0" w:color="auto"/>
                <w:bottom w:val="none" w:sz="0" w:space="0" w:color="auto"/>
                <w:right w:val="none" w:sz="0" w:space="0" w:color="auto"/>
              </w:divBdr>
              <w:divsChild>
                <w:div w:id="1400405120">
                  <w:marLeft w:val="0"/>
                  <w:marRight w:val="0"/>
                  <w:marTop w:val="0"/>
                  <w:marBottom w:val="0"/>
                  <w:divBdr>
                    <w:top w:val="none" w:sz="0" w:space="0" w:color="auto"/>
                    <w:left w:val="none" w:sz="0" w:space="0" w:color="auto"/>
                    <w:bottom w:val="none" w:sz="0" w:space="0" w:color="auto"/>
                    <w:right w:val="none" w:sz="0" w:space="0" w:color="auto"/>
                  </w:divBdr>
                  <w:divsChild>
                    <w:div w:id="1590428684">
                      <w:marLeft w:val="240"/>
                      <w:marRight w:val="240"/>
                      <w:marTop w:val="264"/>
                      <w:marBottom w:val="528"/>
                      <w:divBdr>
                        <w:top w:val="none" w:sz="0" w:space="0" w:color="auto"/>
                        <w:left w:val="none" w:sz="0" w:space="0" w:color="auto"/>
                        <w:bottom w:val="none" w:sz="0" w:space="0" w:color="auto"/>
                        <w:right w:val="none" w:sz="0" w:space="0" w:color="auto"/>
                      </w:divBdr>
                      <w:divsChild>
                        <w:div w:id="3871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521578">
      <w:bodyDiv w:val="1"/>
      <w:marLeft w:val="0"/>
      <w:marRight w:val="0"/>
      <w:marTop w:val="0"/>
      <w:marBottom w:val="0"/>
      <w:divBdr>
        <w:top w:val="none" w:sz="0" w:space="0" w:color="auto"/>
        <w:left w:val="none" w:sz="0" w:space="0" w:color="auto"/>
        <w:bottom w:val="none" w:sz="0" w:space="0" w:color="auto"/>
        <w:right w:val="none" w:sz="0" w:space="0" w:color="auto"/>
      </w:divBdr>
    </w:div>
    <w:div w:id="757825230">
      <w:bodyDiv w:val="1"/>
      <w:marLeft w:val="0"/>
      <w:marRight w:val="0"/>
      <w:marTop w:val="0"/>
      <w:marBottom w:val="0"/>
      <w:divBdr>
        <w:top w:val="none" w:sz="0" w:space="0" w:color="auto"/>
        <w:left w:val="none" w:sz="0" w:space="0" w:color="auto"/>
        <w:bottom w:val="none" w:sz="0" w:space="0" w:color="auto"/>
        <w:right w:val="none" w:sz="0" w:space="0" w:color="auto"/>
      </w:divBdr>
      <w:divsChild>
        <w:div w:id="1672098784">
          <w:marLeft w:val="0"/>
          <w:marRight w:val="0"/>
          <w:marTop w:val="0"/>
          <w:marBottom w:val="0"/>
          <w:divBdr>
            <w:top w:val="none" w:sz="0" w:space="0" w:color="auto"/>
            <w:left w:val="none" w:sz="0" w:space="0" w:color="auto"/>
            <w:bottom w:val="none" w:sz="0" w:space="0" w:color="auto"/>
            <w:right w:val="none" w:sz="0" w:space="0" w:color="auto"/>
          </w:divBdr>
          <w:divsChild>
            <w:div w:id="1706754457">
              <w:marLeft w:val="0"/>
              <w:marRight w:val="0"/>
              <w:marTop w:val="0"/>
              <w:marBottom w:val="0"/>
              <w:divBdr>
                <w:top w:val="none" w:sz="0" w:space="0" w:color="auto"/>
                <w:left w:val="none" w:sz="0" w:space="0" w:color="auto"/>
                <w:bottom w:val="none" w:sz="0" w:space="0" w:color="auto"/>
                <w:right w:val="none" w:sz="0" w:space="0" w:color="auto"/>
              </w:divBdr>
              <w:divsChild>
                <w:div w:id="1099134847">
                  <w:marLeft w:val="0"/>
                  <w:marRight w:val="0"/>
                  <w:marTop w:val="0"/>
                  <w:marBottom w:val="0"/>
                  <w:divBdr>
                    <w:top w:val="none" w:sz="0" w:space="0" w:color="auto"/>
                    <w:left w:val="none" w:sz="0" w:space="0" w:color="auto"/>
                    <w:bottom w:val="none" w:sz="0" w:space="0" w:color="auto"/>
                    <w:right w:val="none" w:sz="0" w:space="0" w:color="auto"/>
                  </w:divBdr>
                  <w:divsChild>
                    <w:div w:id="652685514">
                      <w:marLeft w:val="240"/>
                      <w:marRight w:val="240"/>
                      <w:marTop w:val="264"/>
                      <w:marBottom w:val="528"/>
                      <w:divBdr>
                        <w:top w:val="none" w:sz="0" w:space="0" w:color="auto"/>
                        <w:left w:val="none" w:sz="0" w:space="0" w:color="auto"/>
                        <w:bottom w:val="none" w:sz="0" w:space="0" w:color="auto"/>
                        <w:right w:val="none" w:sz="0" w:space="0" w:color="auto"/>
                      </w:divBdr>
                      <w:divsChild>
                        <w:div w:id="10084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586754">
      <w:bodyDiv w:val="1"/>
      <w:marLeft w:val="0"/>
      <w:marRight w:val="0"/>
      <w:marTop w:val="0"/>
      <w:marBottom w:val="0"/>
      <w:divBdr>
        <w:top w:val="none" w:sz="0" w:space="0" w:color="auto"/>
        <w:left w:val="none" w:sz="0" w:space="0" w:color="auto"/>
        <w:bottom w:val="none" w:sz="0" w:space="0" w:color="auto"/>
        <w:right w:val="none" w:sz="0" w:space="0" w:color="auto"/>
      </w:divBdr>
    </w:div>
    <w:div w:id="1099913583">
      <w:bodyDiv w:val="1"/>
      <w:marLeft w:val="0"/>
      <w:marRight w:val="0"/>
      <w:marTop w:val="0"/>
      <w:marBottom w:val="0"/>
      <w:divBdr>
        <w:top w:val="none" w:sz="0" w:space="0" w:color="auto"/>
        <w:left w:val="none" w:sz="0" w:space="0" w:color="auto"/>
        <w:bottom w:val="none" w:sz="0" w:space="0" w:color="auto"/>
        <w:right w:val="none" w:sz="0" w:space="0" w:color="auto"/>
      </w:divBdr>
      <w:divsChild>
        <w:div w:id="1123766102">
          <w:marLeft w:val="0"/>
          <w:marRight w:val="0"/>
          <w:marTop w:val="0"/>
          <w:marBottom w:val="0"/>
          <w:divBdr>
            <w:top w:val="none" w:sz="0" w:space="0" w:color="auto"/>
            <w:left w:val="none" w:sz="0" w:space="0" w:color="auto"/>
            <w:bottom w:val="none" w:sz="0" w:space="0" w:color="auto"/>
            <w:right w:val="none" w:sz="0" w:space="0" w:color="auto"/>
          </w:divBdr>
          <w:divsChild>
            <w:div w:id="864749327">
              <w:marLeft w:val="0"/>
              <w:marRight w:val="0"/>
              <w:marTop w:val="0"/>
              <w:marBottom w:val="0"/>
              <w:divBdr>
                <w:top w:val="none" w:sz="0" w:space="0" w:color="auto"/>
                <w:left w:val="none" w:sz="0" w:space="0" w:color="auto"/>
                <w:bottom w:val="none" w:sz="0" w:space="0" w:color="auto"/>
                <w:right w:val="none" w:sz="0" w:space="0" w:color="auto"/>
              </w:divBdr>
              <w:divsChild>
                <w:div w:id="1065834977">
                  <w:marLeft w:val="0"/>
                  <w:marRight w:val="0"/>
                  <w:marTop w:val="0"/>
                  <w:marBottom w:val="0"/>
                  <w:divBdr>
                    <w:top w:val="none" w:sz="0" w:space="0" w:color="auto"/>
                    <w:left w:val="none" w:sz="0" w:space="0" w:color="auto"/>
                    <w:bottom w:val="none" w:sz="0" w:space="0" w:color="auto"/>
                    <w:right w:val="none" w:sz="0" w:space="0" w:color="auto"/>
                  </w:divBdr>
                  <w:divsChild>
                    <w:div w:id="1329208297">
                      <w:marLeft w:val="240"/>
                      <w:marRight w:val="240"/>
                      <w:marTop w:val="264"/>
                      <w:marBottom w:val="528"/>
                      <w:divBdr>
                        <w:top w:val="none" w:sz="0" w:space="0" w:color="auto"/>
                        <w:left w:val="none" w:sz="0" w:space="0" w:color="auto"/>
                        <w:bottom w:val="none" w:sz="0" w:space="0" w:color="auto"/>
                        <w:right w:val="none" w:sz="0" w:space="0" w:color="auto"/>
                      </w:divBdr>
                      <w:divsChild>
                        <w:div w:id="3096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746723">
      <w:bodyDiv w:val="1"/>
      <w:marLeft w:val="0"/>
      <w:marRight w:val="0"/>
      <w:marTop w:val="0"/>
      <w:marBottom w:val="0"/>
      <w:divBdr>
        <w:top w:val="none" w:sz="0" w:space="0" w:color="auto"/>
        <w:left w:val="none" w:sz="0" w:space="0" w:color="auto"/>
        <w:bottom w:val="none" w:sz="0" w:space="0" w:color="auto"/>
        <w:right w:val="none" w:sz="0" w:space="0" w:color="auto"/>
      </w:divBdr>
      <w:divsChild>
        <w:div w:id="863052567">
          <w:marLeft w:val="0"/>
          <w:marRight w:val="0"/>
          <w:marTop w:val="0"/>
          <w:marBottom w:val="0"/>
          <w:divBdr>
            <w:top w:val="none" w:sz="0" w:space="0" w:color="auto"/>
            <w:left w:val="none" w:sz="0" w:space="0" w:color="auto"/>
            <w:bottom w:val="none" w:sz="0" w:space="0" w:color="auto"/>
            <w:right w:val="none" w:sz="0" w:space="0" w:color="auto"/>
          </w:divBdr>
        </w:div>
      </w:divsChild>
    </w:div>
    <w:div w:id="1374118987">
      <w:bodyDiv w:val="1"/>
      <w:marLeft w:val="0"/>
      <w:marRight w:val="0"/>
      <w:marTop w:val="0"/>
      <w:marBottom w:val="0"/>
      <w:divBdr>
        <w:top w:val="none" w:sz="0" w:space="0" w:color="auto"/>
        <w:left w:val="none" w:sz="0" w:space="0" w:color="auto"/>
        <w:bottom w:val="none" w:sz="0" w:space="0" w:color="auto"/>
        <w:right w:val="none" w:sz="0" w:space="0" w:color="auto"/>
      </w:divBdr>
      <w:divsChild>
        <w:div w:id="407768050">
          <w:marLeft w:val="0"/>
          <w:marRight w:val="0"/>
          <w:marTop w:val="0"/>
          <w:marBottom w:val="0"/>
          <w:divBdr>
            <w:top w:val="none" w:sz="0" w:space="0" w:color="auto"/>
            <w:left w:val="none" w:sz="0" w:space="0" w:color="auto"/>
            <w:bottom w:val="none" w:sz="0" w:space="0" w:color="auto"/>
            <w:right w:val="none" w:sz="0" w:space="0" w:color="auto"/>
          </w:divBdr>
          <w:divsChild>
            <w:div w:id="1242325283">
              <w:marLeft w:val="0"/>
              <w:marRight w:val="0"/>
              <w:marTop w:val="0"/>
              <w:marBottom w:val="0"/>
              <w:divBdr>
                <w:top w:val="none" w:sz="0" w:space="0" w:color="auto"/>
                <w:left w:val="none" w:sz="0" w:space="0" w:color="auto"/>
                <w:bottom w:val="none" w:sz="0" w:space="0" w:color="auto"/>
                <w:right w:val="none" w:sz="0" w:space="0" w:color="auto"/>
              </w:divBdr>
              <w:divsChild>
                <w:div w:id="1512253865">
                  <w:marLeft w:val="0"/>
                  <w:marRight w:val="0"/>
                  <w:marTop w:val="0"/>
                  <w:marBottom w:val="0"/>
                  <w:divBdr>
                    <w:top w:val="none" w:sz="0" w:space="0" w:color="auto"/>
                    <w:left w:val="none" w:sz="0" w:space="0" w:color="auto"/>
                    <w:bottom w:val="none" w:sz="0" w:space="0" w:color="auto"/>
                    <w:right w:val="none" w:sz="0" w:space="0" w:color="auto"/>
                  </w:divBdr>
                  <w:divsChild>
                    <w:div w:id="2115443506">
                      <w:marLeft w:val="240"/>
                      <w:marRight w:val="240"/>
                      <w:marTop w:val="264"/>
                      <w:marBottom w:val="528"/>
                      <w:divBdr>
                        <w:top w:val="none" w:sz="0" w:space="0" w:color="auto"/>
                        <w:left w:val="none" w:sz="0" w:space="0" w:color="auto"/>
                        <w:bottom w:val="none" w:sz="0" w:space="0" w:color="auto"/>
                        <w:right w:val="none" w:sz="0" w:space="0" w:color="auto"/>
                      </w:divBdr>
                      <w:divsChild>
                        <w:div w:id="12052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250003">
      <w:bodyDiv w:val="1"/>
      <w:marLeft w:val="0"/>
      <w:marRight w:val="0"/>
      <w:marTop w:val="0"/>
      <w:marBottom w:val="0"/>
      <w:divBdr>
        <w:top w:val="none" w:sz="0" w:space="0" w:color="auto"/>
        <w:left w:val="none" w:sz="0" w:space="0" w:color="auto"/>
        <w:bottom w:val="none" w:sz="0" w:space="0" w:color="auto"/>
        <w:right w:val="none" w:sz="0" w:space="0" w:color="auto"/>
      </w:divBdr>
      <w:divsChild>
        <w:div w:id="1983465971">
          <w:marLeft w:val="0"/>
          <w:marRight w:val="0"/>
          <w:marTop w:val="0"/>
          <w:marBottom w:val="0"/>
          <w:divBdr>
            <w:top w:val="none" w:sz="0" w:space="0" w:color="auto"/>
            <w:left w:val="none" w:sz="0" w:space="0" w:color="auto"/>
            <w:bottom w:val="none" w:sz="0" w:space="0" w:color="auto"/>
            <w:right w:val="none" w:sz="0" w:space="0" w:color="auto"/>
          </w:divBdr>
          <w:divsChild>
            <w:div w:id="1867214862">
              <w:marLeft w:val="0"/>
              <w:marRight w:val="0"/>
              <w:marTop w:val="0"/>
              <w:marBottom w:val="0"/>
              <w:divBdr>
                <w:top w:val="none" w:sz="0" w:space="0" w:color="auto"/>
                <w:left w:val="none" w:sz="0" w:space="0" w:color="auto"/>
                <w:bottom w:val="none" w:sz="0" w:space="0" w:color="auto"/>
                <w:right w:val="none" w:sz="0" w:space="0" w:color="auto"/>
              </w:divBdr>
              <w:divsChild>
                <w:div w:id="204761238">
                  <w:marLeft w:val="0"/>
                  <w:marRight w:val="0"/>
                  <w:marTop w:val="0"/>
                  <w:marBottom w:val="0"/>
                  <w:divBdr>
                    <w:top w:val="none" w:sz="0" w:space="0" w:color="auto"/>
                    <w:left w:val="none" w:sz="0" w:space="0" w:color="auto"/>
                    <w:bottom w:val="none" w:sz="0" w:space="0" w:color="auto"/>
                    <w:right w:val="none" w:sz="0" w:space="0" w:color="auto"/>
                  </w:divBdr>
                  <w:divsChild>
                    <w:div w:id="1581254870">
                      <w:marLeft w:val="240"/>
                      <w:marRight w:val="240"/>
                      <w:marTop w:val="264"/>
                      <w:marBottom w:val="528"/>
                      <w:divBdr>
                        <w:top w:val="none" w:sz="0" w:space="0" w:color="auto"/>
                        <w:left w:val="none" w:sz="0" w:space="0" w:color="auto"/>
                        <w:bottom w:val="none" w:sz="0" w:space="0" w:color="auto"/>
                        <w:right w:val="none" w:sz="0" w:space="0" w:color="auto"/>
                      </w:divBdr>
                      <w:divsChild>
                        <w:div w:id="11692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todate.com/contents/stevens-johnson-syndrome-and-toxic-epidermal-necrolysis-management-prognosis-and-long-term-sequelae/abstract/2"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ptodate.com/contents/stevens-johnson-syndrome-and-toxic-epidermal-necrolysis-management-prognosis-and-long-term-sequelae/abstract/1"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uptodate.com/contents/stevens-johnson-syndrome-and-toxic-epidermal-necrolysis-management-prognosis-and-long-term-sequelae/abstract/4" TargetMode="External"/><Relationship Id="rId4" Type="http://schemas.openxmlformats.org/officeDocument/2006/relationships/webSettings" Target="webSettings.xml"/><Relationship Id="rId9" Type="http://schemas.openxmlformats.org/officeDocument/2006/relationships/hyperlink" Target="https://www.uptodate.com/contents/stevens-johnson-syndrome-and-toxic-epidermal-necrolysis-management-prognosis-and-long-term-sequelae/abstract/3"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agboghoroma\Documents\Creating%20New%20CSD%20guidelin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5</TotalTime>
  <Pages>6</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Agboghoroma Orighomisan</dc:creator>
  <cp:lastModifiedBy>Karen Forrest</cp:lastModifiedBy>
  <cp:revision>13</cp:revision>
  <cp:lastPrinted>2019-05-13T16:48:00Z</cp:lastPrinted>
  <dcterms:created xsi:type="dcterms:W3CDTF">2019-01-17T12:41:00Z</dcterms:created>
  <dcterms:modified xsi:type="dcterms:W3CDTF">2019-05-13T16:52:00Z</dcterms:modified>
</cp:coreProperties>
</file>