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97F1A" w14:textId="77777777" w:rsidR="001203AE" w:rsidRPr="003C0800" w:rsidRDefault="00AC7215" w:rsidP="001203AE">
      <w:pPr>
        <w:pStyle w:val="Heading1"/>
        <w:rPr>
          <w:rFonts w:cs="Arial"/>
          <w:szCs w:val="22"/>
        </w:rPr>
      </w:pPr>
      <w:bookmarkStart w:id="0" w:name="_GoBack"/>
      <w:bookmarkEnd w:id="0"/>
      <w:r>
        <w:rPr>
          <w:rFonts w:cs="Arial"/>
          <w:szCs w:val="22"/>
        </w:rPr>
        <w:t>Stroke</w:t>
      </w:r>
    </w:p>
    <w:p w14:paraId="3AF81EE5" w14:textId="77777777" w:rsidR="00B2497C" w:rsidRPr="00F94418" w:rsidRDefault="00B2497C" w:rsidP="00B2497C">
      <w:pPr>
        <w:pStyle w:val="Heading2"/>
        <w:rPr>
          <w:rFonts w:cs="Arial"/>
          <w:i/>
          <w:szCs w:val="22"/>
        </w:rPr>
      </w:pPr>
      <w:r w:rsidRPr="00F94418">
        <w:rPr>
          <w:rFonts w:cs="Arial"/>
          <w:i/>
          <w:szCs w:val="22"/>
        </w:rPr>
        <w:t>Executive summary</w:t>
      </w:r>
    </w:p>
    <w:p w14:paraId="5BC6027E" w14:textId="77777777" w:rsidR="00B2497C" w:rsidRDefault="00B2497C" w:rsidP="00B2497C">
      <w:pPr>
        <w:pStyle w:val="Heading2"/>
        <w:rPr>
          <w:rFonts w:cs="Arial"/>
          <w:szCs w:val="22"/>
        </w:rPr>
      </w:pPr>
      <w:r w:rsidRPr="00DC590C">
        <w:rPr>
          <w:rFonts w:cs="Arial"/>
          <w:szCs w:val="22"/>
        </w:rPr>
        <w:t>Introduction</w:t>
      </w:r>
    </w:p>
    <w:p w14:paraId="70EDD28A" w14:textId="77777777" w:rsidR="00E959A1" w:rsidRDefault="00E959A1" w:rsidP="00B2497C">
      <w:pPr>
        <w:rPr>
          <w:szCs w:val="22"/>
        </w:rPr>
      </w:pPr>
      <w:r w:rsidRPr="006353A2">
        <w:rPr>
          <w:szCs w:val="22"/>
        </w:rPr>
        <w:t xml:space="preserve">A stroke </w:t>
      </w:r>
      <w:r>
        <w:rPr>
          <w:szCs w:val="22"/>
        </w:rPr>
        <w:t xml:space="preserve">is </w:t>
      </w:r>
      <w:r w:rsidRPr="006353A2">
        <w:rPr>
          <w:szCs w:val="22"/>
        </w:rPr>
        <w:t>the sudden</w:t>
      </w:r>
      <w:r>
        <w:rPr>
          <w:szCs w:val="22"/>
        </w:rPr>
        <w:t xml:space="preserve"> loss of neurological function </w:t>
      </w:r>
      <w:r w:rsidRPr="006353A2">
        <w:rPr>
          <w:szCs w:val="22"/>
        </w:rPr>
        <w:t xml:space="preserve">resulting </w:t>
      </w:r>
      <w:r>
        <w:rPr>
          <w:szCs w:val="22"/>
        </w:rPr>
        <w:t>from</w:t>
      </w:r>
      <w:r w:rsidRPr="006353A2">
        <w:rPr>
          <w:szCs w:val="22"/>
        </w:rPr>
        <w:t xml:space="preserve"> death of brain tissue</w:t>
      </w:r>
      <w:r>
        <w:rPr>
          <w:szCs w:val="22"/>
        </w:rPr>
        <w:t xml:space="preserve"> from vascular occlusion or rupture. </w:t>
      </w:r>
    </w:p>
    <w:p w14:paraId="6A8E51FB" w14:textId="7DBA58CE" w:rsidR="00B2497C" w:rsidRDefault="00B2497C" w:rsidP="00B2497C">
      <w:r>
        <w:t xml:space="preserve">Stroke is the second leading cause of death globally and the number one cause of functional disability. It is a feared complication of hypertension, diabetes mellitus and heart disease. </w:t>
      </w:r>
    </w:p>
    <w:p w14:paraId="70EC001E" w14:textId="77777777" w:rsidR="00B2497C" w:rsidRDefault="00B2497C" w:rsidP="00B2497C">
      <w:r>
        <w:t xml:space="preserve">The gold standard for stroke treatment includes an early CT scan to rule out bleeding followed by thrombolysis. These are not readily available in The Gambia but should not prevent our patients from receiving the best possible care that is available. </w:t>
      </w:r>
    </w:p>
    <w:p w14:paraId="0219659F" w14:textId="20C8E3A9" w:rsidR="007163E4" w:rsidRDefault="00B2497C" w:rsidP="007163E4">
      <w:pPr>
        <w:pStyle w:val="Heading3"/>
        <w:rPr>
          <w:rFonts w:eastAsia="MS Mincho" w:cs="Arial"/>
          <w:bCs w:val="0"/>
          <w:sz w:val="24"/>
          <w:szCs w:val="22"/>
          <w:u w:val="none"/>
        </w:rPr>
      </w:pPr>
      <w:r w:rsidRPr="00612AEE">
        <w:rPr>
          <w:rFonts w:eastAsia="MS Mincho" w:cs="Arial"/>
          <w:bCs w:val="0"/>
          <w:sz w:val="24"/>
          <w:szCs w:val="22"/>
          <w:u w:val="none"/>
        </w:rPr>
        <w:t xml:space="preserve">Target </w:t>
      </w:r>
      <w:r>
        <w:rPr>
          <w:rFonts w:eastAsia="MS Mincho" w:cs="Arial"/>
          <w:bCs w:val="0"/>
          <w:sz w:val="24"/>
          <w:szCs w:val="22"/>
          <w:u w:val="none"/>
        </w:rPr>
        <w:t>u</w:t>
      </w:r>
      <w:r w:rsidRPr="00612AEE">
        <w:rPr>
          <w:rFonts w:eastAsia="MS Mincho" w:cs="Arial"/>
          <w:bCs w:val="0"/>
          <w:sz w:val="24"/>
          <w:szCs w:val="22"/>
          <w:u w:val="none"/>
        </w:rPr>
        <w:t>ser</w:t>
      </w:r>
      <w:r>
        <w:rPr>
          <w:rFonts w:eastAsia="MS Mincho" w:cs="Arial"/>
          <w:bCs w:val="0"/>
          <w:sz w:val="24"/>
          <w:szCs w:val="22"/>
          <w:u w:val="none"/>
        </w:rPr>
        <w:t>s</w:t>
      </w:r>
    </w:p>
    <w:p w14:paraId="5951E30B" w14:textId="77777777" w:rsidR="007163E4" w:rsidRDefault="007163E4" w:rsidP="007163E4">
      <w:pPr>
        <w:pStyle w:val="ListParagraph"/>
        <w:numPr>
          <w:ilvl w:val="0"/>
          <w:numId w:val="32"/>
        </w:numPr>
      </w:pPr>
      <w:r>
        <w:t>Doctors</w:t>
      </w:r>
    </w:p>
    <w:p w14:paraId="109BDEB8" w14:textId="543E8199" w:rsidR="007163E4" w:rsidRPr="00584E1E" w:rsidRDefault="007163E4" w:rsidP="007163E4">
      <w:pPr>
        <w:pStyle w:val="ListParagraph"/>
        <w:numPr>
          <w:ilvl w:val="0"/>
          <w:numId w:val="32"/>
        </w:numPr>
      </w:pPr>
      <w:r>
        <w:t>Nurses</w:t>
      </w:r>
    </w:p>
    <w:p w14:paraId="062CE591" w14:textId="77777777" w:rsidR="00B2497C" w:rsidRDefault="00B2497C" w:rsidP="00B2497C">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036F9411" w14:textId="73372685" w:rsidR="00B2497C" w:rsidRDefault="007163E4" w:rsidP="00B2497C">
      <w:pPr>
        <w:pStyle w:val="ListParagraph"/>
        <w:numPr>
          <w:ilvl w:val="0"/>
          <w:numId w:val="32"/>
        </w:numPr>
      </w:pPr>
      <w:r>
        <w:t>Gate clinic</w:t>
      </w:r>
    </w:p>
    <w:p w14:paraId="25CDA8E4" w14:textId="1C67D240" w:rsidR="007163E4" w:rsidRDefault="007163E4" w:rsidP="00B2497C">
      <w:pPr>
        <w:pStyle w:val="ListParagraph"/>
        <w:numPr>
          <w:ilvl w:val="0"/>
          <w:numId w:val="32"/>
        </w:numPr>
      </w:pPr>
      <w:r>
        <w:t>Outpatient department</w:t>
      </w:r>
    </w:p>
    <w:p w14:paraId="6A8FFFFA" w14:textId="729438BB" w:rsidR="00B2497C" w:rsidRPr="00584E1E" w:rsidRDefault="007163E4" w:rsidP="00B2497C">
      <w:pPr>
        <w:pStyle w:val="ListParagraph"/>
        <w:numPr>
          <w:ilvl w:val="0"/>
          <w:numId w:val="32"/>
        </w:numPr>
      </w:pPr>
      <w:r>
        <w:t>Ward</w:t>
      </w:r>
    </w:p>
    <w:p w14:paraId="315C15AE" w14:textId="77777777" w:rsidR="00B2497C" w:rsidRDefault="00B2497C" w:rsidP="00B2497C">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28413408" w14:textId="21A1D399" w:rsidR="0032033E" w:rsidRDefault="0032033E" w:rsidP="0032033E">
      <w:r>
        <w:t>This guideline covers the diagnoses and management of stroke.</w:t>
      </w:r>
      <w:r w:rsidR="00A90C14">
        <w:t xml:space="preserve"> It updates the previous guideline on acute stroke care.</w:t>
      </w:r>
    </w:p>
    <w:p w14:paraId="0F3D4495" w14:textId="77777777" w:rsidR="002E62E1" w:rsidRDefault="002E62E1" w:rsidP="002E62E1">
      <w:r>
        <w:t>Patients suspected to have suffered a stroke should be sent from the Gate Clinic to the ward for urgent review by a doctor.</w:t>
      </w:r>
    </w:p>
    <w:p w14:paraId="3C7CB90F" w14:textId="77777777" w:rsidR="002E62E1" w:rsidRDefault="002E62E1" w:rsidP="002E62E1">
      <w:r>
        <w:t>The ROSIER score can assist the doctor in diagnosis if the presentation is unclear.</w:t>
      </w:r>
    </w:p>
    <w:p w14:paraId="17D43F61" w14:textId="77777777" w:rsidR="002E62E1" w:rsidRDefault="002E62E1" w:rsidP="002E62E1">
      <w:r>
        <w:t xml:space="preserve">For patients presenting in </w:t>
      </w:r>
      <w:proofErr w:type="spellStart"/>
      <w:r>
        <w:t>Keneba</w:t>
      </w:r>
      <w:proofErr w:type="spellEnd"/>
      <w:r>
        <w:t>, refer after emergency care.</w:t>
      </w:r>
    </w:p>
    <w:p w14:paraId="4490384A" w14:textId="77777777" w:rsidR="002E62E1" w:rsidRDefault="002E62E1" w:rsidP="002E62E1">
      <w:r>
        <w:t xml:space="preserve">Ideally, patients should have a non-contrast cranial CT scan to rule out </w:t>
      </w:r>
      <w:proofErr w:type="spellStart"/>
      <w:r>
        <w:t>haemorrhage</w:t>
      </w:r>
      <w:proofErr w:type="spellEnd"/>
      <w:r>
        <w:t xml:space="preserve">. Treatment on the ward involves maintenance of hydration, management of intracranial pressure, </w:t>
      </w:r>
      <w:proofErr w:type="spellStart"/>
      <w:r>
        <w:t>antithrombotics</w:t>
      </w:r>
      <w:proofErr w:type="spellEnd"/>
      <w:r>
        <w:t xml:space="preserve"> (if </w:t>
      </w:r>
      <w:proofErr w:type="spellStart"/>
      <w:r>
        <w:t>ischaemic</w:t>
      </w:r>
      <w:proofErr w:type="spellEnd"/>
      <w:r>
        <w:t xml:space="preserve">), DVT and pressure ulcer prophylaxis, physical therapy and other supportive care. In addition, patients with suspected SAH require sedation, analgesia, laxatives and possible early neurosurgical referral. </w:t>
      </w:r>
    </w:p>
    <w:p w14:paraId="6BCC56BB" w14:textId="77777777" w:rsidR="002E62E1" w:rsidRDefault="002E62E1" w:rsidP="002E62E1">
      <w:r>
        <w:t>Post-discharge care should be planned in consultation with the patient and/or caregivers. This may include palliative care in patients with severe functional disability.</w:t>
      </w:r>
    </w:p>
    <w:p w14:paraId="22E16BEE" w14:textId="77777777" w:rsidR="00B2497C" w:rsidRDefault="00B2497C" w:rsidP="00B2497C">
      <w:pPr>
        <w:pStyle w:val="Heading2"/>
        <w:rPr>
          <w:rFonts w:cs="Arial"/>
          <w:szCs w:val="22"/>
        </w:rPr>
      </w:pPr>
      <w:r w:rsidRPr="00612AEE">
        <w:rPr>
          <w:rFonts w:cs="Arial"/>
          <w:szCs w:val="22"/>
        </w:rPr>
        <w:t>Limitations</w:t>
      </w:r>
    </w:p>
    <w:p w14:paraId="0A6B273E" w14:textId="77777777" w:rsidR="00AB204A" w:rsidRDefault="00AB204A" w:rsidP="00AB204A">
      <w:r>
        <w:t xml:space="preserve">CT scan and rehabilitation services may not be readily accessible to most patients. Thrombolysis for stroke is currently unavailable in The Gambia. </w:t>
      </w:r>
    </w:p>
    <w:p w14:paraId="6655FED9" w14:textId="77777777" w:rsidR="00975A60" w:rsidRPr="00DC590C" w:rsidRDefault="00975A60" w:rsidP="00975A60">
      <w:pPr>
        <w:pStyle w:val="Heading2"/>
        <w:rPr>
          <w:rFonts w:cs="Arial"/>
          <w:szCs w:val="22"/>
        </w:rPr>
      </w:pPr>
      <w:r w:rsidRPr="00DC590C">
        <w:rPr>
          <w:rFonts w:cs="Arial"/>
          <w:szCs w:val="22"/>
        </w:rPr>
        <w:lastRenderedPageBreak/>
        <w:t>Presenting symptoms and signs</w:t>
      </w:r>
    </w:p>
    <w:p w14:paraId="0C1EBC47" w14:textId="77777777" w:rsidR="00AC38CA" w:rsidRDefault="00BA0926" w:rsidP="00325B55">
      <w:r>
        <w:t xml:space="preserve">Stroke typically presents as sudden, rapidly peaking loss of neurological function. </w:t>
      </w:r>
      <w:r w:rsidR="00C541AE">
        <w:t>A history of s</w:t>
      </w:r>
      <w:r>
        <w:t xml:space="preserve">udden limb weakness, slurring of speech or visual deficits </w:t>
      </w:r>
      <w:r w:rsidR="00C541AE">
        <w:t>suggests</w:t>
      </w:r>
      <w:r>
        <w:t xml:space="preserve"> a stroke or</w:t>
      </w:r>
      <w:r w:rsidR="00C541AE">
        <w:t>, if resolved within 24 hours,</w:t>
      </w:r>
      <w:r>
        <w:t xml:space="preserve"> a transient </w:t>
      </w:r>
      <w:proofErr w:type="spellStart"/>
      <w:r>
        <w:t>ischaemic</w:t>
      </w:r>
      <w:proofErr w:type="spellEnd"/>
      <w:r>
        <w:t xml:space="preserve"> attack. Rarely, a stroke may present with only </w:t>
      </w:r>
      <w:proofErr w:type="spellStart"/>
      <w:r>
        <w:t>paraesthesia</w:t>
      </w:r>
      <w:proofErr w:type="spellEnd"/>
      <w:r>
        <w:t>, balance problems or language problems.</w:t>
      </w:r>
    </w:p>
    <w:p w14:paraId="1229A36C" w14:textId="77777777" w:rsidR="003D093E" w:rsidRDefault="003D093E" w:rsidP="00325B55">
      <w:r>
        <w:t>Ask for head trauma within the past 3 months.</w:t>
      </w:r>
    </w:p>
    <w:p w14:paraId="626F1F7A" w14:textId="521199AA" w:rsidR="00BA0926" w:rsidRDefault="00BA0926" w:rsidP="00BA0926">
      <w:r>
        <w:t xml:space="preserve">If any of coma, neck stiffness, seizures, diastolic blood pressure &gt; 110 mmHg, vomiting, or headache is also present, the patient is more likely to have had a </w:t>
      </w:r>
      <w:proofErr w:type="spellStart"/>
      <w:r>
        <w:t>haemorrhagic</w:t>
      </w:r>
      <w:proofErr w:type="spellEnd"/>
      <w:r>
        <w:t xml:space="preserve"> type of stroke.</w:t>
      </w:r>
      <w:r w:rsidR="001B68DF">
        <w:t xml:space="preserve"> A history of sudden severe headache and neck stiffness is in keeping with subarachnoid </w:t>
      </w:r>
      <w:proofErr w:type="spellStart"/>
      <w:r w:rsidR="001B68DF">
        <w:t>haemorrhage</w:t>
      </w:r>
      <w:proofErr w:type="spellEnd"/>
      <w:r w:rsidR="001B68DF">
        <w:t>.</w:t>
      </w:r>
    </w:p>
    <w:p w14:paraId="5C1782D4" w14:textId="77777777" w:rsidR="00BA0926" w:rsidRDefault="00BA0926" w:rsidP="00325B55">
      <w:r>
        <w:t xml:space="preserve">A history of only loss of consciousness or seizures suggests an alternative diagnosis. </w:t>
      </w:r>
    </w:p>
    <w:p w14:paraId="0D02F45B" w14:textId="77777777" w:rsidR="00975A60" w:rsidRPr="00DC590C" w:rsidRDefault="00975A60" w:rsidP="00975A60">
      <w:pPr>
        <w:pStyle w:val="Heading2"/>
        <w:rPr>
          <w:rFonts w:cs="Arial"/>
          <w:szCs w:val="22"/>
        </w:rPr>
      </w:pPr>
      <w:r w:rsidRPr="00DC590C">
        <w:rPr>
          <w:rFonts w:cs="Arial"/>
          <w:szCs w:val="22"/>
        </w:rPr>
        <w:t>Examination findings</w:t>
      </w:r>
    </w:p>
    <w:p w14:paraId="45650BC5" w14:textId="4E6764F2" w:rsidR="008D03E5" w:rsidRDefault="00C541AE" w:rsidP="002A2856">
      <w:r>
        <w:t xml:space="preserve">Assess airway, breathing and circulation. </w:t>
      </w:r>
      <w:r w:rsidR="008D03E5">
        <w:t xml:space="preserve">Check the observations </w:t>
      </w:r>
      <w:r w:rsidR="00BA0A1F">
        <w:t>(</w:t>
      </w:r>
      <w:r w:rsidR="00BA0A1F">
        <w:rPr>
          <w:szCs w:val="22"/>
          <w:lang w:bidi="th-TH"/>
        </w:rPr>
        <w:t>HR, BP, RR, O</w:t>
      </w:r>
      <w:r w:rsidR="00BA0A1F" w:rsidRPr="000001CD">
        <w:rPr>
          <w:szCs w:val="22"/>
          <w:vertAlign w:val="subscript"/>
          <w:lang w:bidi="th-TH"/>
        </w:rPr>
        <w:t>2</w:t>
      </w:r>
      <w:r>
        <w:rPr>
          <w:szCs w:val="22"/>
          <w:lang w:bidi="th-TH"/>
        </w:rPr>
        <w:t xml:space="preserve"> sat</w:t>
      </w:r>
      <w:r w:rsidR="00FA73E0">
        <w:rPr>
          <w:szCs w:val="22"/>
          <w:lang w:bidi="th-TH"/>
        </w:rPr>
        <w:t>urations</w:t>
      </w:r>
      <w:r w:rsidR="009C12B4">
        <w:rPr>
          <w:szCs w:val="22"/>
          <w:lang w:bidi="th-TH"/>
        </w:rPr>
        <w:t>, Temperature</w:t>
      </w:r>
      <w:r>
        <w:rPr>
          <w:szCs w:val="22"/>
          <w:lang w:bidi="th-TH"/>
        </w:rPr>
        <w:t>).</w:t>
      </w:r>
    </w:p>
    <w:p w14:paraId="50814DB2" w14:textId="77777777" w:rsidR="00C541AE" w:rsidRDefault="00C541AE" w:rsidP="002A2856">
      <w:r>
        <w:t xml:space="preserve">Assess </w:t>
      </w:r>
      <w:r w:rsidR="002A5909">
        <w:t xml:space="preserve">consciousness, then </w:t>
      </w:r>
      <w:r>
        <w:t>orientation in time, place and person. Observe for confusion and difficulty producing or understanding speech.</w:t>
      </w:r>
    </w:p>
    <w:p w14:paraId="0B8E8A4C" w14:textId="77777777" w:rsidR="001B68DF" w:rsidRDefault="00C541AE" w:rsidP="002A2856">
      <w:r>
        <w:t>Check for neck stiffness</w:t>
      </w:r>
      <w:r w:rsidR="001B68DF">
        <w:t xml:space="preserve"> which suggests subarachnoid </w:t>
      </w:r>
      <w:proofErr w:type="spellStart"/>
      <w:r w:rsidR="001B68DF">
        <w:t>haemorrhage</w:t>
      </w:r>
      <w:proofErr w:type="spellEnd"/>
      <w:r w:rsidR="001B68DF">
        <w:t>.</w:t>
      </w:r>
    </w:p>
    <w:p w14:paraId="765C36E9" w14:textId="77777777" w:rsidR="00C541AE" w:rsidRDefault="001B68DF" w:rsidP="002A2856">
      <w:r>
        <w:t xml:space="preserve">Assess the </w:t>
      </w:r>
      <w:r w:rsidR="00C541AE">
        <w:t xml:space="preserve">pupils, eye movements and facial symmetry. If patient is conscious, ask them to protrude their tongue. </w:t>
      </w:r>
      <w:r>
        <w:t xml:space="preserve"> </w:t>
      </w:r>
    </w:p>
    <w:p w14:paraId="4AB3766A" w14:textId="77777777" w:rsidR="00924F35" w:rsidRDefault="00C541AE" w:rsidP="002A2856">
      <w:r>
        <w:t>Assess tone, power and reflexes across the limbs.</w:t>
      </w:r>
    </w:p>
    <w:p w14:paraId="61D29E64" w14:textId="77777777" w:rsidR="00C541AE" w:rsidRDefault="00C541AE" w:rsidP="002A2856">
      <w:r>
        <w:t>Observe the gait if the patient is able to walk.</w:t>
      </w:r>
    </w:p>
    <w:p w14:paraId="68135305" w14:textId="77777777" w:rsidR="00C541AE" w:rsidRDefault="00C541AE" w:rsidP="002A2856">
      <w:r>
        <w:t xml:space="preserve">Listen over the </w:t>
      </w:r>
      <w:r w:rsidR="009C12B4">
        <w:t xml:space="preserve">heart for </w:t>
      </w:r>
      <w:r w:rsidR="00CB3DA4">
        <w:t xml:space="preserve">rhythm, </w:t>
      </w:r>
      <w:r w:rsidR="009C12B4">
        <w:t xml:space="preserve">murmurs and </w:t>
      </w:r>
      <w:r w:rsidR="00CB3DA4">
        <w:t xml:space="preserve">over </w:t>
      </w:r>
      <w:r w:rsidR="009C12B4">
        <w:t>the neck for</w:t>
      </w:r>
      <w:r>
        <w:t xml:space="preserve"> carotid bruit.</w:t>
      </w:r>
    </w:p>
    <w:p w14:paraId="4864C7D9" w14:textId="77777777" w:rsidR="00A5476D" w:rsidRDefault="00A5476D" w:rsidP="001C40F3">
      <w:pPr>
        <w:pStyle w:val="Heading2"/>
      </w:pPr>
      <w:r>
        <w:t>Investigations</w:t>
      </w:r>
    </w:p>
    <w:p w14:paraId="5D53B249" w14:textId="77777777" w:rsidR="00CB3DA4" w:rsidRDefault="00CB3DA4" w:rsidP="00F079F6">
      <w:pPr>
        <w:pStyle w:val="ListParagraph"/>
        <w:numPr>
          <w:ilvl w:val="0"/>
          <w:numId w:val="28"/>
        </w:numPr>
      </w:pPr>
      <w:r>
        <w:t xml:space="preserve">Blood glucose as soon as possible (Both hypo- and </w:t>
      </w:r>
      <w:proofErr w:type="spellStart"/>
      <w:r>
        <w:t>hyperglycaemia</w:t>
      </w:r>
      <w:proofErr w:type="spellEnd"/>
      <w:r>
        <w:t xml:space="preserve"> are stroke mimics. They also worsen stroke outcome)</w:t>
      </w:r>
    </w:p>
    <w:p w14:paraId="6EEB8E48" w14:textId="77777777" w:rsidR="00CB3DA4" w:rsidRDefault="00CB3DA4" w:rsidP="00F079F6">
      <w:pPr>
        <w:pStyle w:val="ListParagraph"/>
        <w:numPr>
          <w:ilvl w:val="0"/>
          <w:numId w:val="28"/>
        </w:numPr>
      </w:pPr>
      <w:r>
        <w:t xml:space="preserve">CT Scan of the brain without contrast </w:t>
      </w:r>
      <w:r w:rsidR="00BB7ABF">
        <w:t xml:space="preserve">to rule out </w:t>
      </w:r>
      <w:proofErr w:type="spellStart"/>
      <w:r w:rsidR="00BB7ABF">
        <w:t>haemorrhage</w:t>
      </w:r>
      <w:proofErr w:type="spellEnd"/>
      <w:r w:rsidR="00BB7ABF">
        <w:t>. This should be done same day if stable or next day (if available and affordable).</w:t>
      </w:r>
    </w:p>
    <w:p w14:paraId="5DBE5258" w14:textId="77777777" w:rsidR="00BB7ABF" w:rsidRDefault="00BB7ABF" w:rsidP="00F079F6">
      <w:pPr>
        <w:pStyle w:val="ListParagraph"/>
        <w:numPr>
          <w:ilvl w:val="0"/>
          <w:numId w:val="28"/>
        </w:numPr>
      </w:pPr>
      <w:r>
        <w:t>Full Blood Count</w:t>
      </w:r>
    </w:p>
    <w:p w14:paraId="6969F347" w14:textId="77777777" w:rsidR="00A5476D" w:rsidRDefault="00CB3DA4" w:rsidP="00F079F6">
      <w:pPr>
        <w:pStyle w:val="ListParagraph"/>
        <w:numPr>
          <w:ilvl w:val="0"/>
          <w:numId w:val="28"/>
        </w:numPr>
      </w:pPr>
      <w:r>
        <w:t>ESR (helps exclude vasculitis</w:t>
      </w:r>
      <w:r w:rsidR="001B68DF">
        <w:t xml:space="preserve"> in younger patients</w:t>
      </w:r>
      <w:r>
        <w:t>)</w:t>
      </w:r>
    </w:p>
    <w:p w14:paraId="20A6C78E" w14:textId="77777777" w:rsidR="00CB3DA4" w:rsidRDefault="00CB3DA4" w:rsidP="00F079F6">
      <w:pPr>
        <w:pStyle w:val="ListParagraph"/>
        <w:numPr>
          <w:ilvl w:val="0"/>
          <w:numId w:val="28"/>
        </w:numPr>
      </w:pPr>
      <w:r>
        <w:t>Electrolytes, Urea and Creatinine</w:t>
      </w:r>
    </w:p>
    <w:p w14:paraId="3942677B" w14:textId="77777777" w:rsidR="00CB3DA4" w:rsidRDefault="00CB3DA4" w:rsidP="00F079F6">
      <w:pPr>
        <w:pStyle w:val="ListParagraph"/>
        <w:numPr>
          <w:ilvl w:val="0"/>
          <w:numId w:val="28"/>
        </w:numPr>
      </w:pPr>
      <w:r>
        <w:t>Urinalysis</w:t>
      </w:r>
    </w:p>
    <w:p w14:paraId="4388ABCE" w14:textId="77777777" w:rsidR="00CB3DA4" w:rsidRDefault="00CB3DA4" w:rsidP="00F079F6">
      <w:pPr>
        <w:pStyle w:val="ListParagraph"/>
        <w:numPr>
          <w:ilvl w:val="0"/>
          <w:numId w:val="28"/>
        </w:numPr>
      </w:pPr>
      <w:r>
        <w:t>ECG</w:t>
      </w:r>
      <w:r w:rsidR="00BB7ABF">
        <w:t xml:space="preserve"> (rule out atrial fibrillation)</w:t>
      </w:r>
    </w:p>
    <w:p w14:paraId="6D33DAAB" w14:textId="77777777" w:rsidR="00CB3DA4" w:rsidRDefault="00CB3DA4" w:rsidP="00F079F6">
      <w:pPr>
        <w:pStyle w:val="ListParagraph"/>
        <w:numPr>
          <w:ilvl w:val="0"/>
          <w:numId w:val="28"/>
        </w:numPr>
      </w:pPr>
      <w:r>
        <w:t>CXR</w:t>
      </w:r>
    </w:p>
    <w:p w14:paraId="7958D458" w14:textId="77777777" w:rsidR="00CB3DA4" w:rsidRDefault="00CB3DA4" w:rsidP="00F079F6">
      <w:pPr>
        <w:pStyle w:val="ListParagraph"/>
        <w:numPr>
          <w:ilvl w:val="0"/>
          <w:numId w:val="28"/>
        </w:numPr>
      </w:pPr>
      <w:r>
        <w:t>Sepsis screen (if fever develops)</w:t>
      </w:r>
    </w:p>
    <w:p w14:paraId="5FD7287B" w14:textId="77777777" w:rsidR="00CB3DA4" w:rsidRDefault="00CB3DA4" w:rsidP="00F079F6">
      <w:pPr>
        <w:pStyle w:val="ListParagraph"/>
        <w:numPr>
          <w:ilvl w:val="0"/>
          <w:numId w:val="28"/>
        </w:numPr>
      </w:pPr>
      <w:r>
        <w:t>Clotting profile (if previously on warfarin)</w:t>
      </w:r>
    </w:p>
    <w:p w14:paraId="5C38E1E8" w14:textId="77777777" w:rsidR="00CB3DA4" w:rsidRPr="00BB7ABF" w:rsidRDefault="00BB7ABF" w:rsidP="002A2856">
      <w:pPr>
        <w:pStyle w:val="Heading2"/>
        <w:rPr>
          <w:rFonts w:cs="Arial"/>
          <w:b w:val="0"/>
          <w:sz w:val="22"/>
          <w:szCs w:val="22"/>
        </w:rPr>
      </w:pPr>
      <w:r w:rsidRPr="00BB7ABF">
        <w:rPr>
          <w:rFonts w:cs="Arial"/>
          <w:b w:val="0"/>
          <w:sz w:val="22"/>
          <w:szCs w:val="22"/>
        </w:rPr>
        <w:t>Aim to have acted on the results for the above tests (excluding cultures) in less than four hours.</w:t>
      </w:r>
    </w:p>
    <w:p w14:paraId="5DA02C02" w14:textId="77777777" w:rsidR="00AB204A" w:rsidRDefault="00AB204A">
      <w:pPr>
        <w:spacing w:after="0"/>
        <w:outlineLvl w:val="9"/>
        <w:rPr>
          <w:b/>
          <w:sz w:val="24"/>
          <w:szCs w:val="22"/>
        </w:rPr>
      </w:pPr>
      <w:r>
        <w:rPr>
          <w:szCs w:val="22"/>
        </w:rPr>
        <w:br w:type="page"/>
      </w:r>
    </w:p>
    <w:p w14:paraId="0D3F585A" w14:textId="1BBA857F" w:rsidR="00F03F25" w:rsidRDefault="001203AE" w:rsidP="002A2856">
      <w:pPr>
        <w:pStyle w:val="Heading2"/>
        <w:rPr>
          <w:rFonts w:cs="Arial"/>
          <w:szCs w:val="22"/>
        </w:rPr>
      </w:pPr>
      <w:r w:rsidRPr="003C0800">
        <w:rPr>
          <w:rFonts w:cs="Arial"/>
          <w:szCs w:val="22"/>
        </w:rPr>
        <w:lastRenderedPageBreak/>
        <w:t>Management</w:t>
      </w:r>
      <w:r>
        <w:rPr>
          <w:rFonts w:cs="Arial"/>
          <w:szCs w:val="22"/>
        </w:rPr>
        <w:t xml:space="preserve"> </w:t>
      </w:r>
    </w:p>
    <w:p w14:paraId="522D2AB8" w14:textId="77777777" w:rsidR="0008428E" w:rsidRDefault="00872890" w:rsidP="00E87EE4">
      <w:pPr>
        <w:pStyle w:val="Heading3"/>
      </w:pPr>
      <w:r>
        <w:t xml:space="preserve">Management in </w:t>
      </w:r>
      <w:r w:rsidR="00CB3DA4">
        <w:t>Gate Clinic</w:t>
      </w:r>
    </w:p>
    <w:p w14:paraId="29CCAD43" w14:textId="77777777" w:rsidR="00F014CB" w:rsidRDefault="00CB3DA4" w:rsidP="0008428E">
      <w:r>
        <w:t>All patients</w:t>
      </w:r>
      <w:r w:rsidR="00872890">
        <w:t xml:space="preserve"> with </w:t>
      </w:r>
      <w:r w:rsidR="00FE3A3E">
        <w:t>features of a possible stroke (</w:t>
      </w:r>
      <w:r w:rsidR="00BB7ABF">
        <w:t xml:space="preserve">recent onset of </w:t>
      </w:r>
      <w:r w:rsidR="00FE3A3E">
        <w:t>facial weakness, limb weakness or speech problems) should be referred immediately to the ward for urgent review by a doctor.</w:t>
      </w:r>
      <w:r w:rsidR="005B1FAB">
        <w:t xml:space="preserve"> </w:t>
      </w:r>
    </w:p>
    <w:p w14:paraId="2C1FA3B4" w14:textId="77777777" w:rsidR="00FE3A3E" w:rsidRDefault="00FE3A3E" w:rsidP="00FE3A3E">
      <w:pPr>
        <w:pStyle w:val="Heading3"/>
      </w:pPr>
      <w:r>
        <w:t>Management on the Ward</w:t>
      </w:r>
    </w:p>
    <w:p w14:paraId="54D80B5A" w14:textId="77777777" w:rsidR="00AC38CA" w:rsidRPr="00BB7ABF" w:rsidRDefault="00AC38CA" w:rsidP="00AC38CA">
      <w:pPr>
        <w:rPr>
          <w:u w:val="single"/>
        </w:rPr>
      </w:pPr>
      <w:r w:rsidRPr="00BB7ABF">
        <w:rPr>
          <w:u w:val="single"/>
        </w:rPr>
        <w:t>Assessment:</w:t>
      </w:r>
    </w:p>
    <w:p w14:paraId="7F386929" w14:textId="77777777" w:rsidR="00FE3A3E" w:rsidRDefault="00FE3A3E" w:rsidP="00297396">
      <w:r>
        <w:t>Use the ROSIER (Recognition of Stroke in the Emergency Room) score if uncertain of the diagnosis of stroke</w:t>
      </w:r>
    </w:p>
    <w:tbl>
      <w:tblPr>
        <w:tblStyle w:val="TableGrid"/>
        <w:tblW w:w="0" w:type="auto"/>
        <w:tblLook w:val="04A0" w:firstRow="1" w:lastRow="0" w:firstColumn="1" w:lastColumn="0" w:noHBand="0" w:noVBand="1"/>
      </w:tblPr>
      <w:tblGrid>
        <w:gridCol w:w="6912"/>
        <w:gridCol w:w="1944"/>
      </w:tblGrid>
      <w:tr w:rsidR="00FE3A3E" w14:paraId="211F0467" w14:textId="77777777" w:rsidTr="00FE3A3E">
        <w:tc>
          <w:tcPr>
            <w:tcW w:w="6912" w:type="dxa"/>
          </w:tcPr>
          <w:p w14:paraId="3227588F" w14:textId="77777777" w:rsidR="00FE3A3E" w:rsidRPr="00A80568" w:rsidRDefault="00FE3A3E" w:rsidP="00297396">
            <w:pPr>
              <w:rPr>
                <w:b/>
              </w:rPr>
            </w:pPr>
            <w:r w:rsidRPr="00A80568">
              <w:rPr>
                <w:b/>
              </w:rPr>
              <w:t>Feature</w:t>
            </w:r>
          </w:p>
        </w:tc>
        <w:tc>
          <w:tcPr>
            <w:tcW w:w="1944" w:type="dxa"/>
          </w:tcPr>
          <w:p w14:paraId="2A7D39CC" w14:textId="77777777" w:rsidR="00FE3A3E" w:rsidRPr="00A80568" w:rsidRDefault="00FE3A3E" w:rsidP="00297396">
            <w:pPr>
              <w:rPr>
                <w:b/>
              </w:rPr>
            </w:pPr>
            <w:r w:rsidRPr="00A80568">
              <w:rPr>
                <w:b/>
              </w:rPr>
              <w:t>Score</w:t>
            </w:r>
          </w:p>
        </w:tc>
      </w:tr>
      <w:tr w:rsidR="00FE3A3E" w14:paraId="713C5B17" w14:textId="77777777" w:rsidTr="00FE3A3E">
        <w:tc>
          <w:tcPr>
            <w:tcW w:w="6912" w:type="dxa"/>
          </w:tcPr>
          <w:p w14:paraId="3DF8AD39" w14:textId="77777777" w:rsidR="00FE3A3E" w:rsidRDefault="00FE3A3E" w:rsidP="00297396">
            <w:r>
              <w:t>Loss of consciousness or syncope</w:t>
            </w:r>
          </w:p>
        </w:tc>
        <w:tc>
          <w:tcPr>
            <w:tcW w:w="1944" w:type="dxa"/>
          </w:tcPr>
          <w:p w14:paraId="081A3A54" w14:textId="77777777" w:rsidR="00FE3A3E" w:rsidRDefault="00FE3A3E" w:rsidP="00297396">
            <w:r>
              <w:t>-1</w:t>
            </w:r>
          </w:p>
        </w:tc>
      </w:tr>
      <w:tr w:rsidR="00FE3A3E" w14:paraId="470574DE" w14:textId="77777777" w:rsidTr="00FE3A3E">
        <w:tc>
          <w:tcPr>
            <w:tcW w:w="6912" w:type="dxa"/>
          </w:tcPr>
          <w:p w14:paraId="337F7280" w14:textId="77777777" w:rsidR="00FE3A3E" w:rsidRDefault="00FE3A3E" w:rsidP="00297396">
            <w:r>
              <w:t>Seizure activity</w:t>
            </w:r>
          </w:p>
        </w:tc>
        <w:tc>
          <w:tcPr>
            <w:tcW w:w="1944" w:type="dxa"/>
          </w:tcPr>
          <w:p w14:paraId="3B5856C4" w14:textId="77777777" w:rsidR="00FE3A3E" w:rsidRDefault="00707BED" w:rsidP="00297396">
            <w:r>
              <w:t>-1</w:t>
            </w:r>
          </w:p>
        </w:tc>
      </w:tr>
      <w:tr w:rsidR="00FE3A3E" w14:paraId="40B510EF" w14:textId="77777777" w:rsidTr="00FE3A3E">
        <w:tc>
          <w:tcPr>
            <w:tcW w:w="6912" w:type="dxa"/>
          </w:tcPr>
          <w:p w14:paraId="3761566B" w14:textId="77777777" w:rsidR="00FE3A3E" w:rsidRDefault="00707BED" w:rsidP="00297396">
            <w:r>
              <w:t>Asymmetric facial weakness*</w:t>
            </w:r>
          </w:p>
        </w:tc>
        <w:tc>
          <w:tcPr>
            <w:tcW w:w="1944" w:type="dxa"/>
          </w:tcPr>
          <w:p w14:paraId="2C3D24AF" w14:textId="77777777" w:rsidR="00FE3A3E" w:rsidRDefault="00707BED" w:rsidP="00297396">
            <w:r>
              <w:t>+1</w:t>
            </w:r>
          </w:p>
        </w:tc>
      </w:tr>
      <w:tr w:rsidR="00FE3A3E" w14:paraId="3771D3EB" w14:textId="77777777" w:rsidTr="00FE3A3E">
        <w:tc>
          <w:tcPr>
            <w:tcW w:w="6912" w:type="dxa"/>
          </w:tcPr>
          <w:p w14:paraId="7D5785F9" w14:textId="77777777" w:rsidR="00FE3A3E" w:rsidRDefault="00707BED" w:rsidP="00297396">
            <w:r>
              <w:t>Asymmetric arm weakness*</w:t>
            </w:r>
          </w:p>
        </w:tc>
        <w:tc>
          <w:tcPr>
            <w:tcW w:w="1944" w:type="dxa"/>
          </w:tcPr>
          <w:p w14:paraId="21BBA9E7" w14:textId="77777777" w:rsidR="00FE3A3E" w:rsidRDefault="00707BED" w:rsidP="00297396">
            <w:r>
              <w:t>+1</w:t>
            </w:r>
          </w:p>
        </w:tc>
      </w:tr>
      <w:tr w:rsidR="00FE3A3E" w14:paraId="66972376" w14:textId="77777777" w:rsidTr="00FE3A3E">
        <w:tc>
          <w:tcPr>
            <w:tcW w:w="6912" w:type="dxa"/>
          </w:tcPr>
          <w:p w14:paraId="24DB9F69" w14:textId="77777777" w:rsidR="00FE3A3E" w:rsidRDefault="00707BED" w:rsidP="00297396">
            <w:r>
              <w:t>Asymmetric leg weakness*</w:t>
            </w:r>
          </w:p>
        </w:tc>
        <w:tc>
          <w:tcPr>
            <w:tcW w:w="1944" w:type="dxa"/>
          </w:tcPr>
          <w:p w14:paraId="187F4C19" w14:textId="77777777" w:rsidR="00FE3A3E" w:rsidRDefault="00707BED" w:rsidP="00297396">
            <w:r>
              <w:t>+1</w:t>
            </w:r>
          </w:p>
        </w:tc>
      </w:tr>
      <w:tr w:rsidR="00FE3A3E" w14:paraId="2688A4F8" w14:textId="77777777" w:rsidTr="00FE3A3E">
        <w:tc>
          <w:tcPr>
            <w:tcW w:w="6912" w:type="dxa"/>
          </w:tcPr>
          <w:p w14:paraId="4F38518A" w14:textId="77777777" w:rsidR="00FE3A3E" w:rsidRDefault="00707BED" w:rsidP="00297396">
            <w:r>
              <w:t>Speech disturbance*</w:t>
            </w:r>
          </w:p>
        </w:tc>
        <w:tc>
          <w:tcPr>
            <w:tcW w:w="1944" w:type="dxa"/>
          </w:tcPr>
          <w:p w14:paraId="3E9CF5A6" w14:textId="77777777" w:rsidR="00FE3A3E" w:rsidRDefault="00707BED" w:rsidP="00297396">
            <w:r>
              <w:t>+1</w:t>
            </w:r>
          </w:p>
        </w:tc>
      </w:tr>
      <w:tr w:rsidR="00FE3A3E" w14:paraId="14500F4F" w14:textId="77777777" w:rsidTr="00FE3A3E">
        <w:tc>
          <w:tcPr>
            <w:tcW w:w="6912" w:type="dxa"/>
          </w:tcPr>
          <w:p w14:paraId="632D7264" w14:textId="77777777" w:rsidR="00FE3A3E" w:rsidRDefault="00707BED" w:rsidP="00297396">
            <w:r>
              <w:t>Visual field defect*</w:t>
            </w:r>
          </w:p>
        </w:tc>
        <w:tc>
          <w:tcPr>
            <w:tcW w:w="1944" w:type="dxa"/>
          </w:tcPr>
          <w:p w14:paraId="618A5E49" w14:textId="77777777" w:rsidR="00FE3A3E" w:rsidRDefault="00707BED" w:rsidP="00297396">
            <w:r>
              <w:t>+1</w:t>
            </w:r>
          </w:p>
        </w:tc>
      </w:tr>
    </w:tbl>
    <w:p w14:paraId="5E67F5AE" w14:textId="77777777" w:rsidR="00FE3A3E" w:rsidRDefault="00707BED" w:rsidP="00707BED">
      <w:pPr>
        <w:pStyle w:val="ListParagraph"/>
      </w:pPr>
      <w:r>
        <w:t>*of recent sudden onset or noticed on waking from sleep</w:t>
      </w:r>
    </w:p>
    <w:p w14:paraId="554905F3" w14:textId="77777777" w:rsidR="00707BED" w:rsidRDefault="00707BED" w:rsidP="00297396">
      <w:r>
        <w:t>If the total ROSIER score is less than 1, a diagnosis of stroke is unlikely.</w:t>
      </w:r>
    </w:p>
    <w:p w14:paraId="6D763123" w14:textId="593094EB" w:rsidR="00AB5E11" w:rsidRDefault="00707BED" w:rsidP="00297396">
      <w:r>
        <w:t>Consider other diagnosis if the pat</w:t>
      </w:r>
      <w:r w:rsidR="00772065">
        <w:t>i</w:t>
      </w:r>
      <w:r>
        <w:t xml:space="preserve">ent is </w:t>
      </w:r>
      <w:r w:rsidR="00297396">
        <w:t xml:space="preserve">young, </w:t>
      </w:r>
      <w:r>
        <w:t>has</w:t>
      </w:r>
      <w:r w:rsidR="00AC38CA">
        <w:t xml:space="preserve"> </w:t>
      </w:r>
      <w:r w:rsidR="00297396">
        <w:t xml:space="preserve">gradual progression over days, </w:t>
      </w:r>
      <w:r>
        <w:t xml:space="preserve">is </w:t>
      </w:r>
      <w:r w:rsidR="00297396">
        <w:t>febrile or</w:t>
      </w:r>
      <w:r>
        <w:t xml:space="preserve"> has</w:t>
      </w:r>
      <w:r w:rsidR="00297396">
        <w:t xml:space="preserve"> </w:t>
      </w:r>
      <w:proofErr w:type="spellStart"/>
      <w:r w:rsidR="00297396">
        <w:t>papilloedema</w:t>
      </w:r>
      <w:proofErr w:type="spellEnd"/>
      <w:r w:rsidR="00297396">
        <w:t>.</w:t>
      </w:r>
    </w:p>
    <w:p w14:paraId="6A480133" w14:textId="1F1BC1F3" w:rsidR="002A5909" w:rsidRDefault="00BB7ABF" w:rsidP="00872890">
      <w:pPr>
        <w:rPr>
          <w:u w:val="single"/>
        </w:rPr>
      </w:pPr>
      <w:r w:rsidRPr="00BB7ABF">
        <w:rPr>
          <w:u w:val="single"/>
        </w:rPr>
        <w:t>Treatment:</w:t>
      </w:r>
    </w:p>
    <w:p w14:paraId="6F2F221A" w14:textId="163FE3E3" w:rsidR="00A80568" w:rsidRPr="00BB7ABF" w:rsidRDefault="008D6DA1" w:rsidP="00872890">
      <w:pPr>
        <w:rPr>
          <w:u w:val="single"/>
        </w:rPr>
      </w:pPr>
      <w:r>
        <w:rPr>
          <w:u w:val="single"/>
        </w:rPr>
        <w:t>Starting at admission</w:t>
      </w:r>
      <w:r w:rsidR="00A80568">
        <w:rPr>
          <w:u w:val="single"/>
        </w:rPr>
        <w:t>:</w:t>
      </w:r>
    </w:p>
    <w:p w14:paraId="6C26409F" w14:textId="77777777" w:rsidR="008D6DA1" w:rsidRDefault="008D6DA1" w:rsidP="00A80568">
      <w:pPr>
        <w:pStyle w:val="ListParagraph"/>
        <w:numPr>
          <w:ilvl w:val="0"/>
          <w:numId w:val="26"/>
        </w:numPr>
        <w:spacing w:line="360" w:lineRule="auto"/>
        <w:ind w:left="357" w:hanging="357"/>
      </w:pPr>
      <w:r>
        <w:t xml:space="preserve">Hydrate initially with </w:t>
      </w:r>
      <w:r w:rsidRPr="008D6DA1">
        <w:rPr>
          <w:b/>
        </w:rPr>
        <w:t>IV normal saline</w:t>
      </w:r>
      <w:r>
        <w:t xml:space="preserve">. </w:t>
      </w:r>
    </w:p>
    <w:p w14:paraId="018DCD99" w14:textId="128A11F2" w:rsidR="00A80568" w:rsidRDefault="00A80568" w:rsidP="008D6DA1">
      <w:pPr>
        <w:pStyle w:val="ListParagraph"/>
        <w:numPr>
          <w:ilvl w:val="1"/>
          <w:numId w:val="26"/>
        </w:numPr>
        <w:spacing w:line="360" w:lineRule="auto"/>
      </w:pPr>
      <w:r>
        <w:t xml:space="preserve">Nothing by mouth if dysarthric. Start on NG tube. </w:t>
      </w:r>
      <w:r w:rsidR="008D6DA1">
        <w:t xml:space="preserve">Repeat </w:t>
      </w:r>
      <w:r w:rsidR="008D6DA1" w:rsidRPr="00846AFC">
        <w:rPr>
          <w:b/>
        </w:rPr>
        <w:t>swallow test</w:t>
      </w:r>
      <w:r w:rsidR="008D6DA1">
        <w:t xml:space="preserve"> daily for conscious patients.</w:t>
      </w:r>
    </w:p>
    <w:p w14:paraId="60C88E09" w14:textId="2F2C6B6F" w:rsidR="008D6DA1" w:rsidRDefault="000D69C3" w:rsidP="008D6DA1">
      <w:pPr>
        <w:pStyle w:val="ListParagraph"/>
        <w:numPr>
          <w:ilvl w:val="0"/>
          <w:numId w:val="26"/>
        </w:numPr>
        <w:spacing w:line="360" w:lineRule="auto"/>
        <w:ind w:left="357" w:hanging="357"/>
      </w:pPr>
      <w:r>
        <w:t>If there are signs of</w:t>
      </w:r>
      <w:r>
        <w:rPr>
          <w:b/>
        </w:rPr>
        <w:t xml:space="preserve"> </w:t>
      </w:r>
      <w:r w:rsidRPr="00846AFC">
        <w:rPr>
          <w:b/>
        </w:rPr>
        <w:t>raised ICP</w:t>
      </w:r>
      <w:r>
        <w:rPr>
          <w:b/>
        </w:rPr>
        <w:t>,</w:t>
      </w:r>
      <w:r>
        <w:t xml:space="preserve"> give</w:t>
      </w:r>
      <w:r w:rsidR="008D6DA1">
        <w:t xml:space="preserve"> IV furosemide 40 mg bolus and IV mannitol 0.5 g/kg given over 20 minutes 4 - 6 hourly.</w:t>
      </w:r>
      <w:r w:rsidR="008D6DA1" w:rsidRPr="00846AFC">
        <w:t xml:space="preserve"> </w:t>
      </w:r>
    </w:p>
    <w:p w14:paraId="7AE8A9C0" w14:textId="77777777" w:rsidR="008D6DA1" w:rsidRDefault="008D6DA1" w:rsidP="008D6DA1">
      <w:pPr>
        <w:pStyle w:val="ListParagraph"/>
        <w:numPr>
          <w:ilvl w:val="0"/>
          <w:numId w:val="26"/>
        </w:numPr>
        <w:spacing w:line="360" w:lineRule="auto"/>
        <w:ind w:left="357" w:hanging="357"/>
      </w:pPr>
      <w:proofErr w:type="spellStart"/>
      <w:r w:rsidRPr="00164B3A">
        <w:t>Antithrombotics</w:t>
      </w:r>
      <w:proofErr w:type="spellEnd"/>
      <w:r>
        <w:t xml:space="preserve">: If CT scan rules out </w:t>
      </w:r>
      <w:proofErr w:type="spellStart"/>
      <w:r>
        <w:t>haemorrhage</w:t>
      </w:r>
      <w:proofErr w:type="spellEnd"/>
      <w:r>
        <w:t xml:space="preserve">, commence </w:t>
      </w:r>
      <w:r w:rsidRPr="00164B3A">
        <w:rPr>
          <w:b/>
        </w:rPr>
        <w:t>oral aspirin</w:t>
      </w:r>
      <w:r>
        <w:t xml:space="preserve"> at 300 mg daily for 4 weeks. For patients without a CT scan but unlikely to have </w:t>
      </w:r>
      <w:proofErr w:type="spellStart"/>
      <w:r>
        <w:t>haemorrhagic</w:t>
      </w:r>
      <w:proofErr w:type="spellEnd"/>
      <w:r>
        <w:t xml:space="preserve"> stroke, start aspirin on day 2 at 150 mg daily for 2 weeks. Reduce to 75 mg daily subsequently.</w:t>
      </w:r>
    </w:p>
    <w:p w14:paraId="68AC70C8" w14:textId="77777777" w:rsidR="00A80568" w:rsidRDefault="00A80568" w:rsidP="00A80568">
      <w:pPr>
        <w:pStyle w:val="ListParagraph"/>
        <w:numPr>
          <w:ilvl w:val="0"/>
          <w:numId w:val="26"/>
        </w:numPr>
        <w:spacing w:line="360" w:lineRule="auto"/>
        <w:ind w:left="357" w:hanging="357"/>
      </w:pPr>
      <w:r>
        <w:t>For suspected vasculitis (</w:t>
      </w:r>
      <w:proofErr w:type="spellStart"/>
      <w:r>
        <w:t>e.g</w:t>
      </w:r>
      <w:proofErr w:type="spellEnd"/>
      <w:r>
        <w:t xml:space="preserve"> raised ESR),</w:t>
      </w:r>
      <w:r w:rsidRPr="001B68DF">
        <w:t xml:space="preserve"> consider starting 1</w:t>
      </w:r>
      <w:r>
        <w:t xml:space="preserve"> </w:t>
      </w:r>
      <w:r w:rsidRPr="001B68DF">
        <w:t>mg per kg prednisolone.</w:t>
      </w:r>
    </w:p>
    <w:p w14:paraId="3EABE035" w14:textId="77777777" w:rsidR="008D6DA1" w:rsidRDefault="00A80568" w:rsidP="008D6DA1">
      <w:pPr>
        <w:pStyle w:val="ListParagraph"/>
        <w:numPr>
          <w:ilvl w:val="0"/>
          <w:numId w:val="26"/>
        </w:numPr>
        <w:spacing w:line="360" w:lineRule="auto"/>
        <w:ind w:left="357" w:hanging="357"/>
      </w:pPr>
      <w:r>
        <w:lastRenderedPageBreak/>
        <w:t>For stroke patients presenting in Keneba, commence emergency care and refer immediately.</w:t>
      </w:r>
      <w:r w:rsidR="008D6DA1" w:rsidRPr="008D6DA1">
        <w:t xml:space="preserve"> </w:t>
      </w:r>
    </w:p>
    <w:p w14:paraId="35373CF7" w14:textId="0621DBFD" w:rsidR="008D6DA1" w:rsidRPr="008D6DA1" w:rsidRDefault="008D6DA1" w:rsidP="008D6DA1">
      <w:pPr>
        <w:spacing w:line="360" w:lineRule="auto"/>
        <w:rPr>
          <w:u w:val="single"/>
        </w:rPr>
      </w:pPr>
      <w:r>
        <w:rPr>
          <w:u w:val="single"/>
        </w:rPr>
        <w:t>Starting a</w:t>
      </w:r>
      <w:r w:rsidRPr="008D6DA1">
        <w:rPr>
          <w:u w:val="single"/>
        </w:rPr>
        <w:t>fter 24 hours:</w:t>
      </w:r>
    </w:p>
    <w:p w14:paraId="5B324105" w14:textId="77777777" w:rsidR="00263BE6" w:rsidRDefault="00297396" w:rsidP="00164B3A">
      <w:pPr>
        <w:pStyle w:val="ListParagraph"/>
        <w:numPr>
          <w:ilvl w:val="0"/>
          <w:numId w:val="26"/>
        </w:numPr>
        <w:spacing w:line="360" w:lineRule="auto"/>
        <w:ind w:left="357" w:hanging="357"/>
      </w:pPr>
      <w:r w:rsidRPr="00164B3A">
        <w:rPr>
          <w:b/>
        </w:rPr>
        <w:t xml:space="preserve">DVT </w:t>
      </w:r>
      <w:r w:rsidR="00846AFC" w:rsidRPr="00164B3A">
        <w:rPr>
          <w:b/>
        </w:rPr>
        <w:t>prophylaxis</w:t>
      </w:r>
      <w:r>
        <w:t xml:space="preserve"> with </w:t>
      </w:r>
      <w:r w:rsidRPr="00164B3A">
        <w:rPr>
          <w:b/>
        </w:rPr>
        <w:t xml:space="preserve">heparin </w:t>
      </w:r>
      <w:r>
        <w:t>after 2 days</w:t>
      </w:r>
      <w:r w:rsidR="00263BE6">
        <w:t xml:space="preserve"> for immobile patients if hemorrhage is ruled out or unlikely.</w:t>
      </w:r>
    </w:p>
    <w:p w14:paraId="0D3CEDDF" w14:textId="77777777" w:rsidR="00297396" w:rsidRDefault="00FB20BD" w:rsidP="00164B3A">
      <w:pPr>
        <w:pStyle w:val="ListParagraph"/>
        <w:numPr>
          <w:ilvl w:val="0"/>
          <w:numId w:val="26"/>
        </w:numPr>
        <w:spacing w:line="360" w:lineRule="auto"/>
        <w:ind w:left="357" w:hanging="357"/>
      </w:pPr>
      <w:r w:rsidRPr="00846AFC">
        <w:rPr>
          <w:b/>
        </w:rPr>
        <w:t>E</w:t>
      </w:r>
      <w:r w:rsidR="00297396" w:rsidRPr="00846AFC">
        <w:rPr>
          <w:b/>
        </w:rPr>
        <w:t>arly mobilization</w:t>
      </w:r>
      <w:r w:rsidR="00297396">
        <w:t xml:space="preserve"> of the patient </w:t>
      </w:r>
      <w:r>
        <w:t xml:space="preserve">is encouraged but </w:t>
      </w:r>
      <w:r w:rsidR="00297396">
        <w:t xml:space="preserve">minimize </w:t>
      </w:r>
      <w:r w:rsidR="001B68DF">
        <w:t>with</w:t>
      </w:r>
      <w:r w:rsidR="00297396">
        <w:t xml:space="preserve">in </w:t>
      </w:r>
      <w:r>
        <w:t>fir</w:t>
      </w:r>
      <w:r w:rsidR="00297396">
        <w:t>st 24 hours</w:t>
      </w:r>
      <w:r>
        <w:t>.</w:t>
      </w:r>
    </w:p>
    <w:p w14:paraId="08F7E77F" w14:textId="77777777" w:rsidR="00263BE6" w:rsidRDefault="00846AFC" w:rsidP="00164B3A">
      <w:pPr>
        <w:pStyle w:val="ListParagraph"/>
        <w:numPr>
          <w:ilvl w:val="0"/>
          <w:numId w:val="26"/>
        </w:numPr>
        <w:spacing w:line="360" w:lineRule="auto"/>
        <w:ind w:left="357" w:hanging="357"/>
      </w:pPr>
      <w:r w:rsidRPr="00846AFC">
        <w:rPr>
          <w:b/>
        </w:rPr>
        <w:t xml:space="preserve">Statins </w:t>
      </w:r>
      <w:r>
        <w:t>should be commenced after 48 hours if patient is able to obtain the drug.</w:t>
      </w:r>
    </w:p>
    <w:p w14:paraId="0A1BF453" w14:textId="358F9415" w:rsidR="00AC38CA" w:rsidRDefault="00A80568" w:rsidP="00164B3A">
      <w:pPr>
        <w:pStyle w:val="ListParagraph"/>
        <w:numPr>
          <w:ilvl w:val="0"/>
          <w:numId w:val="26"/>
        </w:numPr>
        <w:spacing w:line="360" w:lineRule="auto"/>
        <w:ind w:left="357" w:hanging="357"/>
      </w:pPr>
      <w:r>
        <w:t xml:space="preserve">Treat </w:t>
      </w:r>
      <w:r w:rsidRPr="008D6DA1">
        <w:rPr>
          <w:b/>
        </w:rPr>
        <w:t>recurrent seizures</w:t>
      </w:r>
      <w:r>
        <w:t xml:space="preserve"> with oral carbamazepine or valproate. </w:t>
      </w:r>
    </w:p>
    <w:p w14:paraId="5A671D9D" w14:textId="3BF0C754" w:rsidR="0068168D" w:rsidRPr="0068168D" w:rsidRDefault="0068168D" w:rsidP="0068168D">
      <w:pPr>
        <w:spacing w:line="360" w:lineRule="auto"/>
        <w:rPr>
          <w:u w:val="single"/>
        </w:rPr>
      </w:pPr>
      <w:r w:rsidRPr="0068168D">
        <w:rPr>
          <w:u w:val="single"/>
        </w:rPr>
        <w:t>Ongoing supportive care</w:t>
      </w:r>
    </w:p>
    <w:p w14:paraId="6E538E38" w14:textId="77777777" w:rsidR="0068168D" w:rsidRDefault="0068168D" w:rsidP="0068168D">
      <w:pPr>
        <w:pStyle w:val="ListParagraph"/>
        <w:numPr>
          <w:ilvl w:val="0"/>
          <w:numId w:val="26"/>
        </w:numPr>
        <w:spacing w:line="360" w:lineRule="auto"/>
        <w:ind w:left="357" w:hanging="357"/>
      </w:pPr>
      <w:r>
        <w:rPr>
          <w:b/>
        </w:rPr>
        <w:t>Supplemental Oxygen</w:t>
      </w:r>
      <w:r>
        <w:t xml:space="preserve"> should be given for patients with oxygen saturations below 94%.</w:t>
      </w:r>
    </w:p>
    <w:p w14:paraId="69F672BF" w14:textId="77777777" w:rsidR="0068168D" w:rsidRDefault="0068168D" w:rsidP="0068168D">
      <w:pPr>
        <w:pStyle w:val="ListParagraph"/>
        <w:numPr>
          <w:ilvl w:val="0"/>
          <w:numId w:val="26"/>
        </w:numPr>
        <w:spacing w:line="360" w:lineRule="auto"/>
        <w:ind w:left="357" w:hanging="357"/>
      </w:pPr>
      <w:r>
        <w:t xml:space="preserve">Keep </w:t>
      </w:r>
      <w:r w:rsidRPr="00846AFC">
        <w:rPr>
          <w:b/>
        </w:rPr>
        <w:t>systolic BP</w:t>
      </w:r>
      <w:r>
        <w:t xml:space="preserve"> below 180 mmHg with oral antihypertensives. Consider IV labetalol if systolic blood pressure is &gt;220 mmHg</w:t>
      </w:r>
    </w:p>
    <w:p w14:paraId="2E9CF19D" w14:textId="77777777" w:rsidR="0068168D" w:rsidRDefault="0068168D" w:rsidP="0068168D">
      <w:pPr>
        <w:pStyle w:val="ListParagraph"/>
        <w:numPr>
          <w:ilvl w:val="0"/>
          <w:numId w:val="26"/>
        </w:numPr>
        <w:spacing w:line="360" w:lineRule="auto"/>
        <w:ind w:left="357" w:hanging="357"/>
      </w:pPr>
      <w:r>
        <w:t xml:space="preserve">Maintain </w:t>
      </w:r>
      <w:r w:rsidRPr="00846AFC">
        <w:rPr>
          <w:b/>
        </w:rPr>
        <w:t>blood glucose</w:t>
      </w:r>
      <w:r>
        <w:t xml:space="preserve"> between 7.7 – 10 mmol/l. </w:t>
      </w:r>
      <w:proofErr w:type="spellStart"/>
      <w:r>
        <w:t>Hypoglycaemia</w:t>
      </w:r>
      <w:proofErr w:type="spellEnd"/>
      <w:r>
        <w:t xml:space="preserve"> should be identified and treated promptly. </w:t>
      </w:r>
      <w:proofErr w:type="spellStart"/>
      <w:r>
        <w:t>Hyperglycaemia</w:t>
      </w:r>
      <w:proofErr w:type="spellEnd"/>
      <w:r>
        <w:t xml:space="preserve"> may require insulin therapy as discussed in the Diabetes Mellitus guideline. </w:t>
      </w:r>
    </w:p>
    <w:p w14:paraId="7F9DF615" w14:textId="795BC337" w:rsidR="0068168D" w:rsidRPr="00024576" w:rsidRDefault="0068168D" w:rsidP="0068168D">
      <w:pPr>
        <w:pStyle w:val="ListParagraph"/>
        <w:numPr>
          <w:ilvl w:val="0"/>
          <w:numId w:val="26"/>
        </w:numPr>
        <w:spacing w:line="360" w:lineRule="auto"/>
        <w:ind w:left="357" w:hanging="357"/>
      </w:pPr>
      <w:r>
        <w:t xml:space="preserve">Maintain normal </w:t>
      </w:r>
      <w:r w:rsidRPr="008D6DA1">
        <w:rPr>
          <w:b/>
        </w:rPr>
        <w:t>body temperature</w:t>
      </w:r>
      <w:r>
        <w:t>. Fever &gt;37.5°C should be treated with paracetamol. Search for possible infections and do sepsis screening. Avoid indwelling catheters if feasible</w:t>
      </w:r>
      <w:r w:rsidR="000D69C3">
        <w:t>,</w:t>
      </w:r>
      <w:r>
        <w:t xml:space="preserve"> otherwise monitor daily.</w:t>
      </w:r>
    </w:p>
    <w:p w14:paraId="4450BF58" w14:textId="21E5C556" w:rsidR="008D6DA1" w:rsidRPr="009666BF" w:rsidRDefault="008D6DA1" w:rsidP="009666BF">
      <w:pPr>
        <w:rPr>
          <w:u w:val="single"/>
        </w:rPr>
      </w:pPr>
      <w:r w:rsidRPr="009666BF">
        <w:rPr>
          <w:u w:val="single"/>
        </w:rPr>
        <w:t>SAH:</w:t>
      </w:r>
    </w:p>
    <w:p w14:paraId="10A846A9" w14:textId="77777777" w:rsidR="008D6DA1" w:rsidRDefault="008D6DA1" w:rsidP="008D6DA1">
      <w:pPr>
        <w:pStyle w:val="ListParagraph"/>
        <w:numPr>
          <w:ilvl w:val="0"/>
          <w:numId w:val="26"/>
        </w:numPr>
        <w:spacing w:line="360" w:lineRule="auto"/>
        <w:ind w:left="357" w:hanging="357"/>
      </w:pPr>
      <w:r w:rsidRPr="00024576">
        <w:t xml:space="preserve">For suspected or confirmed subarachnoid </w:t>
      </w:r>
      <w:proofErr w:type="spellStart"/>
      <w:r w:rsidRPr="00024576">
        <w:t>haemorrhage</w:t>
      </w:r>
      <w:proofErr w:type="spellEnd"/>
      <w:r>
        <w:t xml:space="preserve">,  </w:t>
      </w:r>
    </w:p>
    <w:p w14:paraId="291F249F" w14:textId="27B619A7" w:rsidR="008D6DA1" w:rsidRDefault="008D6DA1" w:rsidP="008D6DA1">
      <w:pPr>
        <w:pStyle w:val="ListParagraph"/>
        <w:numPr>
          <w:ilvl w:val="1"/>
          <w:numId w:val="26"/>
        </w:numPr>
        <w:spacing w:line="360" w:lineRule="auto"/>
      </w:pPr>
      <w:r>
        <w:t>Keep systolic BP below 130 mmHg</w:t>
      </w:r>
      <w:r w:rsidR="00E25DBF">
        <w:t xml:space="preserve"> with a calcium channel blocker</w:t>
      </w:r>
      <w:r>
        <w:t xml:space="preserve"> but avoid hypotension</w:t>
      </w:r>
    </w:p>
    <w:p w14:paraId="2ACCB53D" w14:textId="77777777" w:rsidR="008D6DA1" w:rsidRDefault="008D6DA1" w:rsidP="008D6DA1">
      <w:pPr>
        <w:pStyle w:val="ListParagraph"/>
        <w:numPr>
          <w:ilvl w:val="1"/>
          <w:numId w:val="26"/>
        </w:numPr>
        <w:spacing w:line="360" w:lineRule="auto"/>
      </w:pPr>
      <w:r>
        <w:t>Lactulose suspension to keep stools soft (prevents straining and raised ICP)</w:t>
      </w:r>
    </w:p>
    <w:p w14:paraId="0A51B7F6" w14:textId="77777777" w:rsidR="008D6DA1" w:rsidRDefault="008D6DA1" w:rsidP="008D6DA1">
      <w:pPr>
        <w:pStyle w:val="ListParagraph"/>
        <w:numPr>
          <w:ilvl w:val="1"/>
          <w:numId w:val="26"/>
        </w:numPr>
        <w:spacing w:line="360" w:lineRule="auto"/>
      </w:pPr>
      <w:r>
        <w:t>Oral diazepam for light sedation</w:t>
      </w:r>
    </w:p>
    <w:p w14:paraId="7C0B00D3" w14:textId="77777777" w:rsidR="008D6DA1" w:rsidRDefault="008D6DA1" w:rsidP="008D6DA1">
      <w:pPr>
        <w:pStyle w:val="ListParagraph"/>
        <w:numPr>
          <w:ilvl w:val="1"/>
          <w:numId w:val="26"/>
        </w:numPr>
        <w:spacing w:line="360" w:lineRule="auto"/>
      </w:pPr>
      <w:r>
        <w:t>Analgesics</w:t>
      </w:r>
    </w:p>
    <w:p w14:paraId="4D2BA227" w14:textId="7A9D085B" w:rsidR="008D6DA1" w:rsidRPr="001B68DF" w:rsidRDefault="008D6DA1" w:rsidP="008D6DA1">
      <w:pPr>
        <w:pStyle w:val="ListParagraph"/>
        <w:numPr>
          <w:ilvl w:val="1"/>
          <w:numId w:val="26"/>
        </w:numPr>
        <w:spacing w:line="360" w:lineRule="auto"/>
      </w:pPr>
      <w:r>
        <w:t>Consider early referral for neurosurgical management</w:t>
      </w:r>
      <w:r w:rsidR="000F0C72">
        <w:t xml:space="preserve"> especially for unconscious patients or sudden deterioration</w:t>
      </w:r>
    </w:p>
    <w:p w14:paraId="02E35007" w14:textId="77777777" w:rsidR="00AB204A" w:rsidRDefault="00AB204A">
      <w:pPr>
        <w:spacing w:after="0"/>
        <w:outlineLvl w:val="9"/>
        <w:rPr>
          <w:rFonts w:eastAsia="Times New Roman" w:cs="Times New Roman"/>
          <w:b/>
          <w:bCs/>
          <w:szCs w:val="26"/>
          <w:u w:val="single"/>
        </w:rPr>
      </w:pPr>
      <w:r>
        <w:br w:type="page"/>
      </w:r>
    </w:p>
    <w:p w14:paraId="4C6FCA18" w14:textId="6872458E" w:rsidR="00263BE6" w:rsidRDefault="00297396" w:rsidP="00263BE6">
      <w:pPr>
        <w:pStyle w:val="Heading3"/>
      </w:pPr>
      <w:r>
        <w:lastRenderedPageBreak/>
        <w:t>Discharge planning</w:t>
      </w:r>
      <w:r w:rsidR="00263BE6">
        <w:t xml:space="preserve"> and Post-Discharge Care</w:t>
      </w:r>
    </w:p>
    <w:p w14:paraId="77A8CA5D" w14:textId="77777777" w:rsidR="00BC0632" w:rsidRDefault="00BC0632" w:rsidP="00297396">
      <w:r>
        <w:t>Discharge planning should involve the patient, their caregivers at home and the clinical team.</w:t>
      </w:r>
      <w:r w:rsidR="00024576">
        <w:t xml:space="preserve"> </w:t>
      </w:r>
      <w:r>
        <w:t>Stroke patients should be discharged home when agreed-upon achievable goals of inpatient care have been reached and the home environment made safe. Patients with severe residual brain injury from stroke may require palliative care.</w:t>
      </w:r>
    </w:p>
    <w:p w14:paraId="21685536" w14:textId="77777777" w:rsidR="00BC0632" w:rsidRDefault="00BC0632" w:rsidP="00297396">
      <w:r>
        <w:t xml:space="preserve">Assess functional independence at discharge </w:t>
      </w:r>
    </w:p>
    <w:p w14:paraId="3A99C32C" w14:textId="77777777" w:rsidR="00BC0632" w:rsidRDefault="00BC0632" w:rsidP="00297396">
      <w:r>
        <w:t xml:space="preserve">Plan safe care at home </w:t>
      </w:r>
      <w:proofErr w:type="spellStart"/>
      <w:r>
        <w:t>e.g</w:t>
      </w:r>
      <w:proofErr w:type="spellEnd"/>
      <w:r>
        <w:t xml:space="preserve"> sturdy arm-chairs resting against walls,</w:t>
      </w:r>
      <w:r w:rsidR="00AC38CA">
        <w:t xml:space="preserve"> wheelchairs, relocate</w:t>
      </w:r>
      <w:r>
        <w:t xml:space="preserve"> patient to a ground-floor </w:t>
      </w:r>
      <w:r w:rsidR="00AC38CA">
        <w:t>bed</w:t>
      </w:r>
      <w:r>
        <w:t>room, install hand-holds on walls.</w:t>
      </w:r>
    </w:p>
    <w:p w14:paraId="37E13E8F" w14:textId="77777777" w:rsidR="00BC0632" w:rsidRDefault="00BC0632" w:rsidP="00297396">
      <w:r>
        <w:t xml:space="preserve">Explain </w:t>
      </w:r>
      <w:r w:rsidR="00AC38CA">
        <w:t xml:space="preserve">stroke </w:t>
      </w:r>
      <w:r>
        <w:t>risk factors and prescriptions to the patient and caregivers.</w:t>
      </w:r>
    </w:p>
    <w:p w14:paraId="5729CA0A" w14:textId="77777777" w:rsidR="00BC0632" w:rsidRDefault="00024576" w:rsidP="00297396">
      <w:r>
        <w:t>Patients with persistent swallowing difficulties may be fed with thickened fluids if tolerated. For patients requiring nasogastric feeding, discuss feasibility of a PEG tube insertion.</w:t>
      </w:r>
    </w:p>
    <w:p w14:paraId="7938D685" w14:textId="77777777" w:rsidR="00024576" w:rsidRDefault="00024576" w:rsidP="00297396">
      <w:r>
        <w:t>Patient should be referred for physical and psychological rehabilitation services. Regardless of clinical recovery, patients with stroke should be advised not to drive for at least one month post-discharge.</w:t>
      </w:r>
    </w:p>
    <w:p w14:paraId="148A93F2" w14:textId="77777777" w:rsidR="00024576" w:rsidRDefault="00024576" w:rsidP="00297396">
      <w:r>
        <w:t>Schedule first follow-up visit for 4 weeks after discharge but advise caregivers to present early if they notice any deterioration in the patient’s state.</w:t>
      </w:r>
    </w:p>
    <w:p w14:paraId="235A667C" w14:textId="63568316" w:rsidR="00F03F25" w:rsidRPr="003C0800" w:rsidRDefault="00F03F25" w:rsidP="00F03F25">
      <w:pPr>
        <w:pStyle w:val="Heading2"/>
        <w:rPr>
          <w:rFonts w:cs="Arial"/>
          <w:szCs w:val="22"/>
        </w:rPr>
      </w:pPr>
      <w:r w:rsidRPr="003C0800">
        <w:rPr>
          <w:rFonts w:cs="Arial"/>
          <w:szCs w:val="22"/>
        </w:rPr>
        <w:t>Key Issues for Nursing care</w:t>
      </w:r>
    </w:p>
    <w:p w14:paraId="5E1A6608" w14:textId="77777777" w:rsidR="00297396" w:rsidRDefault="006A6D03" w:rsidP="009666BF">
      <w:r>
        <w:t>Monitor vital signs every 4 hours</w:t>
      </w:r>
      <w:r w:rsidR="00297396">
        <w:t xml:space="preserve">. </w:t>
      </w:r>
      <w:r w:rsidR="00331340">
        <w:t>Call the doctor</w:t>
      </w:r>
      <w:r w:rsidR="00297396">
        <w:t xml:space="preserve"> if: </w:t>
      </w:r>
    </w:p>
    <w:p w14:paraId="35C92995" w14:textId="68465DF9" w:rsidR="00297396" w:rsidRDefault="00297396" w:rsidP="009666BF">
      <w:pPr>
        <w:pStyle w:val="ListParagraph"/>
        <w:numPr>
          <w:ilvl w:val="0"/>
          <w:numId w:val="31"/>
        </w:numPr>
      </w:pPr>
      <w:r>
        <w:t>Temperature &gt; 37.5</w:t>
      </w:r>
    </w:p>
    <w:p w14:paraId="014D0975" w14:textId="77777777" w:rsidR="00A618A8" w:rsidRDefault="00297396" w:rsidP="009666BF">
      <w:pPr>
        <w:pStyle w:val="ListParagraph"/>
        <w:numPr>
          <w:ilvl w:val="0"/>
          <w:numId w:val="31"/>
        </w:numPr>
      </w:pPr>
      <w:r>
        <w:t>Blood glucose &lt; 6</w:t>
      </w:r>
      <w:r w:rsidR="00BB06BE">
        <w:t xml:space="preserve"> </w:t>
      </w:r>
      <w:r>
        <w:t>mmol/l or &gt;</w:t>
      </w:r>
      <w:r w:rsidR="00BB06BE">
        <w:t xml:space="preserve"> </w:t>
      </w:r>
      <w:r>
        <w:t>10 mmol/l</w:t>
      </w:r>
    </w:p>
    <w:p w14:paraId="03707632" w14:textId="77777777" w:rsidR="00297396" w:rsidRDefault="00297396" w:rsidP="009666BF">
      <w:pPr>
        <w:pStyle w:val="ListParagraph"/>
        <w:numPr>
          <w:ilvl w:val="0"/>
          <w:numId w:val="31"/>
        </w:numPr>
      </w:pPr>
      <w:r>
        <w:t>Systolic blood pressure &lt; 140 or &gt;</w:t>
      </w:r>
      <w:r w:rsidR="00BB06BE">
        <w:t xml:space="preserve"> </w:t>
      </w:r>
      <w:r>
        <w:t>180</w:t>
      </w:r>
      <w:r w:rsidR="00BB06BE">
        <w:t xml:space="preserve"> </w:t>
      </w:r>
      <w:r>
        <w:t>mmHg</w:t>
      </w:r>
    </w:p>
    <w:p w14:paraId="0C73017C" w14:textId="77777777" w:rsidR="00297396" w:rsidRDefault="00297396" w:rsidP="009666BF">
      <w:pPr>
        <w:pStyle w:val="ListParagraph"/>
        <w:numPr>
          <w:ilvl w:val="0"/>
          <w:numId w:val="31"/>
        </w:numPr>
      </w:pPr>
      <w:r>
        <w:t>GCS drops by 1 point compared to last observation</w:t>
      </w:r>
    </w:p>
    <w:p w14:paraId="330C9C31" w14:textId="77777777" w:rsidR="00297396" w:rsidRDefault="00297396" w:rsidP="009666BF">
      <w:pPr>
        <w:pStyle w:val="ListParagraph"/>
        <w:numPr>
          <w:ilvl w:val="0"/>
          <w:numId w:val="31"/>
        </w:numPr>
      </w:pPr>
      <w:r>
        <w:t>Oxygen saturation &lt;</w:t>
      </w:r>
      <w:r w:rsidR="00BB06BE">
        <w:t xml:space="preserve"> </w:t>
      </w:r>
      <w:r>
        <w:t>95%</w:t>
      </w:r>
    </w:p>
    <w:p w14:paraId="05D0C978" w14:textId="77777777" w:rsidR="003D093E" w:rsidRDefault="003D093E" w:rsidP="009666BF">
      <w:r>
        <w:t>Nurse in 30 degrees head up position</w:t>
      </w:r>
      <w:r w:rsidR="005410F8">
        <w:t xml:space="preserve"> with head in midline</w:t>
      </w:r>
    </w:p>
    <w:p w14:paraId="35CDB917" w14:textId="77777777" w:rsidR="003D093E" w:rsidRDefault="003D093E" w:rsidP="009666BF">
      <w:r>
        <w:t>Two-hourly turning and surveillance for pressure ulcers if unconscious/immobile</w:t>
      </w:r>
    </w:p>
    <w:p w14:paraId="30427F8C" w14:textId="77777777" w:rsidR="003D093E" w:rsidRDefault="003D093E" w:rsidP="009666BF">
      <w:r>
        <w:t>Suction oral cavity and airway as needed if unconscious</w:t>
      </w:r>
    </w:p>
    <w:p w14:paraId="0223EFAF" w14:textId="77777777" w:rsidR="003D093E" w:rsidRDefault="003D093E" w:rsidP="009666BF">
      <w:pPr>
        <w:rPr>
          <w:b/>
          <w:szCs w:val="22"/>
        </w:rPr>
      </w:pPr>
      <w:r>
        <w:rPr>
          <w:szCs w:val="22"/>
        </w:rPr>
        <w:t>Strict fluid charts</w:t>
      </w:r>
    </w:p>
    <w:p w14:paraId="27FF25BA" w14:textId="66B5E29A" w:rsidR="00E25DBF" w:rsidRDefault="00BB7ABF" w:rsidP="009666BF">
      <w:r>
        <w:t>Strict bed rest if SAH is suspected</w:t>
      </w:r>
    </w:p>
    <w:p w14:paraId="648885A9" w14:textId="77777777" w:rsidR="000A126F" w:rsidRDefault="000A126F">
      <w:pPr>
        <w:spacing w:after="0"/>
        <w:outlineLvl w:val="9"/>
        <w:rPr>
          <w:b/>
          <w:sz w:val="24"/>
          <w:szCs w:val="22"/>
        </w:rPr>
      </w:pPr>
      <w:r>
        <w:rPr>
          <w:szCs w:val="22"/>
        </w:rPr>
        <w:br w:type="page"/>
      </w:r>
    </w:p>
    <w:p w14:paraId="2E7300A6" w14:textId="5FE4B88B" w:rsidR="00F03F25" w:rsidRPr="003C0800" w:rsidRDefault="00F03F25" w:rsidP="00F03F25">
      <w:pPr>
        <w:pStyle w:val="Heading2"/>
        <w:rPr>
          <w:rFonts w:cs="Arial"/>
          <w:szCs w:val="22"/>
        </w:rPr>
      </w:pPr>
      <w:r>
        <w:rPr>
          <w:rFonts w:cs="Arial"/>
          <w:szCs w:val="22"/>
        </w:rPr>
        <w:lastRenderedPageBreak/>
        <w:t>References</w:t>
      </w:r>
    </w:p>
    <w:p w14:paraId="0CECBF2B" w14:textId="77777777" w:rsidR="003D093E" w:rsidRPr="003D093E" w:rsidRDefault="003D093E" w:rsidP="003D093E">
      <w:pPr>
        <w:rPr>
          <w:sz w:val="20"/>
          <w:szCs w:val="20"/>
        </w:rPr>
      </w:pPr>
      <w:r w:rsidRPr="003D093E">
        <w:rPr>
          <w:sz w:val="20"/>
          <w:szCs w:val="20"/>
        </w:rPr>
        <w:t xml:space="preserve">Prasad K, Kaul S, Padma MV, </w:t>
      </w:r>
      <w:proofErr w:type="spellStart"/>
      <w:r w:rsidRPr="003D093E">
        <w:rPr>
          <w:sz w:val="20"/>
          <w:szCs w:val="20"/>
        </w:rPr>
        <w:t>Gorthi</w:t>
      </w:r>
      <w:proofErr w:type="spellEnd"/>
      <w:r w:rsidRPr="003D093E">
        <w:rPr>
          <w:sz w:val="20"/>
          <w:szCs w:val="20"/>
        </w:rPr>
        <w:t xml:space="preserve"> SP, Khurana D, </w:t>
      </w:r>
      <w:proofErr w:type="spellStart"/>
      <w:r w:rsidRPr="003D093E">
        <w:rPr>
          <w:sz w:val="20"/>
          <w:szCs w:val="20"/>
        </w:rPr>
        <w:t>Bakshi</w:t>
      </w:r>
      <w:proofErr w:type="spellEnd"/>
      <w:r w:rsidRPr="003D093E">
        <w:rPr>
          <w:sz w:val="20"/>
          <w:szCs w:val="20"/>
        </w:rPr>
        <w:t xml:space="preserve"> A. Stroke management. Ann Indian </w:t>
      </w:r>
      <w:proofErr w:type="spellStart"/>
      <w:r w:rsidRPr="003D093E">
        <w:rPr>
          <w:sz w:val="20"/>
          <w:szCs w:val="20"/>
        </w:rPr>
        <w:t>Acad</w:t>
      </w:r>
      <w:proofErr w:type="spellEnd"/>
      <w:r w:rsidRPr="003D093E">
        <w:rPr>
          <w:sz w:val="20"/>
          <w:szCs w:val="20"/>
        </w:rPr>
        <w:t xml:space="preserve"> Neurol. 2011;14(Suppl 1</w:t>
      </w:r>
      <w:proofErr w:type="gramStart"/>
      <w:r w:rsidRPr="003D093E">
        <w:rPr>
          <w:sz w:val="20"/>
          <w:szCs w:val="20"/>
        </w:rPr>
        <w:t>):S</w:t>
      </w:r>
      <w:proofErr w:type="gramEnd"/>
      <w:r w:rsidRPr="003D093E">
        <w:rPr>
          <w:sz w:val="20"/>
          <w:szCs w:val="20"/>
        </w:rPr>
        <w:t xml:space="preserve">82-96. </w:t>
      </w:r>
    </w:p>
    <w:p w14:paraId="716E8672" w14:textId="77777777" w:rsidR="003D093E" w:rsidRPr="003D093E" w:rsidRDefault="003D093E" w:rsidP="003D093E">
      <w:pPr>
        <w:rPr>
          <w:sz w:val="20"/>
          <w:szCs w:val="20"/>
        </w:rPr>
      </w:pPr>
      <w:r w:rsidRPr="003D093E">
        <w:rPr>
          <w:sz w:val="20"/>
          <w:szCs w:val="20"/>
        </w:rPr>
        <w:t xml:space="preserve">Berkowitz AL. Managing acute stroke in low-resource settings. Bull World Health Organ. 2016;94(7):554-6. </w:t>
      </w:r>
    </w:p>
    <w:p w14:paraId="3828BB9A" w14:textId="77777777" w:rsidR="003D093E" w:rsidRPr="003D093E" w:rsidRDefault="003D093E" w:rsidP="003D093E">
      <w:pPr>
        <w:rPr>
          <w:sz w:val="20"/>
          <w:szCs w:val="20"/>
        </w:rPr>
      </w:pPr>
      <w:r w:rsidRPr="003D093E">
        <w:rPr>
          <w:sz w:val="20"/>
          <w:szCs w:val="20"/>
        </w:rPr>
        <w:t xml:space="preserve">Stroke and transient </w:t>
      </w:r>
      <w:proofErr w:type="spellStart"/>
      <w:r w:rsidRPr="003D093E">
        <w:rPr>
          <w:sz w:val="20"/>
          <w:szCs w:val="20"/>
        </w:rPr>
        <w:t>ischaemic</w:t>
      </w:r>
      <w:proofErr w:type="spellEnd"/>
      <w:r w:rsidRPr="003D093E">
        <w:rPr>
          <w:sz w:val="20"/>
          <w:szCs w:val="20"/>
        </w:rPr>
        <w:t xml:space="preserve"> attack in over 16s: diagnosis and initial management. NICE Guideline. March 2017</w:t>
      </w:r>
    </w:p>
    <w:p w14:paraId="0DB1C3E9" w14:textId="77777777" w:rsidR="005A1E72" w:rsidRDefault="003D093E" w:rsidP="003D093E">
      <w:pPr>
        <w:rPr>
          <w:sz w:val="20"/>
          <w:szCs w:val="20"/>
        </w:rPr>
      </w:pPr>
      <w:r w:rsidRPr="003D093E">
        <w:rPr>
          <w:sz w:val="20"/>
          <w:szCs w:val="20"/>
        </w:rPr>
        <w:t xml:space="preserve">Nor AM, Davis J, Sen B, </w:t>
      </w:r>
      <w:proofErr w:type="spellStart"/>
      <w:r w:rsidRPr="003D093E">
        <w:rPr>
          <w:sz w:val="20"/>
          <w:szCs w:val="20"/>
        </w:rPr>
        <w:t>Shipsey</w:t>
      </w:r>
      <w:proofErr w:type="spellEnd"/>
      <w:r w:rsidRPr="003D093E">
        <w:rPr>
          <w:sz w:val="20"/>
          <w:szCs w:val="20"/>
        </w:rPr>
        <w:t xml:space="preserve"> D, </w:t>
      </w:r>
      <w:proofErr w:type="spellStart"/>
      <w:r w:rsidRPr="003D093E">
        <w:rPr>
          <w:sz w:val="20"/>
          <w:szCs w:val="20"/>
        </w:rPr>
        <w:t>Louw</w:t>
      </w:r>
      <w:proofErr w:type="spellEnd"/>
      <w:r w:rsidRPr="003D093E">
        <w:rPr>
          <w:sz w:val="20"/>
          <w:szCs w:val="20"/>
        </w:rPr>
        <w:t xml:space="preserve"> SJ, </w:t>
      </w:r>
      <w:proofErr w:type="spellStart"/>
      <w:r w:rsidRPr="003D093E">
        <w:rPr>
          <w:sz w:val="20"/>
          <w:szCs w:val="20"/>
        </w:rPr>
        <w:t>Dyker</w:t>
      </w:r>
      <w:proofErr w:type="spellEnd"/>
      <w:r w:rsidRPr="003D093E">
        <w:rPr>
          <w:sz w:val="20"/>
          <w:szCs w:val="20"/>
        </w:rPr>
        <w:t xml:space="preserve"> AG, Davis M, Ford GA. The Recognition of Stroke in the Emergency Room (ROSIER) scale: development and validation o</w:t>
      </w:r>
      <w:r>
        <w:rPr>
          <w:sz w:val="20"/>
          <w:szCs w:val="20"/>
        </w:rPr>
        <w:t xml:space="preserve">f a stroke </w:t>
      </w:r>
      <w:r w:rsidRPr="003D093E">
        <w:rPr>
          <w:sz w:val="20"/>
          <w:szCs w:val="20"/>
        </w:rPr>
        <w:t xml:space="preserve">recognition </w:t>
      </w:r>
      <w:proofErr w:type="spellStart"/>
      <w:proofErr w:type="gramStart"/>
      <w:r w:rsidRPr="003D093E">
        <w:rPr>
          <w:sz w:val="20"/>
          <w:szCs w:val="20"/>
        </w:rPr>
        <w:t>instrument.Lancet</w:t>
      </w:r>
      <w:proofErr w:type="spellEnd"/>
      <w:proofErr w:type="gramEnd"/>
      <w:r w:rsidRPr="003D093E">
        <w:rPr>
          <w:sz w:val="20"/>
          <w:szCs w:val="20"/>
        </w:rPr>
        <w:t xml:space="preserve"> Neurol. 2005 Nov;4(11):727-34.</w:t>
      </w:r>
    </w:p>
    <w:p w14:paraId="77B587A0" w14:textId="77777777" w:rsidR="002A4D27" w:rsidRDefault="002A4D27" w:rsidP="003D093E">
      <w:pPr>
        <w:rPr>
          <w:sz w:val="20"/>
          <w:szCs w:val="20"/>
        </w:rPr>
      </w:pPr>
      <w:r>
        <w:rPr>
          <w:sz w:val="20"/>
          <w:szCs w:val="20"/>
        </w:rPr>
        <w:t xml:space="preserve">Medscape. Subarachnoid </w:t>
      </w:r>
      <w:proofErr w:type="spellStart"/>
      <w:r>
        <w:rPr>
          <w:sz w:val="20"/>
          <w:szCs w:val="20"/>
        </w:rPr>
        <w:t>haemorrhage</w:t>
      </w:r>
      <w:proofErr w:type="spellEnd"/>
      <w:r>
        <w:rPr>
          <w:sz w:val="20"/>
          <w:szCs w:val="20"/>
        </w:rPr>
        <w:t xml:space="preserve">. Available at: </w:t>
      </w:r>
      <w:hyperlink r:id="rId8" w:history="1">
        <w:r w:rsidRPr="00757032">
          <w:rPr>
            <w:rStyle w:val="Hyperlink"/>
            <w:sz w:val="20"/>
            <w:szCs w:val="20"/>
          </w:rPr>
          <w:t>https://emedicine.medscape.com/article/1164341-overview</w:t>
        </w:r>
      </w:hyperlink>
      <w:r>
        <w:rPr>
          <w:sz w:val="20"/>
          <w:szCs w:val="20"/>
        </w:rPr>
        <w:t xml:space="preserve"> Accessed: 9</w:t>
      </w:r>
      <w:r w:rsidRPr="002A4D27">
        <w:rPr>
          <w:sz w:val="20"/>
          <w:szCs w:val="20"/>
          <w:vertAlign w:val="superscript"/>
        </w:rPr>
        <w:t>th</w:t>
      </w:r>
      <w:r>
        <w:rPr>
          <w:sz w:val="20"/>
          <w:szCs w:val="20"/>
        </w:rPr>
        <w:t xml:space="preserve"> January 2019</w:t>
      </w:r>
    </w:p>
    <w:p w14:paraId="0A20F7FE" w14:textId="77777777" w:rsidR="00CF645C" w:rsidRDefault="00CF645C" w:rsidP="003D093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4A6504CC" w14:textId="77777777" w:rsidTr="00515546">
        <w:trPr>
          <w:trHeight w:val="20"/>
        </w:trPr>
        <w:tc>
          <w:tcPr>
            <w:tcW w:w="2139" w:type="dxa"/>
            <w:shd w:val="clear" w:color="auto" w:fill="auto"/>
            <w:vAlign w:val="bottom"/>
          </w:tcPr>
          <w:p w14:paraId="2DD69049" w14:textId="77777777" w:rsidR="004C4442" w:rsidRPr="00515546" w:rsidRDefault="004C4442" w:rsidP="00BC0632">
            <w:pPr>
              <w:spacing w:after="0"/>
              <w:rPr>
                <w:b/>
                <w:szCs w:val="22"/>
              </w:rPr>
            </w:pPr>
            <w:r w:rsidRPr="00515546">
              <w:rPr>
                <w:b/>
                <w:szCs w:val="22"/>
              </w:rPr>
              <w:t>Written by:</w:t>
            </w:r>
          </w:p>
        </w:tc>
        <w:tc>
          <w:tcPr>
            <w:tcW w:w="3622" w:type="dxa"/>
            <w:shd w:val="clear" w:color="auto" w:fill="auto"/>
            <w:vAlign w:val="bottom"/>
          </w:tcPr>
          <w:p w14:paraId="1B69FF2A" w14:textId="77777777" w:rsidR="004C4442" w:rsidRPr="00515546" w:rsidRDefault="004C4442" w:rsidP="003D093E">
            <w:pPr>
              <w:spacing w:after="0"/>
              <w:rPr>
                <w:szCs w:val="22"/>
              </w:rPr>
            </w:pPr>
            <w:r w:rsidRPr="00515546">
              <w:rPr>
                <w:szCs w:val="22"/>
              </w:rPr>
              <w:t>Name</w:t>
            </w:r>
            <w:r w:rsidR="005638D0">
              <w:rPr>
                <w:szCs w:val="22"/>
              </w:rPr>
              <w:t xml:space="preserve">: </w:t>
            </w:r>
            <w:r w:rsidR="003D093E">
              <w:rPr>
                <w:szCs w:val="22"/>
              </w:rPr>
              <w:t>Fatai Akemokwe</w:t>
            </w:r>
          </w:p>
        </w:tc>
        <w:tc>
          <w:tcPr>
            <w:tcW w:w="2869" w:type="dxa"/>
            <w:shd w:val="clear" w:color="auto" w:fill="auto"/>
            <w:vAlign w:val="bottom"/>
          </w:tcPr>
          <w:p w14:paraId="4C6E9C0A" w14:textId="77777777" w:rsidR="004C4442" w:rsidRPr="00515546" w:rsidRDefault="004C4442" w:rsidP="00772065">
            <w:pPr>
              <w:spacing w:after="0"/>
              <w:rPr>
                <w:szCs w:val="22"/>
              </w:rPr>
            </w:pPr>
            <w:r w:rsidRPr="00515546">
              <w:rPr>
                <w:szCs w:val="22"/>
              </w:rPr>
              <w:t xml:space="preserve">Date: </w:t>
            </w:r>
            <w:r w:rsidR="00772065">
              <w:rPr>
                <w:szCs w:val="22"/>
              </w:rPr>
              <w:t>09 January</w:t>
            </w:r>
            <w:r w:rsidR="004B2FAB">
              <w:rPr>
                <w:szCs w:val="22"/>
              </w:rPr>
              <w:t xml:space="preserve"> </w:t>
            </w:r>
            <w:r w:rsidR="002A4D27">
              <w:rPr>
                <w:szCs w:val="22"/>
              </w:rPr>
              <w:t>2019</w:t>
            </w:r>
          </w:p>
        </w:tc>
      </w:tr>
      <w:tr w:rsidR="004C4442" w:rsidRPr="00515546" w14:paraId="09F9E32A" w14:textId="77777777" w:rsidTr="00515546">
        <w:trPr>
          <w:trHeight w:val="20"/>
        </w:trPr>
        <w:tc>
          <w:tcPr>
            <w:tcW w:w="2139" w:type="dxa"/>
            <w:shd w:val="clear" w:color="auto" w:fill="auto"/>
            <w:vAlign w:val="bottom"/>
          </w:tcPr>
          <w:p w14:paraId="2075E5CC" w14:textId="77777777" w:rsidR="004C4442" w:rsidRPr="00515546" w:rsidRDefault="004C4442" w:rsidP="00BC0632">
            <w:pPr>
              <w:spacing w:after="0"/>
              <w:rPr>
                <w:b/>
                <w:szCs w:val="22"/>
              </w:rPr>
            </w:pPr>
            <w:r w:rsidRPr="00515546">
              <w:rPr>
                <w:b/>
                <w:szCs w:val="22"/>
              </w:rPr>
              <w:t>Reviewed by:</w:t>
            </w:r>
          </w:p>
        </w:tc>
        <w:tc>
          <w:tcPr>
            <w:tcW w:w="3622" w:type="dxa"/>
            <w:shd w:val="clear" w:color="auto" w:fill="auto"/>
            <w:vAlign w:val="bottom"/>
          </w:tcPr>
          <w:p w14:paraId="65FD74DC" w14:textId="0A5E792B" w:rsidR="004C4442" w:rsidRPr="00515546" w:rsidRDefault="004C4442" w:rsidP="00BC0632">
            <w:pPr>
              <w:spacing w:after="0"/>
              <w:rPr>
                <w:szCs w:val="22"/>
              </w:rPr>
            </w:pPr>
            <w:r w:rsidRPr="00515546">
              <w:rPr>
                <w:szCs w:val="22"/>
              </w:rPr>
              <w:t xml:space="preserve">Name: </w:t>
            </w:r>
            <w:r w:rsidR="007176CF">
              <w:rPr>
                <w:szCs w:val="22"/>
              </w:rPr>
              <w:t xml:space="preserve">Karen Forrest </w:t>
            </w:r>
          </w:p>
        </w:tc>
        <w:tc>
          <w:tcPr>
            <w:tcW w:w="2869" w:type="dxa"/>
            <w:shd w:val="clear" w:color="auto" w:fill="auto"/>
            <w:vAlign w:val="bottom"/>
          </w:tcPr>
          <w:p w14:paraId="47790D23" w14:textId="6926ACC9" w:rsidR="004C4442" w:rsidRPr="00515546" w:rsidRDefault="004C4442" w:rsidP="00BC0632">
            <w:pPr>
              <w:spacing w:after="0"/>
              <w:rPr>
                <w:szCs w:val="22"/>
              </w:rPr>
            </w:pPr>
            <w:r w:rsidRPr="00515546">
              <w:rPr>
                <w:szCs w:val="22"/>
              </w:rPr>
              <w:t xml:space="preserve">Date: </w:t>
            </w:r>
            <w:r w:rsidR="007176CF">
              <w:rPr>
                <w:szCs w:val="22"/>
              </w:rPr>
              <w:t>14 January 2019</w:t>
            </w:r>
          </w:p>
        </w:tc>
      </w:tr>
      <w:tr w:rsidR="004C4442" w:rsidRPr="00515546" w14:paraId="26FE396B" w14:textId="77777777" w:rsidTr="00515546">
        <w:trPr>
          <w:trHeight w:val="20"/>
        </w:trPr>
        <w:tc>
          <w:tcPr>
            <w:tcW w:w="2139" w:type="dxa"/>
            <w:shd w:val="clear" w:color="auto" w:fill="auto"/>
            <w:vAlign w:val="bottom"/>
          </w:tcPr>
          <w:p w14:paraId="528C87DE" w14:textId="77777777" w:rsidR="004C4442" w:rsidRPr="00515546" w:rsidRDefault="004C4442" w:rsidP="00BC0632">
            <w:pPr>
              <w:spacing w:after="0"/>
              <w:rPr>
                <w:szCs w:val="22"/>
              </w:rPr>
            </w:pPr>
            <w:r w:rsidRPr="00515546">
              <w:rPr>
                <w:b/>
                <w:szCs w:val="22"/>
              </w:rPr>
              <w:t>Version:</w:t>
            </w:r>
          </w:p>
        </w:tc>
        <w:tc>
          <w:tcPr>
            <w:tcW w:w="3622" w:type="dxa"/>
            <w:shd w:val="clear" w:color="auto" w:fill="auto"/>
            <w:vAlign w:val="bottom"/>
          </w:tcPr>
          <w:p w14:paraId="74451FAB" w14:textId="77777777" w:rsidR="004C4442" w:rsidRPr="00515546" w:rsidRDefault="004C4442" w:rsidP="00BC0632">
            <w:pPr>
              <w:spacing w:after="0"/>
              <w:rPr>
                <w:szCs w:val="22"/>
              </w:rPr>
            </w:pPr>
            <w:r w:rsidRPr="00515546">
              <w:rPr>
                <w:b/>
                <w:szCs w:val="22"/>
              </w:rPr>
              <w:t>Change history:</w:t>
            </w:r>
          </w:p>
        </w:tc>
        <w:tc>
          <w:tcPr>
            <w:tcW w:w="2869" w:type="dxa"/>
            <w:shd w:val="clear" w:color="auto" w:fill="auto"/>
            <w:vAlign w:val="bottom"/>
          </w:tcPr>
          <w:p w14:paraId="1ADCE307" w14:textId="77777777" w:rsidR="004C4442" w:rsidRPr="00515546" w:rsidRDefault="004C4442" w:rsidP="00BC0632">
            <w:pPr>
              <w:spacing w:after="0"/>
              <w:rPr>
                <w:b/>
                <w:szCs w:val="22"/>
              </w:rPr>
            </w:pPr>
            <w:r w:rsidRPr="00515546">
              <w:rPr>
                <w:b/>
                <w:szCs w:val="22"/>
              </w:rPr>
              <w:t>Review due date:</w:t>
            </w:r>
          </w:p>
        </w:tc>
      </w:tr>
      <w:tr w:rsidR="004C4442" w:rsidRPr="00515546" w14:paraId="6D3D3F97" w14:textId="77777777" w:rsidTr="00515546">
        <w:trPr>
          <w:trHeight w:val="20"/>
        </w:trPr>
        <w:tc>
          <w:tcPr>
            <w:tcW w:w="2139" w:type="dxa"/>
            <w:shd w:val="clear" w:color="auto" w:fill="auto"/>
            <w:vAlign w:val="bottom"/>
          </w:tcPr>
          <w:p w14:paraId="01ED885B" w14:textId="77777777" w:rsidR="004C4442" w:rsidRPr="00515546" w:rsidRDefault="004C4442" w:rsidP="00BC0632">
            <w:pPr>
              <w:spacing w:after="0"/>
              <w:rPr>
                <w:szCs w:val="22"/>
              </w:rPr>
            </w:pPr>
            <w:r w:rsidRPr="00515546">
              <w:rPr>
                <w:szCs w:val="22"/>
              </w:rPr>
              <w:t>1.0</w:t>
            </w:r>
          </w:p>
        </w:tc>
        <w:tc>
          <w:tcPr>
            <w:tcW w:w="3622" w:type="dxa"/>
            <w:shd w:val="clear" w:color="auto" w:fill="auto"/>
            <w:vAlign w:val="bottom"/>
          </w:tcPr>
          <w:p w14:paraId="1094AD4E" w14:textId="77777777" w:rsidR="004C4442" w:rsidRPr="00515546" w:rsidRDefault="004C4442" w:rsidP="00BC0632">
            <w:pPr>
              <w:spacing w:after="0"/>
              <w:rPr>
                <w:szCs w:val="22"/>
              </w:rPr>
            </w:pPr>
            <w:r w:rsidRPr="00515546">
              <w:rPr>
                <w:szCs w:val="22"/>
              </w:rPr>
              <w:t>New document</w:t>
            </w:r>
          </w:p>
        </w:tc>
        <w:tc>
          <w:tcPr>
            <w:tcW w:w="2869" w:type="dxa"/>
            <w:shd w:val="clear" w:color="auto" w:fill="auto"/>
            <w:vAlign w:val="bottom"/>
          </w:tcPr>
          <w:p w14:paraId="32C93D31" w14:textId="52B2CF08" w:rsidR="004C4442" w:rsidRPr="00515546" w:rsidRDefault="004C4442" w:rsidP="00BC0632">
            <w:pPr>
              <w:spacing w:after="0"/>
              <w:rPr>
                <w:szCs w:val="22"/>
              </w:rPr>
            </w:pPr>
          </w:p>
        </w:tc>
      </w:tr>
      <w:tr w:rsidR="002C6BC7" w:rsidRPr="00515546" w14:paraId="1EADF808" w14:textId="77777777" w:rsidTr="00515546">
        <w:trPr>
          <w:trHeight w:val="20"/>
        </w:trPr>
        <w:tc>
          <w:tcPr>
            <w:tcW w:w="2139" w:type="dxa"/>
            <w:shd w:val="clear" w:color="auto" w:fill="auto"/>
            <w:vAlign w:val="bottom"/>
          </w:tcPr>
          <w:p w14:paraId="012459EB" w14:textId="675B390B" w:rsidR="002C6BC7" w:rsidRPr="00515546" w:rsidRDefault="002C6BC7" w:rsidP="00BC0632">
            <w:pPr>
              <w:spacing w:after="0"/>
              <w:rPr>
                <w:szCs w:val="22"/>
              </w:rPr>
            </w:pPr>
            <w:r>
              <w:rPr>
                <w:szCs w:val="22"/>
              </w:rPr>
              <w:t>2.0</w:t>
            </w:r>
          </w:p>
        </w:tc>
        <w:tc>
          <w:tcPr>
            <w:tcW w:w="3622" w:type="dxa"/>
            <w:shd w:val="clear" w:color="auto" w:fill="auto"/>
            <w:vAlign w:val="bottom"/>
          </w:tcPr>
          <w:p w14:paraId="6A9A3EF2" w14:textId="3ED86F1A" w:rsidR="002C6BC7" w:rsidRPr="00515546" w:rsidRDefault="002C6BC7" w:rsidP="00BC0632">
            <w:pPr>
              <w:spacing w:after="0"/>
              <w:rPr>
                <w:szCs w:val="22"/>
              </w:rPr>
            </w:pPr>
            <w:r>
              <w:rPr>
                <w:szCs w:val="22"/>
              </w:rPr>
              <w:t>Previous guideline was updated and transferred onto the new template</w:t>
            </w:r>
          </w:p>
        </w:tc>
        <w:tc>
          <w:tcPr>
            <w:tcW w:w="2869" w:type="dxa"/>
            <w:shd w:val="clear" w:color="auto" w:fill="auto"/>
            <w:vAlign w:val="bottom"/>
          </w:tcPr>
          <w:p w14:paraId="3A6DBB0F" w14:textId="4F12B975" w:rsidR="002C6BC7" w:rsidRPr="00515546" w:rsidRDefault="002C6BC7" w:rsidP="00BC0632">
            <w:pPr>
              <w:spacing w:after="0"/>
              <w:rPr>
                <w:szCs w:val="22"/>
              </w:rPr>
            </w:pPr>
            <w:r>
              <w:rPr>
                <w:szCs w:val="22"/>
              </w:rPr>
              <w:t>31 January 2021</w:t>
            </w:r>
          </w:p>
        </w:tc>
      </w:tr>
      <w:tr w:rsidR="00E959A1" w:rsidRPr="00515546" w14:paraId="1C7E7ED8" w14:textId="77777777" w:rsidTr="00515546">
        <w:trPr>
          <w:trHeight w:val="20"/>
        </w:trPr>
        <w:tc>
          <w:tcPr>
            <w:tcW w:w="2139" w:type="dxa"/>
            <w:shd w:val="clear" w:color="auto" w:fill="auto"/>
            <w:vAlign w:val="bottom"/>
          </w:tcPr>
          <w:p w14:paraId="543E3A45" w14:textId="1582C758" w:rsidR="00E959A1" w:rsidRDefault="00E959A1" w:rsidP="00E959A1">
            <w:pPr>
              <w:spacing w:after="0"/>
              <w:rPr>
                <w:szCs w:val="22"/>
              </w:rPr>
            </w:pPr>
            <w:r>
              <w:rPr>
                <w:szCs w:val="22"/>
              </w:rPr>
              <w:t>2.1</w:t>
            </w:r>
          </w:p>
        </w:tc>
        <w:tc>
          <w:tcPr>
            <w:tcW w:w="3622" w:type="dxa"/>
            <w:shd w:val="clear" w:color="auto" w:fill="auto"/>
            <w:vAlign w:val="bottom"/>
          </w:tcPr>
          <w:p w14:paraId="724E45D3" w14:textId="20B0FD74" w:rsidR="00E959A1" w:rsidRDefault="00E959A1" w:rsidP="00E959A1">
            <w:pPr>
              <w:spacing w:after="0"/>
              <w:rPr>
                <w:szCs w:val="22"/>
              </w:rPr>
            </w:pPr>
            <w:r>
              <w:rPr>
                <w:szCs w:val="22"/>
              </w:rPr>
              <w:t>Executive summary added</w:t>
            </w:r>
          </w:p>
        </w:tc>
        <w:tc>
          <w:tcPr>
            <w:tcW w:w="2869" w:type="dxa"/>
            <w:shd w:val="clear" w:color="auto" w:fill="auto"/>
            <w:vAlign w:val="bottom"/>
          </w:tcPr>
          <w:p w14:paraId="3FD9AAE9" w14:textId="4FF356AA" w:rsidR="00E959A1" w:rsidRDefault="00E959A1" w:rsidP="00E959A1">
            <w:pPr>
              <w:spacing w:after="0"/>
              <w:rPr>
                <w:szCs w:val="22"/>
              </w:rPr>
            </w:pPr>
            <w:r>
              <w:rPr>
                <w:szCs w:val="22"/>
              </w:rPr>
              <w:t>31 January 2021</w:t>
            </w:r>
          </w:p>
        </w:tc>
      </w:tr>
      <w:tr w:rsidR="00E959A1" w:rsidRPr="00515546" w14:paraId="1ADA0046" w14:textId="77777777" w:rsidTr="00515546">
        <w:trPr>
          <w:trHeight w:val="20"/>
        </w:trPr>
        <w:tc>
          <w:tcPr>
            <w:tcW w:w="2139" w:type="dxa"/>
            <w:shd w:val="clear" w:color="auto" w:fill="auto"/>
            <w:vAlign w:val="bottom"/>
          </w:tcPr>
          <w:p w14:paraId="61BD65EF" w14:textId="77777777" w:rsidR="00E959A1" w:rsidRPr="00515546" w:rsidRDefault="00E959A1" w:rsidP="00E959A1">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39FC7930" w14:textId="77777777" w:rsidR="00E959A1" w:rsidRPr="00515546" w:rsidRDefault="00E959A1" w:rsidP="00E959A1">
            <w:pPr>
              <w:spacing w:after="0"/>
              <w:rPr>
                <w:szCs w:val="22"/>
              </w:rPr>
            </w:pPr>
          </w:p>
        </w:tc>
        <w:tc>
          <w:tcPr>
            <w:tcW w:w="2869" w:type="dxa"/>
            <w:shd w:val="clear" w:color="auto" w:fill="auto"/>
            <w:vAlign w:val="bottom"/>
          </w:tcPr>
          <w:p w14:paraId="25C1E77A" w14:textId="77777777" w:rsidR="00E959A1" w:rsidRPr="00515546" w:rsidRDefault="00E959A1" w:rsidP="00E959A1">
            <w:pPr>
              <w:spacing w:after="0"/>
              <w:rPr>
                <w:b/>
                <w:szCs w:val="22"/>
              </w:rPr>
            </w:pPr>
          </w:p>
        </w:tc>
      </w:tr>
    </w:tbl>
    <w:p w14:paraId="384945D0" w14:textId="77777777" w:rsidR="00975A60" w:rsidRPr="00CC3CF5" w:rsidRDefault="00975A60" w:rsidP="00975A60">
      <w:pPr>
        <w:rPr>
          <w:szCs w:val="22"/>
        </w:rPr>
      </w:pPr>
    </w:p>
    <w:sectPr w:rsidR="00975A60" w:rsidRPr="00CC3CF5" w:rsidSect="00D1382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23E4A" w14:textId="77777777" w:rsidR="002C3700" w:rsidRDefault="002C3700" w:rsidP="00975A60">
      <w:pPr>
        <w:spacing w:after="0"/>
      </w:pPr>
      <w:r>
        <w:separator/>
      </w:r>
    </w:p>
  </w:endnote>
  <w:endnote w:type="continuationSeparator" w:id="0">
    <w:p w14:paraId="5DCF1A05" w14:textId="77777777" w:rsidR="002C3700" w:rsidRDefault="002C3700"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F526F" w14:textId="77777777" w:rsidR="0027285B" w:rsidRDefault="0027285B"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5A2DBC" w14:textId="77777777" w:rsidR="0027285B" w:rsidRDefault="00272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CD7E" w14:textId="77777777" w:rsidR="0027285B" w:rsidRPr="003A02A5" w:rsidRDefault="0027285B"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615A3F">
      <w:rPr>
        <w:rStyle w:val="PageNumber"/>
        <w:noProof/>
      </w:rPr>
      <w:t>5</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615A3F">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D966" w14:textId="77777777" w:rsidR="0027285B" w:rsidRDefault="0027285B"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noProof/>
      </w:rPr>
      <w:t>5</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9AF79" w14:textId="77777777" w:rsidR="002C3700" w:rsidRDefault="002C3700" w:rsidP="00975A60">
      <w:pPr>
        <w:spacing w:after="0"/>
      </w:pPr>
      <w:r>
        <w:separator/>
      </w:r>
    </w:p>
  </w:footnote>
  <w:footnote w:type="continuationSeparator" w:id="0">
    <w:p w14:paraId="77EDBFC9" w14:textId="77777777" w:rsidR="002C3700" w:rsidRDefault="002C3700"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29F3E" w14:textId="77777777" w:rsidR="00E959A1" w:rsidRDefault="00E9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EA286" w14:textId="3A8797BD" w:rsidR="0027285B" w:rsidRPr="00F87812" w:rsidRDefault="0027285B" w:rsidP="00D13825">
    <w:pPr>
      <w:pStyle w:val="Header"/>
    </w:pPr>
    <w:r w:rsidRPr="00F87812">
      <w:t>Identification code: MeG-CLS-</w:t>
    </w:r>
    <w:r w:rsidR="002C6BC7">
      <w:t>020</w:t>
    </w:r>
    <w:r w:rsidRPr="00F87812">
      <w:tab/>
    </w:r>
  </w:p>
  <w:p w14:paraId="146DB69D" w14:textId="1BFEBD10" w:rsidR="0027285B" w:rsidRPr="00D13825" w:rsidRDefault="0027285B" w:rsidP="00D13825">
    <w:pPr>
      <w:pStyle w:val="Header"/>
    </w:pPr>
    <w:r w:rsidRPr="00F87812">
      <w:t xml:space="preserve">Version: </w:t>
    </w:r>
    <w:r w:rsidR="002C6BC7">
      <w:t>2</w:t>
    </w:r>
    <w:r w:rsidRPr="002C6BC7">
      <w:t>.</w:t>
    </w:r>
    <w:r w:rsidR="00750A92">
      <w:t>1</w:t>
    </w:r>
    <w:r w:rsidRPr="002C6BC7">
      <w:t xml:space="preserve"> – </w:t>
    </w:r>
    <w:r w:rsidR="002C6BC7" w:rsidRPr="002C6BC7">
      <w:t>31 January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03AB1" w14:textId="77777777" w:rsidR="0027285B" w:rsidRDefault="0027285B" w:rsidP="00D13825">
    <w:pPr>
      <w:pStyle w:val="Header"/>
      <w:ind w:firstLine="2880"/>
      <w:rPr>
        <w:rFonts w:cs="Arial"/>
        <w:b/>
      </w:rPr>
    </w:pPr>
    <w:r>
      <w:rPr>
        <w:rFonts w:cs="Arial"/>
        <w:b/>
        <w:noProof/>
        <w:lang w:val="en-GB" w:eastAsia="en-GB"/>
      </w:rPr>
      <w:drawing>
        <wp:anchor distT="0" distB="0" distL="114300" distR="114300" simplePos="0" relativeHeight="251658752" behindDoc="1" locked="0" layoutInCell="1" allowOverlap="1" wp14:anchorId="1377670B" wp14:editId="66B8C811">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AC88E62" w14:textId="77777777" w:rsidR="0027285B" w:rsidRDefault="0027285B"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B0B4FFE" w14:textId="77777777" w:rsidR="0027285B" w:rsidRPr="003C0800" w:rsidRDefault="0027285B" w:rsidP="00D13825">
    <w:pPr>
      <w:pStyle w:val="Header"/>
      <w:ind w:firstLine="2880"/>
      <w:rPr>
        <w:rFonts w:cs="Arial"/>
        <w:b/>
      </w:rPr>
    </w:pPr>
  </w:p>
  <w:p w14:paraId="7C08AFFE" w14:textId="7A9D1237" w:rsidR="0027285B" w:rsidRPr="00F87812" w:rsidRDefault="0027285B" w:rsidP="00D13825">
    <w:pPr>
      <w:pStyle w:val="Header"/>
    </w:pPr>
    <w:r w:rsidRPr="00F87812">
      <w:t>Identification code: MeG-CLS-</w:t>
    </w:r>
    <w:r w:rsidR="002C6BC7">
      <w:t>020</w:t>
    </w:r>
    <w:r w:rsidRPr="00F87812">
      <w:tab/>
    </w:r>
  </w:p>
  <w:p w14:paraId="745492B0" w14:textId="3E4831DF" w:rsidR="0027285B" w:rsidRPr="00F87812" w:rsidRDefault="0027285B" w:rsidP="00D13825">
    <w:pPr>
      <w:pStyle w:val="Header"/>
    </w:pPr>
    <w:r w:rsidRPr="00F87812">
      <w:t xml:space="preserve">Version: </w:t>
    </w:r>
    <w:r w:rsidR="002C6BC7">
      <w:t>2</w:t>
    </w:r>
    <w:r w:rsidRPr="002C6BC7">
      <w:t>.</w:t>
    </w:r>
    <w:r w:rsidR="00750A92">
      <w:t>1</w:t>
    </w:r>
    <w:r w:rsidRPr="002C6BC7">
      <w:t xml:space="preserve"> – </w:t>
    </w:r>
    <w:r w:rsidR="002C6BC7">
      <w:t>31 January</w:t>
    </w:r>
    <w:r w:rsidR="00772A6D">
      <w:t xml:space="preserve"> </w:t>
    </w:r>
    <w:r w:rsidR="002C6BC7">
      <w:t>2019</w:t>
    </w:r>
  </w:p>
  <w:p w14:paraId="6B8C6E09" w14:textId="77777777" w:rsidR="0027285B" w:rsidRDefault="00272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057E26"/>
    <w:multiLevelType w:val="hybridMultilevel"/>
    <w:tmpl w:val="A20875C8"/>
    <w:lvl w:ilvl="0" w:tplc="04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64A45"/>
    <w:multiLevelType w:val="hybridMultilevel"/>
    <w:tmpl w:val="EF90F0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390FDA"/>
    <w:multiLevelType w:val="hybridMultilevel"/>
    <w:tmpl w:val="7EC26A50"/>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D746E46"/>
    <w:multiLevelType w:val="hybridMultilevel"/>
    <w:tmpl w:val="8BA845F6"/>
    <w:lvl w:ilvl="0" w:tplc="F306BA5A">
      <w:numFmt w:val="bullet"/>
      <w:lvlText w:val=""/>
      <w:lvlJc w:val="left"/>
      <w:pPr>
        <w:ind w:left="720" w:hanging="360"/>
      </w:pPr>
      <w:rPr>
        <w:rFonts w:ascii="Symbol" w:eastAsia="MS Mincho"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F95F1A"/>
    <w:multiLevelType w:val="hybridMultilevel"/>
    <w:tmpl w:val="61C2EE14"/>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35087"/>
    <w:multiLevelType w:val="hybridMultilevel"/>
    <w:tmpl w:val="14961A5E"/>
    <w:lvl w:ilvl="0" w:tplc="F306BA5A">
      <w:numFmt w:val="bullet"/>
      <w:lvlText w:val=""/>
      <w:lvlJc w:val="left"/>
      <w:pPr>
        <w:ind w:left="720" w:hanging="360"/>
      </w:pPr>
      <w:rPr>
        <w:rFonts w:ascii="Symbol" w:eastAsia="MS Mincho"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F0436"/>
    <w:multiLevelType w:val="hybridMultilevel"/>
    <w:tmpl w:val="5AFCFCE2"/>
    <w:lvl w:ilvl="0" w:tplc="A0FEB37C">
      <w:numFmt w:val="bullet"/>
      <w:lvlText w:val="•"/>
      <w:lvlJc w:val="left"/>
      <w:pPr>
        <w:ind w:left="1440" w:hanging="720"/>
      </w:pPr>
      <w:rPr>
        <w:rFonts w:ascii="Arial" w:eastAsia="MS Mincho"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62246C"/>
    <w:multiLevelType w:val="hybridMultilevel"/>
    <w:tmpl w:val="ED0EF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5B01027D"/>
    <w:multiLevelType w:val="hybridMultilevel"/>
    <w:tmpl w:val="53542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7807994"/>
    <w:multiLevelType w:val="hybridMultilevel"/>
    <w:tmpl w:val="21225B9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14"/>
  </w:num>
  <w:num w:numId="4">
    <w:abstractNumId w:val="1"/>
  </w:num>
  <w:num w:numId="5">
    <w:abstractNumId w:val="0"/>
  </w:num>
  <w:num w:numId="6">
    <w:abstractNumId w:val="7"/>
  </w:num>
  <w:num w:numId="7">
    <w:abstractNumId w:val="21"/>
  </w:num>
  <w:num w:numId="8">
    <w:abstractNumId w:val="2"/>
  </w:num>
  <w:num w:numId="9">
    <w:abstractNumId w:val="35"/>
  </w:num>
  <w:num w:numId="10">
    <w:abstractNumId w:val="4"/>
  </w:num>
  <w:num w:numId="11">
    <w:abstractNumId w:val="15"/>
  </w:num>
  <w:num w:numId="12">
    <w:abstractNumId w:val="26"/>
  </w:num>
  <w:num w:numId="13">
    <w:abstractNumId w:val="32"/>
  </w:num>
  <w:num w:numId="14">
    <w:abstractNumId w:val="29"/>
  </w:num>
  <w:num w:numId="15">
    <w:abstractNumId w:val="34"/>
  </w:num>
  <w:num w:numId="16">
    <w:abstractNumId w:val="16"/>
  </w:num>
  <w:num w:numId="17">
    <w:abstractNumId w:val="9"/>
  </w:num>
  <w:num w:numId="18">
    <w:abstractNumId w:val="30"/>
  </w:num>
  <w:num w:numId="19">
    <w:abstractNumId w:val="18"/>
  </w:num>
  <w:num w:numId="20">
    <w:abstractNumId w:val="33"/>
  </w:num>
  <w:num w:numId="21">
    <w:abstractNumId w:val="20"/>
  </w:num>
  <w:num w:numId="22">
    <w:abstractNumId w:val="13"/>
  </w:num>
  <w:num w:numId="23">
    <w:abstractNumId w:val="25"/>
  </w:num>
  <w:num w:numId="24">
    <w:abstractNumId w:val="28"/>
  </w:num>
  <w:num w:numId="25">
    <w:abstractNumId w:val="17"/>
  </w:num>
  <w:num w:numId="26">
    <w:abstractNumId w:val="31"/>
  </w:num>
  <w:num w:numId="27">
    <w:abstractNumId w:val="8"/>
  </w:num>
  <w:num w:numId="28">
    <w:abstractNumId w:val="11"/>
  </w:num>
  <w:num w:numId="29">
    <w:abstractNumId w:val="3"/>
  </w:num>
  <w:num w:numId="30">
    <w:abstractNumId w:val="5"/>
  </w:num>
  <w:num w:numId="31">
    <w:abstractNumId w:val="24"/>
  </w:num>
  <w:num w:numId="32">
    <w:abstractNumId w:val="23"/>
  </w:num>
  <w:num w:numId="33">
    <w:abstractNumId w:val="22"/>
  </w:num>
  <w:num w:numId="34">
    <w:abstractNumId w:val="12"/>
  </w:num>
  <w:num w:numId="35">
    <w:abstractNumId w:val="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SwMDAzMzEwNDAxMTNR0lEKTi0uzszPAykwqgUAhpKnjywAAAA="/>
  </w:docVars>
  <w:rsids>
    <w:rsidRoot w:val="002D4A87"/>
    <w:rsid w:val="000039D9"/>
    <w:rsid w:val="00024576"/>
    <w:rsid w:val="00034E55"/>
    <w:rsid w:val="00035D7D"/>
    <w:rsid w:val="000453F7"/>
    <w:rsid w:val="00052777"/>
    <w:rsid w:val="000627E6"/>
    <w:rsid w:val="00070646"/>
    <w:rsid w:val="0007147C"/>
    <w:rsid w:val="00081642"/>
    <w:rsid w:val="0008428E"/>
    <w:rsid w:val="000A126F"/>
    <w:rsid w:val="000C65CC"/>
    <w:rsid w:val="000D69C3"/>
    <w:rsid w:val="000E1902"/>
    <w:rsid w:val="000E327B"/>
    <w:rsid w:val="000F0C72"/>
    <w:rsid w:val="001032A6"/>
    <w:rsid w:val="00111671"/>
    <w:rsid w:val="00114AAF"/>
    <w:rsid w:val="001203AE"/>
    <w:rsid w:val="00123F20"/>
    <w:rsid w:val="001413B5"/>
    <w:rsid w:val="00164B3A"/>
    <w:rsid w:val="00175153"/>
    <w:rsid w:val="0017728E"/>
    <w:rsid w:val="0018653E"/>
    <w:rsid w:val="001975A4"/>
    <w:rsid w:val="001B68DF"/>
    <w:rsid w:val="001C1450"/>
    <w:rsid w:val="001C40F3"/>
    <w:rsid w:val="001F5808"/>
    <w:rsid w:val="00221C09"/>
    <w:rsid w:val="00223920"/>
    <w:rsid w:val="00241ACA"/>
    <w:rsid w:val="00252A11"/>
    <w:rsid w:val="00263BE6"/>
    <w:rsid w:val="0027285B"/>
    <w:rsid w:val="0028578B"/>
    <w:rsid w:val="0029357D"/>
    <w:rsid w:val="00297396"/>
    <w:rsid w:val="002A094C"/>
    <w:rsid w:val="002A2856"/>
    <w:rsid w:val="002A4D27"/>
    <w:rsid w:val="002A5909"/>
    <w:rsid w:val="002A6AD0"/>
    <w:rsid w:val="002C3700"/>
    <w:rsid w:val="002C6BC7"/>
    <w:rsid w:val="002D4A87"/>
    <w:rsid w:val="002E62E1"/>
    <w:rsid w:val="003016FC"/>
    <w:rsid w:val="003020A2"/>
    <w:rsid w:val="003038D3"/>
    <w:rsid w:val="00313A20"/>
    <w:rsid w:val="00320323"/>
    <w:rsid w:val="0032033E"/>
    <w:rsid w:val="003225CD"/>
    <w:rsid w:val="00325B55"/>
    <w:rsid w:val="00331340"/>
    <w:rsid w:val="00331A41"/>
    <w:rsid w:val="003C0800"/>
    <w:rsid w:val="003C52AA"/>
    <w:rsid w:val="003D093E"/>
    <w:rsid w:val="003D4ECE"/>
    <w:rsid w:val="003E15CA"/>
    <w:rsid w:val="003F3169"/>
    <w:rsid w:val="003F70CA"/>
    <w:rsid w:val="00411062"/>
    <w:rsid w:val="00426AF5"/>
    <w:rsid w:val="00441875"/>
    <w:rsid w:val="00465066"/>
    <w:rsid w:val="004A25F0"/>
    <w:rsid w:val="004A4C93"/>
    <w:rsid w:val="004B2FAB"/>
    <w:rsid w:val="004C4442"/>
    <w:rsid w:val="005151D8"/>
    <w:rsid w:val="00515546"/>
    <w:rsid w:val="005410F8"/>
    <w:rsid w:val="005517FE"/>
    <w:rsid w:val="005638D0"/>
    <w:rsid w:val="005767B9"/>
    <w:rsid w:val="00586244"/>
    <w:rsid w:val="005A1E72"/>
    <w:rsid w:val="005B1FAB"/>
    <w:rsid w:val="005C7EC8"/>
    <w:rsid w:val="005D1877"/>
    <w:rsid w:val="00605963"/>
    <w:rsid w:val="00615A3F"/>
    <w:rsid w:val="006168B9"/>
    <w:rsid w:val="00633320"/>
    <w:rsid w:val="0068168D"/>
    <w:rsid w:val="006A6D03"/>
    <w:rsid w:val="006E3827"/>
    <w:rsid w:val="006F77D1"/>
    <w:rsid w:val="007067BE"/>
    <w:rsid w:val="00707BED"/>
    <w:rsid w:val="007163E4"/>
    <w:rsid w:val="007176CF"/>
    <w:rsid w:val="00725B26"/>
    <w:rsid w:val="0073606F"/>
    <w:rsid w:val="007408F0"/>
    <w:rsid w:val="00750A92"/>
    <w:rsid w:val="00756101"/>
    <w:rsid w:val="007610AB"/>
    <w:rsid w:val="00772065"/>
    <w:rsid w:val="00772A6D"/>
    <w:rsid w:val="00783E39"/>
    <w:rsid w:val="007B26B1"/>
    <w:rsid w:val="007C7E7B"/>
    <w:rsid w:val="007E4975"/>
    <w:rsid w:val="007F6302"/>
    <w:rsid w:val="00846AFC"/>
    <w:rsid w:val="00857027"/>
    <w:rsid w:val="00865EC2"/>
    <w:rsid w:val="00872890"/>
    <w:rsid w:val="008A4E95"/>
    <w:rsid w:val="008D03E5"/>
    <w:rsid w:val="008D402D"/>
    <w:rsid w:val="008D6DA1"/>
    <w:rsid w:val="008E31ED"/>
    <w:rsid w:val="009165E9"/>
    <w:rsid w:val="0092417A"/>
    <w:rsid w:val="00924F35"/>
    <w:rsid w:val="009325A7"/>
    <w:rsid w:val="00944715"/>
    <w:rsid w:val="009666BF"/>
    <w:rsid w:val="00975A60"/>
    <w:rsid w:val="009956F9"/>
    <w:rsid w:val="009A1D94"/>
    <w:rsid w:val="009B19A8"/>
    <w:rsid w:val="009B44BE"/>
    <w:rsid w:val="009C12B4"/>
    <w:rsid w:val="009C17CC"/>
    <w:rsid w:val="009D4D28"/>
    <w:rsid w:val="009F5B1B"/>
    <w:rsid w:val="00A312D8"/>
    <w:rsid w:val="00A35D72"/>
    <w:rsid w:val="00A41080"/>
    <w:rsid w:val="00A44CC3"/>
    <w:rsid w:val="00A5476D"/>
    <w:rsid w:val="00A5479D"/>
    <w:rsid w:val="00A618A8"/>
    <w:rsid w:val="00A64153"/>
    <w:rsid w:val="00A64391"/>
    <w:rsid w:val="00A80568"/>
    <w:rsid w:val="00A80A1C"/>
    <w:rsid w:val="00A90C14"/>
    <w:rsid w:val="00A9247F"/>
    <w:rsid w:val="00AA4780"/>
    <w:rsid w:val="00AB204A"/>
    <w:rsid w:val="00AB4C7C"/>
    <w:rsid w:val="00AB5E11"/>
    <w:rsid w:val="00AC38CA"/>
    <w:rsid w:val="00AC7215"/>
    <w:rsid w:val="00B2497C"/>
    <w:rsid w:val="00B31AC4"/>
    <w:rsid w:val="00B57975"/>
    <w:rsid w:val="00B73A45"/>
    <w:rsid w:val="00B844E8"/>
    <w:rsid w:val="00BA0926"/>
    <w:rsid w:val="00BA0A1F"/>
    <w:rsid w:val="00BA19FD"/>
    <w:rsid w:val="00BB06BE"/>
    <w:rsid w:val="00BB7ABF"/>
    <w:rsid w:val="00BC0632"/>
    <w:rsid w:val="00BD08AB"/>
    <w:rsid w:val="00BD2471"/>
    <w:rsid w:val="00C174CA"/>
    <w:rsid w:val="00C21DD4"/>
    <w:rsid w:val="00C541AE"/>
    <w:rsid w:val="00C55AB6"/>
    <w:rsid w:val="00C67021"/>
    <w:rsid w:val="00C87C78"/>
    <w:rsid w:val="00CA7E5D"/>
    <w:rsid w:val="00CB3DA4"/>
    <w:rsid w:val="00CB49D7"/>
    <w:rsid w:val="00CC3CF5"/>
    <w:rsid w:val="00CD4A1D"/>
    <w:rsid w:val="00CF645C"/>
    <w:rsid w:val="00D03AB2"/>
    <w:rsid w:val="00D13825"/>
    <w:rsid w:val="00D16149"/>
    <w:rsid w:val="00D84EDA"/>
    <w:rsid w:val="00DA20ED"/>
    <w:rsid w:val="00DB1207"/>
    <w:rsid w:val="00DC1CC5"/>
    <w:rsid w:val="00DC590C"/>
    <w:rsid w:val="00DE3D6D"/>
    <w:rsid w:val="00DF345F"/>
    <w:rsid w:val="00E10052"/>
    <w:rsid w:val="00E162DA"/>
    <w:rsid w:val="00E25DBF"/>
    <w:rsid w:val="00E8488E"/>
    <w:rsid w:val="00E87EE4"/>
    <w:rsid w:val="00E959A1"/>
    <w:rsid w:val="00EB20F7"/>
    <w:rsid w:val="00EB57C0"/>
    <w:rsid w:val="00F014CB"/>
    <w:rsid w:val="00F03F25"/>
    <w:rsid w:val="00F050C0"/>
    <w:rsid w:val="00F079F6"/>
    <w:rsid w:val="00F23A8E"/>
    <w:rsid w:val="00F53968"/>
    <w:rsid w:val="00F71F11"/>
    <w:rsid w:val="00F8417F"/>
    <w:rsid w:val="00F96B0A"/>
    <w:rsid w:val="00FA73E0"/>
    <w:rsid w:val="00FB1907"/>
    <w:rsid w:val="00FB20BD"/>
    <w:rsid w:val="00FE3A3E"/>
    <w:rsid w:val="00FE6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6EFFA2"/>
  <w15:docId w15:val="{C72A0821-7CA0-4CB1-8085-E603AC68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styleId="CommentReference">
    <w:name w:val="annotation reference"/>
    <w:basedOn w:val="DefaultParagraphFont"/>
    <w:semiHidden/>
    <w:unhideWhenUsed/>
    <w:rsid w:val="00BB06BE"/>
    <w:rPr>
      <w:sz w:val="16"/>
      <w:szCs w:val="16"/>
    </w:rPr>
  </w:style>
  <w:style w:type="paragraph" w:styleId="CommentText">
    <w:name w:val="annotation text"/>
    <w:basedOn w:val="Normal"/>
    <w:link w:val="CommentTextChar"/>
    <w:unhideWhenUsed/>
    <w:rsid w:val="00BB06BE"/>
    <w:rPr>
      <w:sz w:val="20"/>
      <w:szCs w:val="20"/>
    </w:rPr>
  </w:style>
  <w:style w:type="character" w:customStyle="1" w:styleId="CommentTextChar">
    <w:name w:val="Comment Text Char"/>
    <w:basedOn w:val="DefaultParagraphFont"/>
    <w:link w:val="CommentText"/>
    <w:rsid w:val="00BB06BE"/>
    <w:rPr>
      <w:rFonts w:ascii="Arial" w:hAnsi="Arial"/>
      <w:lang w:val="en-US"/>
    </w:rPr>
  </w:style>
  <w:style w:type="paragraph" w:styleId="CommentSubject">
    <w:name w:val="annotation subject"/>
    <w:basedOn w:val="CommentText"/>
    <w:next w:val="CommentText"/>
    <w:link w:val="CommentSubjectChar"/>
    <w:semiHidden/>
    <w:unhideWhenUsed/>
    <w:rsid w:val="00BB06BE"/>
    <w:rPr>
      <w:b/>
      <w:bCs/>
    </w:rPr>
  </w:style>
  <w:style w:type="character" w:customStyle="1" w:styleId="CommentSubjectChar">
    <w:name w:val="Comment Subject Char"/>
    <w:basedOn w:val="CommentTextChar"/>
    <w:link w:val="CommentSubject"/>
    <w:semiHidden/>
    <w:rsid w:val="00BB06BE"/>
    <w:rPr>
      <w:rFonts w:ascii="Arial" w:hAnsi="Arial"/>
      <w:b/>
      <w:bCs/>
      <w:lang w:val="en-US"/>
    </w:rPr>
  </w:style>
  <w:style w:type="paragraph" w:styleId="Revision">
    <w:name w:val="Revision"/>
    <w:hidden/>
    <w:semiHidden/>
    <w:rsid w:val="002C6BC7"/>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dicine.medscape.com/article/1164341-overvie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D20EF-655E-4B9F-865B-41BBE5180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13</TotalTime>
  <Pages>6</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19</cp:revision>
  <cp:lastPrinted>2019-05-09T13:07:00Z</cp:lastPrinted>
  <dcterms:created xsi:type="dcterms:W3CDTF">2019-01-31T08:54:00Z</dcterms:created>
  <dcterms:modified xsi:type="dcterms:W3CDTF">2019-05-09T13:07:00Z</dcterms:modified>
</cp:coreProperties>
</file>