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D7E7C" w14:textId="120CED0C" w:rsidR="001203AE" w:rsidRPr="003C0800" w:rsidRDefault="008C32C2" w:rsidP="001203AE">
      <w:pPr>
        <w:pStyle w:val="Heading1"/>
        <w:rPr>
          <w:rFonts w:cs="Arial"/>
          <w:szCs w:val="22"/>
        </w:rPr>
      </w:pPr>
      <w:r>
        <w:rPr>
          <w:rFonts w:cs="Arial"/>
          <w:szCs w:val="22"/>
        </w:rPr>
        <w:t>Tuberculosis</w:t>
      </w:r>
    </w:p>
    <w:p w14:paraId="6C367BBB" w14:textId="77777777" w:rsidR="001E622E" w:rsidRDefault="001E622E" w:rsidP="001E622E">
      <w:pPr>
        <w:pStyle w:val="Heading2"/>
        <w:rPr>
          <w:rFonts w:eastAsia="Times New Roman"/>
          <w:i/>
          <w:iCs/>
          <w:szCs w:val="24"/>
        </w:rPr>
      </w:pPr>
      <w:r>
        <w:rPr>
          <w:rFonts w:eastAsia="Times New Roman"/>
          <w:i/>
          <w:iCs/>
        </w:rPr>
        <w:t>Executive summary</w:t>
      </w:r>
    </w:p>
    <w:p w14:paraId="0135985E" w14:textId="5A3638BB" w:rsidR="001E622E" w:rsidRDefault="001E622E" w:rsidP="001E622E">
      <w:pPr>
        <w:pStyle w:val="Heading2"/>
        <w:rPr>
          <w:rFonts w:eastAsia="Times New Roman"/>
        </w:rPr>
      </w:pPr>
      <w:r>
        <w:rPr>
          <w:rFonts w:eastAsia="Times New Roman"/>
        </w:rPr>
        <w:t>Introduction</w:t>
      </w:r>
    </w:p>
    <w:p w14:paraId="3E1832F1" w14:textId="77777777" w:rsidR="001E622E" w:rsidRPr="00DD3001" w:rsidRDefault="001E622E" w:rsidP="001E622E">
      <w:pPr>
        <w:rPr>
          <w:b/>
        </w:rPr>
      </w:pPr>
      <w:r w:rsidRPr="00DD3001">
        <w:t xml:space="preserve">Tuberculosis </w:t>
      </w:r>
      <w:proofErr w:type="gramStart"/>
      <w:r w:rsidRPr="00DD3001">
        <w:t>still remains</w:t>
      </w:r>
      <w:proofErr w:type="gramEnd"/>
      <w:r w:rsidRPr="00DD3001">
        <w:t xml:space="preserve"> highly prevalent in The Gambia with rates at 128 cases per 100,000</w:t>
      </w:r>
      <w:r>
        <w:t xml:space="preserve"> population</w:t>
      </w:r>
      <w:r>
        <w:rPr>
          <w:b/>
        </w:rPr>
        <w:t xml:space="preserve">. </w:t>
      </w:r>
      <w:r w:rsidRPr="00DD3001">
        <w:rPr>
          <w:vertAlign w:val="superscript"/>
        </w:rPr>
        <w:t xml:space="preserve"> </w:t>
      </w:r>
      <w:r w:rsidRPr="00DD3001">
        <w:t>It</w:t>
      </w:r>
      <w:r>
        <w:t xml:space="preserve"> is often difficult to diagnose (especially in children)</w:t>
      </w:r>
      <w:r w:rsidRPr="00DD3001">
        <w:t xml:space="preserve"> and requires a combination of clinical history, examination and diagnostics. </w:t>
      </w:r>
    </w:p>
    <w:p w14:paraId="00230321" w14:textId="6C37282F" w:rsidR="001E622E" w:rsidRDefault="001E622E" w:rsidP="001E622E">
      <w:pPr>
        <w:pStyle w:val="Heading2"/>
        <w:rPr>
          <w:rFonts w:eastAsia="Times New Roman"/>
        </w:rPr>
      </w:pPr>
      <w:r>
        <w:rPr>
          <w:rFonts w:eastAsia="Times New Roman"/>
        </w:rPr>
        <w:t>Target users</w:t>
      </w:r>
    </w:p>
    <w:p w14:paraId="1B0D91DB" w14:textId="42263C24" w:rsidR="00CB4716" w:rsidRDefault="00CB4716" w:rsidP="00CB4716">
      <w:pPr>
        <w:pStyle w:val="ListParagraph"/>
        <w:numPr>
          <w:ilvl w:val="0"/>
          <w:numId w:val="42"/>
        </w:numPr>
      </w:pPr>
      <w:r>
        <w:t>Nurses</w:t>
      </w:r>
    </w:p>
    <w:p w14:paraId="4FDDFCFB" w14:textId="69E85DE0" w:rsidR="00CB4716" w:rsidRPr="00CB4716" w:rsidRDefault="00CB4716" w:rsidP="00CB4716">
      <w:pPr>
        <w:pStyle w:val="ListParagraph"/>
        <w:numPr>
          <w:ilvl w:val="0"/>
          <w:numId w:val="42"/>
        </w:numPr>
      </w:pPr>
      <w:r>
        <w:t>Doctors</w:t>
      </w:r>
    </w:p>
    <w:p w14:paraId="5A3BA636" w14:textId="000617D7" w:rsidR="001E622E" w:rsidRDefault="001E622E" w:rsidP="001E622E">
      <w:pPr>
        <w:pStyle w:val="Heading2"/>
        <w:rPr>
          <w:rFonts w:eastAsia="Times New Roman"/>
        </w:rPr>
      </w:pPr>
      <w:r>
        <w:rPr>
          <w:rFonts w:eastAsia="Times New Roman"/>
        </w:rPr>
        <w:t xml:space="preserve">Target area of use </w:t>
      </w:r>
    </w:p>
    <w:p w14:paraId="04CD36DA" w14:textId="5472A566" w:rsidR="00CB4716" w:rsidRDefault="00CB4716" w:rsidP="00CB4716">
      <w:pPr>
        <w:pStyle w:val="ListParagraph"/>
        <w:numPr>
          <w:ilvl w:val="0"/>
          <w:numId w:val="43"/>
        </w:numPr>
      </w:pPr>
      <w:r>
        <w:t>Gate clinic</w:t>
      </w:r>
    </w:p>
    <w:p w14:paraId="4D402760" w14:textId="6EA451E1" w:rsidR="00CB4716" w:rsidRDefault="00CB4716" w:rsidP="00CB4716">
      <w:pPr>
        <w:pStyle w:val="ListParagraph"/>
        <w:numPr>
          <w:ilvl w:val="0"/>
          <w:numId w:val="43"/>
        </w:numPr>
      </w:pPr>
      <w:r>
        <w:t>Outpatient clinic</w:t>
      </w:r>
    </w:p>
    <w:p w14:paraId="30E616C8" w14:textId="758F0E30" w:rsidR="00CB4716" w:rsidRPr="00CB4716" w:rsidRDefault="00CB4716" w:rsidP="00CB4716">
      <w:pPr>
        <w:pStyle w:val="ListParagraph"/>
        <w:numPr>
          <w:ilvl w:val="0"/>
          <w:numId w:val="43"/>
        </w:numPr>
      </w:pPr>
      <w:r>
        <w:t>Ward</w:t>
      </w:r>
    </w:p>
    <w:p w14:paraId="3D6444D0" w14:textId="6F363AB8" w:rsidR="001E622E" w:rsidRDefault="001E622E" w:rsidP="001E622E">
      <w:pPr>
        <w:pStyle w:val="Heading2"/>
        <w:rPr>
          <w:rFonts w:eastAsia="Times New Roman"/>
        </w:rPr>
      </w:pPr>
      <w:r>
        <w:rPr>
          <w:rFonts w:eastAsia="Times New Roman"/>
        </w:rPr>
        <w:t xml:space="preserve">Key areas of focus / New additions / Changes </w:t>
      </w:r>
    </w:p>
    <w:p w14:paraId="0E778907" w14:textId="1CE0C436" w:rsidR="004F4A73" w:rsidRPr="004F4A73" w:rsidRDefault="004F4A73" w:rsidP="004F4A73">
      <w:r>
        <w:t xml:space="preserve">This guideline outlines the investigation and treatment of TB. </w:t>
      </w:r>
    </w:p>
    <w:p w14:paraId="78A81C6E" w14:textId="2A3B3467" w:rsidR="001E622E" w:rsidRDefault="001E622E" w:rsidP="00975A60">
      <w:pPr>
        <w:pStyle w:val="Heading2"/>
        <w:rPr>
          <w:rFonts w:eastAsia="Times New Roman"/>
        </w:rPr>
      </w:pPr>
      <w:r>
        <w:rPr>
          <w:rFonts w:eastAsia="Times New Roman"/>
        </w:rPr>
        <w:t>Limitations</w:t>
      </w:r>
    </w:p>
    <w:p w14:paraId="3C5626E3" w14:textId="42D798D0" w:rsidR="00E42009" w:rsidRPr="00E42009" w:rsidRDefault="00E42009" w:rsidP="00E42009">
      <w:r>
        <w:t>Please also refer to the SOP on investigation of TB (SOP-CLS-003) to ensure proper use of our diagnostic resources.</w:t>
      </w:r>
    </w:p>
    <w:p w14:paraId="113A2C40" w14:textId="77777777" w:rsidR="001E622E" w:rsidRDefault="001E622E">
      <w:pPr>
        <w:spacing w:after="0"/>
        <w:outlineLvl w:val="9"/>
        <w:rPr>
          <w:b/>
          <w:sz w:val="24"/>
          <w:szCs w:val="22"/>
        </w:rPr>
      </w:pPr>
      <w:r>
        <w:rPr>
          <w:szCs w:val="22"/>
        </w:rPr>
        <w:br w:type="page"/>
      </w:r>
    </w:p>
    <w:p w14:paraId="2746510B" w14:textId="77777777" w:rsidR="00130C07" w:rsidRDefault="00130C07" w:rsidP="00130C07">
      <w:pPr>
        <w:pStyle w:val="Heading2"/>
      </w:pPr>
      <w:r>
        <w:lastRenderedPageBreak/>
        <w:t xml:space="preserve">Pulmonary TB </w:t>
      </w:r>
    </w:p>
    <w:p w14:paraId="6699B3F8" w14:textId="4432324F" w:rsidR="00130C07" w:rsidRDefault="00130C07" w:rsidP="00130C07">
      <w:r>
        <w:t>affects the lungs or the pleural space</w:t>
      </w:r>
    </w:p>
    <w:p w14:paraId="39939887" w14:textId="218E2E7A" w:rsidR="00130C07" w:rsidRDefault="00130C07" w:rsidP="00130C07">
      <w:pPr>
        <w:pStyle w:val="Heading2"/>
      </w:pPr>
      <w:r>
        <w:t>Extrapulmonary TB</w:t>
      </w:r>
    </w:p>
    <w:p w14:paraId="6E4F49CF" w14:textId="77777777" w:rsidR="00130C07" w:rsidRPr="002415B9" w:rsidRDefault="00130C07" w:rsidP="00130C07">
      <w:r w:rsidRPr="002415B9">
        <w:t>Tuberculosis outside the lung usually results from haematogenous dissemination. </w:t>
      </w:r>
    </w:p>
    <w:p w14:paraId="72CF7113" w14:textId="77777777" w:rsidR="00130C07" w:rsidRPr="002415B9" w:rsidRDefault="00130C07" w:rsidP="00130C07">
      <w:pPr>
        <w:pStyle w:val="Heading3"/>
      </w:pPr>
      <w:r w:rsidRPr="002415B9">
        <w:t>Miliary TB </w:t>
      </w:r>
    </w:p>
    <w:p w14:paraId="1B31CEE1" w14:textId="77777777" w:rsidR="00130C07" w:rsidRPr="002415B9" w:rsidRDefault="00130C07" w:rsidP="00130C07">
      <w:r w:rsidRPr="002415B9">
        <w:t xml:space="preserve">Also known as generalized haematogenous TB, </w:t>
      </w:r>
      <w:r>
        <w:t xml:space="preserve">it </w:t>
      </w:r>
      <w:r w:rsidRPr="002415B9">
        <w:t>occurs when a tuberculous lesion erodes into a blood vessel, disseminating millions of tubercle bacilli into the bloodstream and throughout the body.</w:t>
      </w:r>
      <w:r>
        <w:t xml:space="preserve"> </w:t>
      </w:r>
      <w:r w:rsidRPr="002415B9">
        <w:t>The lungs and bone marrow are most often affected.</w:t>
      </w:r>
    </w:p>
    <w:p w14:paraId="60DA53A5" w14:textId="77777777" w:rsidR="00130C07" w:rsidRPr="002415B9" w:rsidRDefault="00130C07" w:rsidP="00130C07">
      <w:r w:rsidRPr="002415B9">
        <w:t>Miliary TB is most common among:</w:t>
      </w:r>
    </w:p>
    <w:p w14:paraId="32C7CCD7" w14:textId="77777777" w:rsidR="00130C07" w:rsidRPr="002415B9" w:rsidRDefault="00130C07" w:rsidP="00130C07">
      <w:pPr>
        <w:pStyle w:val="ListParagraph"/>
        <w:numPr>
          <w:ilvl w:val="0"/>
          <w:numId w:val="46"/>
        </w:numPr>
      </w:pPr>
      <w:r w:rsidRPr="002415B9">
        <w:t>Children &lt; 4 years</w:t>
      </w:r>
    </w:p>
    <w:p w14:paraId="360A1D29" w14:textId="77777777" w:rsidR="00130C07" w:rsidRPr="002415B9" w:rsidRDefault="00130C07" w:rsidP="00130C07">
      <w:pPr>
        <w:pStyle w:val="ListParagraph"/>
        <w:numPr>
          <w:ilvl w:val="0"/>
          <w:numId w:val="46"/>
        </w:numPr>
      </w:pPr>
      <w:r w:rsidRPr="002415B9">
        <w:t>Immunocompromised people</w:t>
      </w:r>
    </w:p>
    <w:p w14:paraId="3D0D8B8E" w14:textId="77777777" w:rsidR="00130C07" w:rsidRPr="002415B9" w:rsidRDefault="00130C07" w:rsidP="00130C07">
      <w:pPr>
        <w:pStyle w:val="ListParagraph"/>
        <w:numPr>
          <w:ilvl w:val="0"/>
          <w:numId w:val="46"/>
        </w:numPr>
      </w:pPr>
      <w:r w:rsidRPr="002415B9">
        <w:t>The elderly</w:t>
      </w:r>
    </w:p>
    <w:p w14:paraId="2BF503E9" w14:textId="77777777" w:rsidR="00130C07" w:rsidRPr="002415B9" w:rsidRDefault="00130C07" w:rsidP="00130C07">
      <w:pPr>
        <w:pStyle w:val="Heading3"/>
      </w:pPr>
      <w:r w:rsidRPr="002415B9">
        <w:t>Genitourinary TB </w:t>
      </w:r>
    </w:p>
    <w:p w14:paraId="71A3BC9C" w14:textId="77777777" w:rsidR="00130C07" w:rsidRPr="002415B9" w:rsidRDefault="00130C07" w:rsidP="00130C07">
      <w:r w:rsidRPr="002415B9">
        <w:t xml:space="preserve">Infection of the kidneys may manifest as pyelonephritis without the usual urinary pathogens on routine culture (sterile pyuria). Infection commonly spreads to the bladder and, in men, to the prostate, seminal vesicles, or epididymis, causing an enlarging scrotal mass. Salpingo-oophoritis can occur after </w:t>
      </w:r>
      <w:proofErr w:type="gramStart"/>
      <w:r w:rsidRPr="002415B9">
        <w:t>menarche, when</w:t>
      </w:r>
      <w:proofErr w:type="gramEnd"/>
      <w:r w:rsidRPr="002415B9">
        <w:t xml:space="preserve"> the fallopian tubes become vascular. Symptoms include chronic pelvic pain and sterility or ectopic pregnancy due to tubal scarring.</w:t>
      </w:r>
    </w:p>
    <w:p w14:paraId="3187AB01" w14:textId="77777777" w:rsidR="00130C07" w:rsidRPr="002415B9" w:rsidRDefault="00130C07" w:rsidP="00130C07">
      <w:pPr>
        <w:pStyle w:val="Heading3"/>
      </w:pPr>
      <w:r w:rsidRPr="002415B9">
        <w:t>TB meningitis </w:t>
      </w:r>
    </w:p>
    <w:p w14:paraId="3CB8026E" w14:textId="77777777" w:rsidR="00130C07" w:rsidRPr="002415B9" w:rsidRDefault="00130C07" w:rsidP="00130C07">
      <w:r w:rsidRPr="002415B9">
        <w:t xml:space="preserve">At any age, meningitis is the most serious form of TB and has high morbidity and mortality. It is the one form of TB believed to be prevented in childhood by vaccination with </w:t>
      </w:r>
      <w:hyperlink r:id="rId7" w:anchor="v1092422" w:history="1">
        <w:r w:rsidRPr="002415B9">
          <w:rPr>
            <w:rStyle w:val="Hyperlink"/>
          </w:rPr>
          <w:t>BCG</w:t>
        </w:r>
      </w:hyperlink>
      <w:r w:rsidRPr="002415B9">
        <w:t>..</w:t>
      </w:r>
    </w:p>
    <w:p w14:paraId="7A421138" w14:textId="77777777" w:rsidR="00130C07" w:rsidRPr="002415B9" w:rsidRDefault="00130C07" w:rsidP="00130C07">
      <w:pPr>
        <w:pStyle w:val="Heading3"/>
      </w:pPr>
      <w:r w:rsidRPr="002415B9">
        <w:t>TB peritonitis </w:t>
      </w:r>
    </w:p>
    <w:p w14:paraId="539B9AB0" w14:textId="77777777" w:rsidR="00130C07" w:rsidRPr="002415B9" w:rsidRDefault="00130C07" w:rsidP="00130C07">
      <w:r w:rsidRPr="002415B9">
        <w:t>Peritoneal infection represents seeding from abdominal lymph nodes or from salpingo-oophoritis. </w:t>
      </w:r>
    </w:p>
    <w:p w14:paraId="138A29D5" w14:textId="77777777" w:rsidR="00130C07" w:rsidRPr="002415B9" w:rsidRDefault="00130C07" w:rsidP="00130C07">
      <w:pPr>
        <w:pStyle w:val="Heading3"/>
      </w:pPr>
      <w:r w:rsidRPr="002415B9">
        <w:t>TB pericarditis </w:t>
      </w:r>
    </w:p>
    <w:p w14:paraId="36738654" w14:textId="77777777" w:rsidR="00130C07" w:rsidRPr="002415B9" w:rsidRDefault="00130C07" w:rsidP="00130C07">
      <w:r w:rsidRPr="002415B9">
        <w:t>Pericardial infection may develop from foci in mediastinal lymph nodes or from pleural TB. In some high-incidence parts of the world, TB pericarditis is a common cause of heart failure.</w:t>
      </w:r>
    </w:p>
    <w:p w14:paraId="08F515F7" w14:textId="77777777" w:rsidR="00130C07" w:rsidRPr="002415B9" w:rsidRDefault="00130C07" w:rsidP="00130C07">
      <w:pPr>
        <w:pStyle w:val="Heading3"/>
      </w:pPr>
      <w:r w:rsidRPr="002415B9">
        <w:t>TB lymphadenitis </w:t>
      </w:r>
    </w:p>
    <w:p w14:paraId="3D586937" w14:textId="77777777" w:rsidR="00130C07" w:rsidRPr="002415B9" w:rsidRDefault="00130C07" w:rsidP="00130C07">
      <w:r w:rsidRPr="002415B9">
        <w:t>Tuberculous lymphadenitis (scrofula) typically involves the lymph nodes in the posterior cervical and supraclavicular chains. Infection in these areas is thought to be due to contiguous spread from intrathoracic lymphatics or from infection in the tonsils and adenoids. </w:t>
      </w:r>
    </w:p>
    <w:p w14:paraId="03C93D93" w14:textId="77777777" w:rsidR="00130C07" w:rsidRPr="002415B9" w:rsidRDefault="00130C07" w:rsidP="00130C07">
      <w:pPr>
        <w:pStyle w:val="Heading3"/>
      </w:pPr>
      <w:r w:rsidRPr="002415B9">
        <w:t>Cutaneous tuberculosis </w:t>
      </w:r>
    </w:p>
    <w:p w14:paraId="5A4BD4AB" w14:textId="77777777" w:rsidR="00130C07" w:rsidRPr="002415B9" w:rsidRDefault="00130C07" w:rsidP="00130C07">
      <w:r w:rsidRPr="002415B9">
        <w:t>Cutaneous tuberculosis (scrofuloderma) results from direct extension of an underlying TB focus (eg, a regional lymph node, an infected bone or joint) to the overlying skin, forming ulcers and sinus tracts.</w:t>
      </w:r>
    </w:p>
    <w:p w14:paraId="2A2A7AAA" w14:textId="77777777" w:rsidR="00130C07" w:rsidRPr="002415B9" w:rsidRDefault="00130C07" w:rsidP="00130C07">
      <w:pPr>
        <w:pStyle w:val="Heading3"/>
      </w:pPr>
      <w:r w:rsidRPr="002415B9">
        <w:lastRenderedPageBreak/>
        <w:t>TB of bones and joints </w:t>
      </w:r>
    </w:p>
    <w:p w14:paraId="3AB09DBB" w14:textId="77777777" w:rsidR="00130C07" w:rsidRPr="002415B9" w:rsidRDefault="00130C07" w:rsidP="00130C07">
      <w:r w:rsidRPr="002415B9">
        <w:t xml:space="preserve">Weight-bearing joints are </w:t>
      </w:r>
      <w:proofErr w:type="gramStart"/>
      <w:r w:rsidRPr="002415B9">
        <w:t>most commonly involved</w:t>
      </w:r>
      <w:proofErr w:type="gramEnd"/>
      <w:r w:rsidRPr="002415B9">
        <w:t>, but bones of the wrist, hand, and elbow may also be affected, especially after injury.</w:t>
      </w:r>
    </w:p>
    <w:p w14:paraId="249FDDD6" w14:textId="77777777" w:rsidR="00130C07" w:rsidRPr="002415B9" w:rsidRDefault="00130C07" w:rsidP="00130C07">
      <w:r w:rsidRPr="002415B9">
        <w:t>Pott disease is spinal infection, which begins in a vertebral body and often spreads to adjacent vertebrae, with narrowing of the disk space between them. </w:t>
      </w:r>
    </w:p>
    <w:p w14:paraId="240E187C" w14:textId="77777777" w:rsidR="00130C07" w:rsidRPr="002415B9" w:rsidRDefault="00130C07" w:rsidP="00130C07">
      <w:pPr>
        <w:pStyle w:val="Heading3"/>
      </w:pPr>
      <w:r w:rsidRPr="002415B9">
        <w:t>Gastrointestinal TB </w:t>
      </w:r>
    </w:p>
    <w:p w14:paraId="4BCE1A4C" w14:textId="77777777" w:rsidR="00130C07" w:rsidRPr="002415B9" w:rsidRDefault="00130C07" w:rsidP="00130C07">
      <w:r w:rsidRPr="002415B9">
        <w:t>Because the entire GI mucosa resists TB invasion, infection requires prolonged exposure and enormous inocula. </w:t>
      </w:r>
    </w:p>
    <w:p w14:paraId="3CD3B9DD" w14:textId="77777777" w:rsidR="00130C07" w:rsidRPr="002415B9" w:rsidRDefault="00130C07" w:rsidP="00130C07">
      <w:r w:rsidRPr="002415B9">
        <w:t>Ulcers of the mouth and oropharynx may develop from eating M. bovis–contaminated dairy products.</w:t>
      </w:r>
    </w:p>
    <w:p w14:paraId="00780858" w14:textId="20557496" w:rsidR="00975A60" w:rsidRDefault="00975A60" w:rsidP="00975A60">
      <w:pPr>
        <w:pStyle w:val="Heading2"/>
        <w:rPr>
          <w:rFonts w:cs="Arial"/>
          <w:szCs w:val="22"/>
        </w:rPr>
      </w:pPr>
      <w:r w:rsidRPr="00DC590C">
        <w:rPr>
          <w:rFonts w:cs="Arial"/>
          <w:szCs w:val="22"/>
        </w:rPr>
        <w:t>Presenting symptoms and signs</w:t>
      </w:r>
    </w:p>
    <w:p w14:paraId="61A26648"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Fever</w:t>
      </w:r>
    </w:p>
    <w:p w14:paraId="2E3ABEA9"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Night sweats</w:t>
      </w:r>
    </w:p>
    <w:p w14:paraId="1EB11F74"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Weight loss</w:t>
      </w:r>
    </w:p>
    <w:p w14:paraId="0C10789D" w14:textId="77777777" w:rsidR="008C32C2" w:rsidRPr="00023367" w:rsidRDefault="008C32C2" w:rsidP="008C32C2">
      <w:pPr>
        <w:pStyle w:val="ListParagraph"/>
        <w:numPr>
          <w:ilvl w:val="0"/>
          <w:numId w:val="1"/>
        </w:numPr>
        <w:jc w:val="both"/>
        <w:rPr>
          <w:rFonts w:cs="Tahoma"/>
          <w:szCs w:val="22"/>
        </w:rPr>
      </w:pPr>
      <w:r w:rsidRPr="00023367">
        <w:rPr>
          <w:rFonts w:cs="Tahoma"/>
          <w:szCs w:val="22"/>
        </w:rPr>
        <w:t xml:space="preserve">Cough </w:t>
      </w:r>
    </w:p>
    <w:p w14:paraId="6EEFDFD8" w14:textId="77777777" w:rsidR="008C32C2" w:rsidRPr="00023367" w:rsidRDefault="008C32C2" w:rsidP="008C32C2">
      <w:pPr>
        <w:jc w:val="both"/>
        <w:rPr>
          <w:rFonts w:cs="Tahoma"/>
          <w:i/>
          <w:szCs w:val="22"/>
        </w:rPr>
      </w:pPr>
      <w:r w:rsidRPr="00023367">
        <w:rPr>
          <w:rFonts w:cs="Tahoma"/>
          <w:i/>
          <w:szCs w:val="22"/>
        </w:rPr>
        <w:t>For two weeks or more</w:t>
      </w:r>
    </w:p>
    <w:p w14:paraId="17E4DA6F" w14:textId="62A91110" w:rsidR="001203AE" w:rsidRPr="00445CFE" w:rsidRDefault="008C32C2" w:rsidP="001203AE">
      <w:pPr>
        <w:pStyle w:val="Heading3"/>
      </w:pPr>
      <w:r>
        <w:t>Important things to ask</w:t>
      </w:r>
    </w:p>
    <w:p w14:paraId="7DEA07A9" w14:textId="19472AFE" w:rsidR="008C32C2" w:rsidRPr="00023367" w:rsidRDefault="008C32C2" w:rsidP="008C32C2">
      <w:pPr>
        <w:pStyle w:val="ListParagraph"/>
        <w:numPr>
          <w:ilvl w:val="0"/>
          <w:numId w:val="25"/>
        </w:numPr>
        <w:jc w:val="both"/>
        <w:rPr>
          <w:rFonts w:cs="Tahoma"/>
          <w:b/>
          <w:szCs w:val="22"/>
        </w:rPr>
      </w:pPr>
      <w:r w:rsidRPr="00023367">
        <w:rPr>
          <w:rFonts w:cs="Tahoma"/>
          <w:szCs w:val="22"/>
        </w:rPr>
        <w:t>Previous TB diagnosis</w:t>
      </w:r>
    </w:p>
    <w:p w14:paraId="1634E0D9" w14:textId="77777777" w:rsidR="008C32C2" w:rsidRPr="00023367" w:rsidRDefault="008C32C2" w:rsidP="008C32C2">
      <w:pPr>
        <w:pStyle w:val="ListParagraph"/>
        <w:numPr>
          <w:ilvl w:val="0"/>
          <w:numId w:val="25"/>
        </w:numPr>
        <w:jc w:val="both"/>
        <w:rPr>
          <w:rFonts w:cs="Tahoma"/>
          <w:b/>
          <w:szCs w:val="22"/>
        </w:rPr>
      </w:pPr>
      <w:r w:rsidRPr="00023367">
        <w:rPr>
          <w:rFonts w:cs="Tahoma"/>
          <w:szCs w:val="22"/>
        </w:rPr>
        <w:t xml:space="preserve">Any contacts who have chronic cough, has had TB or currently on treatment </w:t>
      </w:r>
    </w:p>
    <w:p w14:paraId="05A2A174" w14:textId="5D933384" w:rsidR="008C32C2" w:rsidRPr="00023367" w:rsidRDefault="008C32C2" w:rsidP="008C32C2">
      <w:pPr>
        <w:pStyle w:val="ListParagraph"/>
        <w:numPr>
          <w:ilvl w:val="0"/>
          <w:numId w:val="25"/>
        </w:numPr>
        <w:jc w:val="both"/>
        <w:rPr>
          <w:rFonts w:cs="Tahoma"/>
          <w:b/>
          <w:szCs w:val="22"/>
        </w:rPr>
      </w:pPr>
      <w:r w:rsidRPr="00023367">
        <w:rPr>
          <w:rFonts w:cs="Tahoma"/>
          <w:szCs w:val="22"/>
        </w:rPr>
        <w:t>HIV status – being HIV positive increases risk of having TB and complicates treatment</w:t>
      </w:r>
    </w:p>
    <w:p w14:paraId="4B189098" w14:textId="77777777" w:rsidR="008C32C2" w:rsidRPr="00023367" w:rsidRDefault="008C32C2" w:rsidP="008C32C2">
      <w:pPr>
        <w:pStyle w:val="ListParagraph"/>
        <w:numPr>
          <w:ilvl w:val="0"/>
          <w:numId w:val="25"/>
        </w:numPr>
        <w:jc w:val="both"/>
        <w:rPr>
          <w:rFonts w:cs="Tahoma"/>
          <w:b/>
          <w:szCs w:val="22"/>
        </w:rPr>
      </w:pPr>
      <w:r w:rsidRPr="00023367">
        <w:rPr>
          <w:rFonts w:cs="Tahoma"/>
          <w:szCs w:val="22"/>
        </w:rPr>
        <w:t xml:space="preserve">Smoking status </w:t>
      </w:r>
    </w:p>
    <w:p w14:paraId="2DBC3904" w14:textId="77777777" w:rsidR="00975A60" w:rsidRPr="00DC590C" w:rsidRDefault="00975A60" w:rsidP="00975A60">
      <w:pPr>
        <w:pStyle w:val="Heading2"/>
        <w:rPr>
          <w:rFonts w:cs="Arial"/>
          <w:szCs w:val="22"/>
        </w:rPr>
      </w:pPr>
      <w:r w:rsidRPr="00DC590C">
        <w:rPr>
          <w:rFonts w:cs="Arial"/>
          <w:szCs w:val="22"/>
        </w:rPr>
        <w:t>Examination findings</w:t>
      </w:r>
    </w:p>
    <w:p w14:paraId="28E42991" w14:textId="21822F68" w:rsidR="001203AE" w:rsidRPr="00023367" w:rsidRDefault="008C32C2" w:rsidP="002A2856">
      <w:pPr>
        <w:rPr>
          <w:szCs w:val="22"/>
        </w:rPr>
      </w:pPr>
      <w:r w:rsidRPr="00023367">
        <w:rPr>
          <w:szCs w:val="22"/>
        </w:rPr>
        <w:t>Typical findings include:</w:t>
      </w:r>
    </w:p>
    <w:p w14:paraId="03DEDAE4" w14:textId="77777777" w:rsidR="008C32C2" w:rsidRPr="00023367" w:rsidRDefault="008C32C2" w:rsidP="008C32C2">
      <w:pPr>
        <w:pStyle w:val="ListParagraph"/>
        <w:numPr>
          <w:ilvl w:val="0"/>
          <w:numId w:val="26"/>
        </w:numPr>
        <w:jc w:val="both"/>
        <w:rPr>
          <w:rFonts w:cs="Tahoma"/>
          <w:szCs w:val="22"/>
        </w:rPr>
      </w:pPr>
      <w:r w:rsidRPr="00023367">
        <w:rPr>
          <w:rFonts w:cs="Tahoma"/>
          <w:szCs w:val="22"/>
        </w:rPr>
        <w:t xml:space="preserve">Wasting </w:t>
      </w:r>
    </w:p>
    <w:p w14:paraId="177FFDA6" w14:textId="77777777" w:rsidR="008C32C2" w:rsidRPr="00023367" w:rsidRDefault="008C32C2" w:rsidP="008C32C2">
      <w:pPr>
        <w:pStyle w:val="ListParagraph"/>
        <w:numPr>
          <w:ilvl w:val="0"/>
          <w:numId w:val="26"/>
        </w:numPr>
        <w:jc w:val="both"/>
        <w:rPr>
          <w:rFonts w:cs="Tahoma"/>
          <w:szCs w:val="22"/>
        </w:rPr>
      </w:pPr>
      <w:r w:rsidRPr="00023367">
        <w:rPr>
          <w:rFonts w:cs="Tahoma"/>
          <w:szCs w:val="22"/>
        </w:rPr>
        <w:t xml:space="preserve">Lymphadenopathy </w:t>
      </w:r>
    </w:p>
    <w:p w14:paraId="24329236" w14:textId="77777777" w:rsidR="008C32C2" w:rsidRPr="00023367" w:rsidRDefault="008C32C2" w:rsidP="008C32C2">
      <w:pPr>
        <w:pStyle w:val="ListParagraph"/>
        <w:numPr>
          <w:ilvl w:val="0"/>
          <w:numId w:val="26"/>
        </w:numPr>
        <w:jc w:val="both"/>
        <w:rPr>
          <w:rFonts w:cs="Tahoma"/>
          <w:szCs w:val="22"/>
        </w:rPr>
      </w:pPr>
      <w:r w:rsidRPr="00023367">
        <w:rPr>
          <w:rFonts w:cs="Tahoma"/>
          <w:szCs w:val="22"/>
        </w:rPr>
        <w:t>Respiratory examination; any signs of respiratory distress, chest may be clear, other signs of consolidation or collapse</w:t>
      </w:r>
    </w:p>
    <w:p w14:paraId="1A617A28" w14:textId="7986D105" w:rsidR="008C32C2" w:rsidRDefault="008C32C2" w:rsidP="008C32C2">
      <w:pPr>
        <w:pStyle w:val="Heading3"/>
      </w:pPr>
      <w:r>
        <w:t>Important things to look for:</w:t>
      </w:r>
    </w:p>
    <w:p w14:paraId="1D97461D" w14:textId="5B859A0A" w:rsidR="008C32C2" w:rsidRPr="00023367" w:rsidRDefault="008C32C2" w:rsidP="008C32C2">
      <w:pPr>
        <w:pStyle w:val="ListParagraph"/>
        <w:numPr>
          <w:ilvl w:val="0"/>
          <w:numId w:val="30"/>
        </w:numPr>
        <w:jc w:val="both"/>
        <w:rPr>
          <w:rFonts w:cs="Tahoma"/>
          <w:szCs w:val="22"/>
        </w:rPr>
      </w:pPr>
      <w:r w:rsidRPr="00023367">
        <w:rPr>
          <w:rFonts w:cs="Tahoma"/>
          <w:szCs w:val="22"/>
        </w:rPr>
        <w:t xml:space="preserve">Signs of immunosuppression, </w:t>
      </w:r>
    </w:p>
    <w:p w14:paraId="4F6979C9" w14:textId="6CDF3F1C" w:rsidR="008C32C2" w:rsidRPr="00023367" w:rsidRDefault="008C32C2" w:rsidP="008C32C2">
      <w:pPr>
        <w:pStyle w:val="ListParagraph"/>
        <w:numPr>
          <w:ilvl w:val="0"/>
          <w:numId w:val="30"/>
        </w:numPr>
        <w:jc w:val="both"/>
        <w:rPr>
          <w:rFonts w:cs="Tahoma"/>
          <w:szCs w:val="22"/>
        </w:rPr>
      </w:pPr>
      <w:r w:rsidRPr="00023367">
        <w:rPr>
          <w:rFonts w:cs="Tahoma"/>
          <w:szCs w:val="22"/>
        </w:rPr>
        <w:t>Signs of extra-pulmonary TB (gibbus, organomegaly, skin lesions, bony lesions)</w:t>
      </w:r>
    </w:p>
    <w:p w14:paraId="5C91CD76" w14:textId="77777777" w:rsidR="008C32C2" w:rsidRPr="008C32C2" w:rsidRDefault="008C32C2" w:rsidP="008C32C2">
      <w:pPr>
        <w:pStyle w:val="Heading2"/>
      </w:pPr>
      <w:r w:rsidRPr="008C32C2">
        <w:t>Differential diagnoses</w:t>
      </w:r>
    </w:p>
    <w:p w14:paraId="6083FCC2" w14:textId="77777777" w:rsidR="008C32C2" w:rsidRPr="008C32C2" w:rsidRDefault="008C32C2" w:rsidP="008C32C2">
      <w:pPr>
        <w:pStyle w:val="ListParagraph"/>
        <w:numPr>
          <w:ilvl w:val="0"/>
          <w:numId w:val="32"/>
        </w:numPr>
        <w:rPr>
          <w:b/>
        </w:rPr>
      </w:pPr>
      <w:r w:rsidRPr="00DD3001">
        <w:t xml:space="preserve">Pneumonia </w:t>
      </w:r>
    </w:p>
    <w:p w14:paraId="428496F6" w14:textId="77777777" w:rsidR="008C32C2" w:rsidRPr="00AC6C94" w:rsidRDefault="008C32C2" w:rsidP="008C32C2">
      <w:pPr>
        <w:pStyle w:val="ListParagraph"/>
        <w:numPr>
          <w:ilvl w:val="0"/>
          <w:numId w:val="32"/>
        </w:numPr>
      </w:pPr>
      <w:r w:rsidRPr="00AC6C94">
        <w:t>Underlying chronic lung disease</w:t>
      </w:r>
    </w:p>
    <w:p w14:paraId="73A03833" w14:textId="57A0EEEB" w:rsidR="008C32C2" w:rsidRDefault="008C32C2" w:rsidP="008C32C2">
      <w:pPr>
        <w:pStyle w:val="ListParagraph"/>
        <w:numPr>
          <w:ilvl w:val="0"/>
          <w:numId w:val="32"/>
        </w:numPr>
      </w:pPr>
      <w:r w:rsidRPr="00AC6C94">
        <w:t>Lung cancer</w:t>
      </w:r>
    </w:p>
    <w:p w14:paraId="713D4440" w14:textId="77777777" w:rsidR="00CF52F0" w:rsidRPr="00CF52F0" w:rsidRDefault="00CF52F0" w:rsidP="00CF52F0"/>
    <w:p w14:paraId="35EB7A48" w14:textId="77777777" w:rsidR="00B60FDD" w:rsidRDefault="00B60FDD">
      <w:pPr>
        <w:spacing w:after="0"/>
        <w:outlineLvl w:val="9"/>
        <w:rPr>
          <w:rFonts w:cs="Times New Roman"/>
          <w:b/>
          <w:sz w:val="24"/>
          <w:szCs w:val="28"/>
        </w:rPr>
      </w:pPr>
      <w:r>
        <w:br w:type="page"/>
      </w:r>
    </w:p>
    <w:p w14:paraId="5ECED41F" w14:textId="52AC454D" w:rsidR="008C32C2" w:rsidRPr="008C32C2" w:rsidRDefault="008C32C2" w:rsidP="008C32C2">
      <w:pPr>
        <w:pStyle w:val="Heading2"/>
      </w:pPr>
      <w:r w:rsidRPr="008C32C2">
        <w:lastRenderedPageBreak/>
        <w:t>Investigations</w:t>
      </w:r>
    </w:p>
    <w:p w14:paraId="14AE2EF1" w14:textId="200F12A0" w:rsidR="008C32C2" w:rsidRPr="00023367" w:rsidRDefault="008C32C2" w:rsidP="008C32C2">
      <w:pPr>
        <w:jc w:val="both"/>
        <w:rPr>
          <w:rFonts w:cs="Tahoma"/>
          <w:szCs w:val="22"/>
        </w:rPr>
      </w:pPr>
      <w:r w:rsidRPr="00023367">
        <w:rPr>
          <w:rFonts w:cs="Tahoma"/>
          <w:szCs w:val="22"/>
        </w:rPr>
        <w:t>General investigations that might be useful for more complex patients, but do not need to be done routinely:</w:t>
      </w:r>
    </w:p>
    <w:p w14:paraId="3FAC874C" w14:textId="769AC228" w:rsidR="008C32C2" w:rsidRPr="00023367" w:rsidRDefault="008C32C2" w:rsidP="008C32C2">
      <w:pPr>
        <w:pStyle w:val="ListParagraph"/>
        <w:numPr>
          <w:ilvl w:val="0"/>
          <w:numId w:val="35"/>
        </w:numPr>
        <w:jc w:val="both"/>
        <w:rPr>
          <w:rFonts w:cs="Tahoma"/>
          <w:szCs w:val="22"/>
        </w:rPr>
      </w:pPr>
      <w:r w:rsidRPr="00023367">
        <w:rPr>
          <w:rFonts w:cs="Tahoma"/>
          <w:szCs w:val="22"/>
        </w:rPr>
        <w:t>FBC – to look for signs of acute infection.</w:t>
      </w:r>
    </w:p>
    <w:p w14:paraId="58CF46E0" w14:textId="0239120F" w:rsidR="008C32C2" w:rsidRPr="00023367" w:rsidRDefault="008C32C2" w:rsidP="008C32C2">
      <w:pPr>
        <w:pStyle w:val="ListParagraph"/>
        <w:numPr>
          <w:ilvl w:val="0"/>
          <w:numId w:val="35"/>
        </w:numPr>
        <w:jc w:val="both"/>
        <w:rPr>
          <w:rFonts w:cs="Tahoma"/>
          <w:szCs w:val="22"/>
        </w:rPr>
      </w:pPr>
      <w:r w:rsidRPr="00023367">
        <w:rPr>
          <w:rFonts w:cs="Tahoma"/>
          <w:szCs w:val="22"/>
        </w:rPr>
        <w:t>Urea &amp; electrolytes – for baseline.</w:t>
      </w:r>
    </w:p>
    <w:p w14:paraId="22DED82B" w14:textId="03F3E8D7" w:rsidR="008C32C2" w:rsidRPr="00023367" w:rsidRDefault="008C32C2" w:rsidP="008C32C2">
      <w:pPr>
        <w:pStyle w:val="ListParagraph"/>
        <w:numPr>
          <w:ilvl w:val="0"/>
          <w:numId w:val="35"/>
        </w:numPr>
        <w:jc w:val="both"/>
        <w:rPr>
          <w:rFonts w:cs="Tahoma"/>
          <w:szCs w:val="22"/>
        </w:rPr>
      </w:pPr>
      <w:r w:rsidRPr="00023367">
        <w:rPr>
          <w:rFonts w:cs="Tahoma"/>
          <w:szCs w:val="22"/>
        </w:rPr>
        <w:t>Liver function tests – baseline before starting anti-TB treatment.</w:t>
      </w:r>
    </w:p>
    <w:p w14:paraId="302875DE" w14:textId="1B3EA290" w:rsidR="008C32C2" w:rsidRPr="00023367" w:rsidRDefault="008C32C2" w:rsidP="008C32C2">
      <w:pPr>
        <w:jc w:val="both"/>
        <w:rPr>
          <w:rFonts w:cs="Tahoma"/>
          <w:szCs w:val="22"/>
        </w:rPr>
      </w:pPr>
      <w:r w:rsidRPr="00023367">
        <w:rPr>
          <w:rFonts w:cs="Tahoma"/>
          <w:szCs w:val="22"/>
        </w:rPr>
        <w:t>Important investigations to diagnose TB:</w:t>
      </w:r>
    </w:p>
    <w:p w14:paraId="5A17A676" w14:textId="013C5E22" w:rsidR="008C32C2" w:rsidRPr="00023367" w:rsidRDefault="008C32C2" w:rsidP="008C32C2">
      <w:pPr>
        <w:pStyle w:val="ListParagraph"/>
        <w:numPr>
          <w:ilvl w:val="0"/>
          <w:numId w:val="36"/>
        </w:numPr>
        <w:jc w:val="both"/>
        <w:rPr>
          <w:rFonts w:cs="Tahoma"/>
          <w:szCs w:val="22"/>
        </w:rPr>
      </w:pPr>
      <w:r w:rsidRPr="00023367">
        <w:rPr>
          <w:rFonts w:cs="Tahoma"/>
          <w:szCs w:val="22"/>
        </w:rPr>
        <w:t>Chest x-ray (findings typical of TB include upper zone collapse or consolidation).</w:t>
      </w:r>
    </w:p>
    <w:p w14:paraId="5859E996" w14:textId="7E9D869F" w:rsidR="008C32C2" w:rsidRPr="00023367" w:rsidRDefault="008C32C2" w:rsidP="008C32C2">
      <w:pPr>
        <w:pStyle w:val="ListParagraph"/>
        <w:numPr>
          <w:ilvl w:val="0"/>
          <w:numId w:val="36"/>
        </w:numPr>
        <w:jc w:val="both"/>
        <w:rPr>
          <w:rFonts w:cs="Tahoma"/>
          <w:szCs w:val="22"/>
        </w:rPr>
      </w:pPr>
      <w:r w:rsidRPr="00023367">
        <w:rPr>
          <w:rFonts w:cs="Tahoma"/>
          <w:szCs w:val="22"/>
        </w:rPr>
        <w:t>Sputum x 2 for Acid fast bacilli (ask patient to cough and produce sputum into 2 labelled sputum pots, request sputum for AFB on EMRS – the patient or nurse should deliver them to the TB clinic and ask the attendant to sign them into the fridge).</w:t>
      </w:r>
    </w:p>
    <w:p w14:paraId="0C630ED7" w14:textId="77777777" w:rsidR="008C32C2" w:rsidRPr="00023367" w:rsidRDefault="008C32C2" w:rsidP="008C32C2">
      <w:pPr>
        <w:pStyle w:val="ListParagraph"/>
        <w:numPr>
          <w:ilvl w:val="0"/>
          <w:numId w:val="36"/>
        </w:numPr>
        <w:jc w:val="both"/>
        <w:rPr>
          <w:rFonts w:cs="Tahoma"/>
          <w:szCs w:val="22"/>
        </w:rPr>
      </w:pPr>
      <w:r w:rsidRPr="00023367">
        <w:rPr>
          <w:rFonts w:cs="Tahoma"/>
          <w:szCs w:val="22"/>
        </w:rPr>
        <w:t>NB: Send to TB clinic for sputum induction if producing quality sputum is a challenge.</w:t>
      </w:r>
    </w:p>
    <w:p w14:paraId="77456500" w14:textId="3C40A2AB" w:rsidR="00137B0C" w:rsidRDefault="008C32C2" w:rsidP="00137B0C">
      <w:pPr>
        <w:jc w:val="both"/>
        <w:rPr>
          <w:rFonts w:cs="Tahoma"/>
          <w:szCs w:val="22"/>
        </w:rPr>
      </w:pPr>
      <w:r w:rsidRPr="00023367">
        <w:rPr>
          <w:rFonts w:cs="Tahoma"/>
          <w:szCs w:val="22"/>
        </w:rPr>
        <w:t xml:space="preserve">For children in whom TB is suspected and the sputum is either difficult to collect or shows AFB negative, </w:t>
      </w:r>
      <w:r w:rsidR="00023367">
        <w:rPr>
          <w:rFonts w:cs="Tahoma"/>
          <w:szCs w:val="22"/>
        </w:rPr>
        <w:t>ask</w:t>
      </w:r>
      <w:r w:rsidRPr="00023367">
        <w:rPr>
          <w:rFonts w:cs="Tahoma"/>
          <w:szCs w:val="22"/>
        </w:rPr>
        <w:t xml:space="preserve"> TB clinic </w:t>
      </w:r>
      <w:r w:rsidR="00137B0C">
        <w:rPr>
          <w:rFonts w:cs="Tahoma"/>
          <w:szCs w:val="22"/>
        </w:rPr>
        <w:t xml:space="preserve">to review. They may suggest </w:t>
      </w:r>
      <w:r w:rsidRPr="00023367">
        <w:rPr>
          <w:rFonts w:cs="Tahoma"/>
          <w:szCs w:val="22"/>
        </w:rPr>
        <w:t>gastric washings</w:t>
      </w:r>
      <w:r w:rsidR="00137B0C">
        <w:rPr>
          <w:rFonts w:cs="Tahoma"/>
          <w:szCs w:val="22"/>
        </w:rPr>
        <w:t xml:space="preserve"> or sputum induction.</w:t>
      </w:r>
    </w:p>
    <w:p w14:paraId="71F9C83B" w14:textId="5AD1644E" w:rsidR="008C32C2" w:rsidRPr="00023367" w:rsidRDefault="008C32C2" w:rsidP="00137B0C">
      <w:pPr>
        <w:jc w:val="both"/>
        <w:rPr>
          <w:rFonts w:cs="Tahoma"/>
          <w:szCs w:val="22"/>
        </w:rPr>
      </w:pPr>
      <w:r w:rsidRPr="00B60FDD">
        <w:rPr>
          <w:rFonts w:cs="Tahoma"/>
          <w:b/>
          <w:bCs/>
          <w:szCs w:val="22"/>
        </w:rPr>
        <w:t>Gene Xpert (TB PCR test):</w:t>
      </w:r>
      <w:r w:rsidRPr="00023367">
        <w:rPr>
          <w:rFonts w:cs="Tahoma"/>
          <w:szCs w:val="22"/>
        </w:rPr>
        <w:t xml:space="preserve"> This is indicated for patients with possible extrapulmonary TB</w:t>
      </w:r>
      <w:r w:rsidR="008777F1">
        <w:rPr>
          <w:rFonts w:cs="Tahoma"/>
          <w:szCs w:val="22"/>
        </w:rPr>
        <w:t xml:space="preserve"> (where the sample is of the fluid or tissue thought to be infected)</w:t>
      </w:r>
      <w:r w:rsidRPr="00023367">
        <w:rPr>
          <w:rFonts w:cs="Tahoma"/>
          <w:szCs w:val="22"/>
        </w:rPr>
        <w:t>, for patients known to have HIV and for those patients who have had negative AFBs but who are thought to have TB. Please see the separate SOP on Investigation of TB (SOP-CLS-</w:t>
      </w:r>
      <w:r w:rsidR="00023367" w:rsidRPr="00023367">
        <w:rPr>
          <w:rFonts w:cs="Tahoma"/>
          <w:szCs w:val="22"/>
        </w:rPr>
        <w:t>003).</w:t>
      </w:r>
    </w:p>
    <w:p w14:paraId="16836C75" w14:textId="25BEF7CC" w:rsidR="008C32C2" w:rsidRDefault="008C32C2" w:rsidP="008C32C2">
      <w:pPr>
        <w:jc w:val="both"/>
        <w:rPr>
          <w:rFonts w:cs="Tahoma"/>
          <w:szCs w:val="22"/>
        </w:rPr>
      </w:pPr>
      <w:r w:rsidRPr="00023367">
        <w:rPr>
          <w:rFonts w:cs="Tahoma"/>
          <w:szCs w:val="22"/>
        </w:rPr>
        <w:t xml:space="preserve">HIV test (if status unknown) should be done for all patients diagnosed with TB. </w:t>
      </w:r>
    </w:p>
    <w:p w14:paraId="541B74B8" w14:textId="336E41E8"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539C4338" w14:textId="16AD42BB" w:rsidR="00023367" w:rsidRDefault="00023367" w:rsidP="00023367">
      <w:r w:rsidRPr="00DD3001">
        <w:t>Assess whether the patient requires admission</w:t>
      </w:r>
      <w:r>
        <w:t xml:space="preserve"> based on your </w:t>
      </w:r>
      <w:r w:rsidRPr="00DD3001">
        <w:t>clinical examination</w:t>
      </w:r>
      <w:r>
        <w:t xml:space="preserve"> and </w:t>
      </w:r>
      <w:r w:rsidRPr="00DD3001">
        <w:t>early warning score</w:t>
      </w:r>
      <w:r>
        <w:t>.</w:t>
      </w:r>
    </w:p>
    <w:p w14:paraId="0FE5B3CA" w14:textId="44BA7824" w:rsidR="00137B0C" w:rsidRPr="00137B0C" w:rsidRDefault="00137B0C" w:rsidP="00137B0C">
      <w:r w:rsidRPr="00137B0C">
        <w:t>Note all children with either confirmed or suspected TB should be referred to the childhood TB team. All adults with sputum positive TB should be referred to the TB clinic. These patients are eligible for recruitment into TB studies.</w:t>
      </w:r>
    </w:p>
    <w:p w14:paraId="2CCB8AEB" w14:textId="2E95F967" w:rsidR="00023367" w:rsidRPr="00DD3001" w:rsidRDefault="00023367" w:rsidP="00023367">
      <w:pPr>
        <w:pStyle w:val="Heading3"/>
      </w:pPr>
      <w:r w:rsidRPr="00DD3001">
        <w:rPr>
          <w:noProof/>
          <w:lang w:val="en-GB" w:eastAsia="en-GB"/>
        </w:rPr>
        <mc:AlternateContent>
          <mc:Choice Requires="wps">
            <w:drawing>
              <wp:anchor distT="0" distB="0" distL="114300" distR="114300" simplePos="0" relativeHeight="251659264" behindDoc="0" locked="0" layoutInCell="1" allowOverlap="1" wp14:anchorId="41859240" wp14:editId="3C4866DC">
                <wp:simplePos x="0" y="0"/>
                <wp:positionH relativeFrom="column">
                  <wp:posOffset>280035</wp:posOffset>
                </wp:positionH>
                <wp:positionV relativeFrom="paragraph">
                  <wp:posOffset>6985</wp:posOffset>
                </wp:positionV>
                <wp:extent cx="0" cy="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BEA3DE8" id="_x0000_t32" coordsize="21600,21600" o:spt="32" o:oned="t" path="m,l21600,21600e" filled="f">
                <v:path arrowok="t" fillok="f" o:connecttype="none"/>
                <o:lock v:ext="edit" shapetype="t"/>
              </v:shapetype>
              <v:shape id="Straight Arrow Connector 2" o:spid="_x0000_s1026" type="#_x0000_t32" style="position:absolute;margin-left:22.05pt;margin-top:.5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MszgEAAPoDAAAOAAAAZHJzL2Uyb0RvYy54bWysU02P0zAQvSPxHyzfadocEKqarlAXuCCo&#10;WPgBXmecWPKXxkPT/nvGTptFLAIJcZnE9ryZ957Hu7uzd+IEmG0Mndys1lJA0LG3Yejkt6/vX72R&#10;IpMKvXIxQCcvkOXd/uWL3ZS20MYxuh5QcJGQt1Pq5EiUtk2T9Qhe5VVMEPjQRPSKeIlD06OauLp3&#10;Tbtev26miH3CqCFn3r2fD+W+1jcGNH02JgMJ10nmRjVijY8lNvud2g6o0mj1lYb6BxZe2cBNl1L3&#10;ipT4jvZZKW81xhwNrXT0TTTGaqgaWM1m/Yuah1ElqFrYnJwWm/L/K6s/nY4obN/JVoqgPF/RA6Gy&#10;w0jiLWKcxCGGwDZGFG1xa0p5y6BDOOJ1ldMRi/SzQV++LEqcq8OXxWE4k9Dzpr7tNk+QhJk+QPSi&#10;/HQyXxksrTfVW3X6mImbMvAGKP1cKJGUde9CL+iSWAOhVWFwUBhzeklpCvOZa/2ji4MZ/gUMO8Ds&#10;2tqmzh4cHIqT4qlRWkOgzVKJswvMWOcW4PrvwGt+gUKdywU8i/tj1wVRO8dAC9jbEPF33el8o2zm&#10;/JsDs+5iwWPsL/UWqzU8YNWr62MoE/zzusKfnuz+BwAAAP//AwBQSwMEFAAGAAgAAAAhAMF2kLbT&#10;AAAABQEAAA8AAABkcnMvZG93bnJldi54bWxMjs1qwzAQhO+FvoPYQm+NnGJMcSyHEMi9Sdr7xlr/&#10;EGtlLNlx3r7bXNrTMjvDzFdsF9ermcbQeTawXiWgiCtvO24MfJ0Pbx+gQkS22HsmA3cKsC2fnwrM&#10;rb/xkeZTbJSUcMjRQBvjkGsdqpYchpUfiMWr/egwihwbbUe8Sbnr9XuSZNphx7LQ4kD7lqrraXIG&#10;Pg/VnIV6Op7rbLx/TynidUFjXl+W3QZUpCX+heEXX9ChFKaLn9gG1RtI07Uk5S9H7Ie8PKQuC/2f&#10;vvwBAAD//wMAUEsBAi0AFAAGAAgAAAAhALaDOJL+AAAA4QEAABMAAAAAAAAAAAAAAAAAAAAAAFtD&#10;b250ZW50X1R5cGVzXS54bWxQSwECLQAUAAYACAAAACEAOP0h/9YAAACUAQAACwAAAAAAAAAAAAAA&#10;AAAvAQAAX3JlbHMvLnJlbHNQSwECLQAUAAYACAAAACEAIPFzLM4BAAD6AwAADgAAAAAAAAAAAAAA&#10;AAAuAgAAZHJzL2Uyb0RvYy54bWxQSwECLQAUAAYACAAAACEAwXaQttMAAAAFAQAADwAAAAAAAAAA&#10;AAAAAAAoBAAAZHJzL2Rvd25yZXYueG1sUEsFBgAAAAAEAAQA8wAAACgFAAAAAA==&#10;" strokecolor="#4f81bd [3204]" strokeweight="2pt">
                <v:stroke endarrow="block"/>
                <v:shadow on="t" color="black" opacity="24903f" origin=",.5" offset="0,.55556mm"/>
              </v:shape>
            </w:pict>
          </mc:Fallback>
        </mc:AlternateContent>
      </w:r>
      <w:r>
        <w:rPr>
          <w:noProof/>
          <w:lang w:val="en-GB" w:eastAsia="en-GB"/>
        </w:rPr>
        <w:t>If c</w:t>
      </w:r>
      <w:r w:rsidRPr="00DD3001">
        <w:rPr>
          <w:noProof/>
          <w:lang w:val="en-GB" w:eastAsia="en-GB"/>
        </w:rPr>
        <w:t>linically unwell</w:t>
      </w:r>
      <w:r>
        <w:rPr>
          <w:noProof/>
          <w:lang w:val="en-GB" w:eastAsia="en-GB"/>
        </w:rPr>
        <w:t>,</w:t>
      </w:r>
      <w:r w:rsidRPr="00DD3001">
        <w:rPr>
          <w:noProof/>
          <w:lang w:val="en-GB" w:eastAsia="en-GB"/>
        </w:rPr>
        <w:t xml:space="preserve"> needs admission</w:t>
      </w:r>
    </w:p>
    <w:p w14:paraId="179D2F77" w14:textId="75DF29C2" w:rsidR="00023367" w:rsidRDefault="00023367" w:rsidP="00023367">
      <w:r w:rsidRPr="00DD3001">
        <w:t>A</w:t>
      </w:r>
      <w:r>
        <w:t xml:space="preserve">dmit to a side room for adults and adolescents with pulmonary TB. If a side room is not available, the patient must be transferred elsewhere. </w:t>
      </w:r>
    </w:p>
    <w:p w14:paraId="0432B6C2" w14:textId="212E684E" w:rsidR="00023367" w:rsidRDefault="00023367" w:rsidP="00023367">
      <w:pPr>
        <w:pStyle w:val="ListParagraph"/>
        <w:numPr>
          <w:ilvl w:val="0"/>
          <w:numId w:val="37"/>
        </w:numPr>
      </w:pPr>
      <w:r>
        <w:t>S</w:t>
      </w:r>
      <w:r w:rsidRPr="00DD3001">
        <w:t>tart IV antibiotics (see sepsis guideline)</w:t>
      </w:r>
      <w:r>
        <w:t>.</w:t>
      </w:r>
    </w:p>
    <w:p w14:paraId="2899F1BE" w14:textId="7CC03BE6" w:rsidR="00023367" w:rsidRDefault="00023367" w:rsidP="00023367">
      <w:pPr>
        <w:pStyle w:val="ListParagraph"/>
        <w:numPr>
          <w:ilvl w:val="0"/>
          <w:numId w:val="37"/>
        </w:numPr>
      </w:pPr>
      <w:r>
        <w:t>IV fluids if indicated.</w:t>
      </w:r>
    </w:p>
    <w:p w14:paraId="34DBC184" w14:textId="6B52E96D" w:rsidR="00023367" w:rsidRPr="00DD3001" w:rsidRDefault="00023367" w:rsidP="00023367">
      <w:pPr>
        <w:pStyle w:val="ListParagraph"/>
        <w:numPr>
          <w:ilvl w:val="0"/>
          <w:numId w:val="37"/>
        </w:numPr>
      </w:pPr>
      <w:r>
        <w:t>E</w:t>
      </w:r>
      <w:r w:rsidRPr="00DD3001">
        <w:t xml:space="preserve">nsure </w:t>
      </w:r>
      <w:r>
        <w:t xml:space="preserve">necessary bloods and </w:t>
      </w:r>
      <w:r w:rsidRPr="00DD3001">
        <w:t xml:space="preserve">sputum samples </w:t>
      </w:r>
      <w:r>
        <w:t xml:space="preserve">are </w:t>
      </w:r>
      <w:r w:rsidRPr="00DD3001">
        <w:t>collected</w:t>
      </w:r>
      <w:r>
        <w:t>.</w:t>
      </w:r>
    </w:p>
    <w:p w14:paraId="6D9BC755" w14:textId="77777777" w:rsidR="00023367" w:rsidRPr="00DD3001" w:rsidRDefault="00023367" w:rsidP="00023367">
      <w:pPr>
        <w:pStyle w:val="Heading3"/>
      </w:pPr>
      <w:r w:rsidRPr="00DD3001">
        <w:t>Clinically well</w:t>
      </w:r>
    </w:p>
    <w:p w14:paraId="0C3AF4AE" w14:textId="41B31804" w:rsidR="00023367" w:rsidRPr="00DD3001" w:rsidRDefault="00023367" w:rsidP="00023367">
      <w:r w:rsidRPr="00DD3001">
        <w:t>Review in 1 week with results</w:t>
      </w:r>
      <w:r>
        <w:t>. In meantime, t</w:t>
      </w:r>
      <w:r w:rsidRPr="00DD3001">
        <w:t>reat for a lower respiratory tract infection if indicated</w:t>
      </w:r>
      <w:r>
        <w:t>.</w:t>
      </w:r>
    </w:p>
    <w:p w14:paraId="12EC9F0F" w14:textId="77777777" w:rsidR="00023367" w:rsidRDefault="00023367" w:rsidP="00023367">
      <w:r>
        <w:t>Treat according to results:</w:t>
      </w:r>
    </w:p>
    <w:p w14:paraId="4CC960CC" w14:textId="6309B376" w:rsidR="00023367" w:rsidRPr="00DD3001" w:rsidRDefault="00023367" w:rsidP="00023367">
      <w:pPr>
        <w:pStyle w:val="ListParagraph"/>
        <w:numPr>
          <w:ilvl w:val="0"/>
          <w:numId w:val="38"/>
        </w:numPr>
      </w:pPr>
      <w:r w:rsidRPr="00DD3001">
        <w:t>Sputum positive</w:t>
      </w:r>
      <w:r>
        <w:t xml:space="preserve"> – </w:t>
      </w:r>
      <w:r w:rsidRPr="00DD3001">
        <w:t>refer to TB clini</w:t>
      </w:r>
      <w:r>
        <w:t>c.</w:t>
      </w:r>
    </w:p>
    <w:p w14:paraId="649344AE" w14:textId="6E7812FE" w:rsidR="00023367" w:rsidRPr="00DD3001" w:rsidRDefault="00023367" w:rsidP="00023367">
      <w:pPr>
        <w:pStyle w:val="ListParagraph"/>
        <w:numPr>
          <w:ilvl w:val="0"/>
          <w:numId w:val="38"/>
        </w:numPr>
      </w:pPr>
      <w:r w:rsidRPr="00DD3001">
        <w:lastRenderedPageBreak/>
        <w:t>Sputum negative but high suspicion of TB</w:t>
      </w:r>
      <w:r>
        <w:t xml:space="preserve"> – if you are convinced this is TB, refer for treatment of sputum negative TB via TB clinic. If you are unsure, </w:t>
      </w:r>
      <w:r w:rsidRPr="00DD3001">
        <w:t xml:space="preserve">discuss with TB team to </w:t>
      </w:r>
      <w:r>
        <w:t>agree on</w:t>
      </w:r>
      <w:r w:rsidRPr="00DD3001">
        <w:t xml:space="preserve"> further assessment</w:t>
      </w:r>
      <w:r>
        <w:t>.</w:t>
      </w:r>
    </w:p>
    <w:p w14:paraId="00BEA77F" w14:textId="60E98CB8" w:rsidR="00023367" w:rsidRPr="00DD3001" w:rsidRDefault="00023367" w:rsidP="00023367">
      <w:pPr>
        <w:pStyle w:val="ListParagraph"/>
        <w:numPr>
          <w:ilvl w:val="0"/>
          <w:numId w:val="38"/>
        </w:numPr>
      </w:pPr>
      <w:r w:rsidRPr="00DD3001">
        <w:t>Sputum negative and improved symptoms</w:t>
      </w:r>
      <w:r>
        <w:t xml:space="preserve"> –</w:t>
      </w:r>
      <w:r w:rsidRPr="00DD3001">
        <w:t xml:space="preserve"> consider discharge or follow up in 1 month</w:t>
      </w:r>
      <w:r>
        <w:t xml:space="preserve"> to ensure improvement persists. </w:t>
      </w:r>
    </w:p>
    <w:p w14:paraId="2D2C7646" w14:textId="409FE3BB" w:rsidR="00023367" w:rsidRPr="00DD3001" w:rsidRDefault="00023367" w:rsidP="00023367">
      <w:pPr>
        <w:pStyle w:val="Heading3"/>
      </w:pPr>
      <w:r>
        <w:t>Anti-</w:t>
      </w:r>
      <w:r w:rsidRPr="00DD3001">
        <w:t xml:space="preserve">TB medication </w:t>
      </w:r>
    </w:p>
    <w:p w14:paraId="1DC22BAE" w14:textId="2CFF4442" w:rsidR="00023367" w:rsidRPr="00DD3001" w:rsidRDefault="00023367" w:rsidP="00023367">
      <w:r w:rsidRPr="00DD3001">
        <w:t>Combination therapy of Rifampicin, Isoniazid, Pyrazinamide</w:t>
      </w:r>
      <w:r>
        <w:t xml:space="preserve"> and</w:t>
      </w:r>
      <w:r w:rsidRPr="00DD3001">
        <w:t xml:space="preserve"> Ethambutol</w:t>
      </w:r>
      <w:r>
        <w:t xml:space="preserve">. Add </w:t>
      </w:r>
      <w:r w:rsidRPr="00DD3001">
        <w:t>pyridoxine 25</w:t>
      </w:r>
      <w:r>
        <w:t xml:space="preserve"> </w:t>
      </w:r>
      <w:r w:rsidRPr="00DD3001">
        <w:t xml:space="preserve">mg </w:t>
      </w:r>
      <w:r>
        <w:t xml:space="preserve">OD </w:t>
      </w:r>
      <w:r w:rsidRPr="00DD3001">
        <w:t>ora</w:t>
      </w:r>
      <w:r>
        <w:t>l</w:t>
      </w:r>
      <w:r w:rsidRPr="00DD3001">
        <w:t>l</w:t>
      </w:r>
      <w:r>
        <w:t>y</w:t>
      </w:r>
      <w:r w:rsidRPr="00DD3001">
        <w:t xml:space="preserve"> to prevent peripheral neuropathy</w:t>
      </w:r>
      <w:r>
        <w:t>.</w:t>
      </w:r>
    </w:p>
    <w:p w14:paraId="3D1285CB" w14:textId="2F99CAFC" w:rsidR="00023367" w:rsidRPr="00DD3001" w:rsidRDefault="00023367" w:rsidP="00023367">
      <w:r w:rsidRPr="00DD3001">
        <w:t>Medication comes as a combination therapy (TB4)</w:t>
      </w:r>
      <w:r>
        <w:t xml:space="preserve"> – the </w:t>
      </w:r>
      <w:r w:rsidRPr="00DD3001">
        <w:t xml:space="preserve">number of tablets depends on </w:t>
      </w:r>
      <w:r>
        <w:t xml:space="preserve">the </w:t>
      </w:r>
      <w:r w:rsidRPr="00DD3001">
        <w:t>weigh</w:t>
      </w:r>
      <w:r>
        <w:t>t of the patient.</w:t>
      </w:r>
    </w:p>
    <w:p w14:paraId="0AA39B32" w14:textId="240C2253" w:rsidR="00023367" w:rsidRDefault="00023367" w:rsidP="00023367">
      <w:r w:rsidRPr="00DD3001">
        <w:t xml:space="preserve">Patients will need referral to national treatment centre for follow up and treatment </w:t>
      </w:r>
      <w:r>
        <w:t>at</w:t>
      </w:r>
      <w:r w:rsidRPr="00DD3001">
        <w:t xml:space="preserve"> </w:t>
      </w:r>
      <w:r>
        <w:t xml:space="preserve">diagnosis for outpatients or at </w:t>
      </w:r>
      <w:r w:rsidRPr="00DD3001">
        <w:t>discharge</w:t>
      </w:r>
      <w:r>
        <w:t xml:space="preserve"> for inpatients. This can be arranged by sending them to the TB clinic.</w:t>
      </w:r>
      <w:r w:rsidRPr="00DD3001">
        <w:t xml:space="preserve"> </w:t>
      </w:r>
    </w:p>
    <w:p w14:paraId="008D9670" w14:textId="2A09361B" w:rsidR="00BB6EE8" w:rsidRDefault="00BB6EE8" w:rsidP="00023367">
      <w:r>
        <w:t xml:space="preserve">Most patients are given </w:t>
      </w:r>
      <w:r w:rsidR="00CE5CC4">
        <w:t xml:space="preserve">TB treatment for 6 months. The course should be extended to 9-12 months for patients with TB meningitis. </w:t>
      </w:r>
    </w:p>
    <w:p w14:paraId="538CF44D" w14:textId="620B84FB" w:rsidR="009265F5" w:rsidRDefault="009265F5" w:rsidP="009265F5">
      <w:pPr>
        <w:pStyle w:val="Heading3"/>
      </w:pPr>
      <w:r>
        <w:t>Steroids</w:t>
      </w:r>
    </w:p>
    <w:p w14:paraId="6EF96999" w14:textId="3B7F8F6E" w:rsidR="009265F5" w:rsidRDefault="009265F5" w:rsidP="009265F5">
      <w:r>
        <w:t xml:space="preserve">These are sometimes used for pericarditis and should always be used for meningitis (unless the patient is also HIV positive – in which case </w:t>
      </w:r>
      <w:r w:rsidR="00BB6EE8">
        <w:t xml:space="preserve">steroids may be considered, but not used). </w:t>
      </w:r>
    </w:p>
    <w:p w14:paraId="27AE540A" w14:textId="06AB775A" w:rsidR="003536B0" w:rsidRDefault="00791DD1" w:rsidP="009265F5">
      <w:r>
        <w:t xml:space="preserve">There are many different regimens. </w:t>
      </w:r>
      <w:r w:rsidR="009D023F">
        <w:t>These are suitable choices:</w:t>
      </w:r>
    </w:p>
    <w:p w14:paraId="2C078C97" w14:textId="4FCBB244" w:rsidR="00791DD1" w:rsidRDefault="00EF46F8" w:rsidP="009265F5">
      <w:r>
        <w:t xml:space="preserve">Orally: use </w:t>
      </w:r>
      <w:r w:rsidR="00A21000">
        <w:t>prednisolone 1 mg/kg up to 60 mg OD for 4 weeks, then 0.5 mg/kg up to 30 mg</w:t>
      </w:r>
      <w:r w:rsidR="00F15989">
        <w:t xml:space="preserve"> </w:t>
      </w:r>
      <w:r w:rsidR="0087100A">
        <w:t xml:space="preserve">OD </w:t>
      </w:r>
      <w:r w:rsidR="00F15989">
        <w:t xml:space="preserve">for 4 weeks, 0.25 mg/kg up to 15 mg OD for </w:t>
      </w:r>
      <w:r w:rsidR="00E17D08">
        <w:t>2 weeks, then 0.</w:t>
      </w:r>
      <w:r w:rsidR="0087100A">
        <w:t>08-0.1 mg/kg up to 5 mg OD for a week and stop.</w:t>
      </w:r>
    </w:p>
    <w:p w14:paraId="2900C77C" w14:textId="665B7A04" w:rsidR="00A57F89" w:rsidRDefault="0087100A" w:rsidP="00150FCF">
      <w:pPr>
        <w:rPr>
          <w:rFonts w:cs="Times New Roman"/>
          <w:b/>
          <w:sz w:val="24"/>
          <w:szCs w:val="28"/>
        </w:rPr>
      </w:pPr>
      <w:r>
        <w:t xml:space="preserve">Intravenously: use dexamethasone </w:t>
      </w:r>
      <w:r w:rsidR="00917333">
        <w:t xml:space="preserve">0.6 mg/kg OD for 4 weeks, then taper down over a </w:t>
      </w:r>
      <w:proofErr w:type="gramStart"/>
      <w:r w:rsidR="00150FCF">
        <w:t>4 week</w:t>
      </w:r>
      <w:proofErr w:type="gramEnd"/>
      <w:r w:rsidR="00150FCF">
        <w:t xml:space="preserve"> period. </w:t>
      </w:r>
    </w:p>
    <w:p w14:paraId="22E3535B" w14:textId="13651C71" w:rsidR="00023367" w:rsidRPr="00023367" w:rsidRDefault="00023367" w:rsidP="00023367">
      <w:pPr>
        <w:pStyle w:val="Heading2"/>
      </w:pPr>
      <w:r w:rsidRPr="00023367">
        <w:t>Key Issues for Nursing care</w:t>
      </w:r>
    </w:p>
    <w:p w14:paraId="06018E8C" w14:textId="775E8EFE" w:rsidR="00023367" w:rsidRPr="00DD3001" w:rsidRDefault="00023367" w:rsidP="00023367">
      <w:r w:rsidRPr="00DD3001">
        <w:t>Nurses</w:t>
      </w:r>
      <w:r>
        <w:t>’</w:t>
      </w:r>
      <w:r w:rsidRPr="00DD3001">
        <w:t xml:space="preserve"> role in OPD</w:t>
      </w:r>
      <w:r>
        <w:t>:</w:t>
      </w:r>
    </w:p>
    <w:p w14:paraId="04C64517" w14:textId="0B6FE473" w:rsidR="00023367" w:rsidRPr="00DD3001" w:rsidRDefault="00023367" w:rsidP="00023367">
      <w:pPr>
        <w:pStyle w:val="ListParagraph"/>
        <w:numPr>
          <w:ilvl w:val="0"/>
          <w:numId w:val="41"/>
        </w:numPr>
      </w:pPr>
      <w:r w:rsidRPr="00DD3001">
        <w:t>Make sure the sputum samples are adequate</w:t>
      </w:r>
      <w:r>
        <w:t>.</w:t>
      </w:r>
    </w:p>
    <w:p w14:paraId="4555279F" w14:textId="5E9BC979" w:rsidR="00023367" w:rsidRPr="00DD3001" w:rsidRDefault="00023367" w:rsidP="00023367">
      <w:pPr>
        <w:pStyle w:val="ListParagraph"/>
        <w:numPr>
          <w:ilvl w:val="0"/>
          <w:numId w:val="41"/>
        </w:numPr>
      </w:pPr>
      <w:r w:rsidRPr="00DD3001">
        <w:t>Properly label samples</w:t>
      </w:r>
      <w:r>
        <w:t>.</w:t>
      </w:r>
    </w:p>
    <w:p w14:paraId="6EDDD54D" w14:textId="52546905" w:rsidR="00023367" w:rsidRPr="00023367" w:rsidRDefault="00023367" w:rsidP="00023367">
      <w:pPr>
        <w:pStyle w:val="ListParagraph"/>
        <w:numPr>
          <w:ilvl w:val="0"/>
          <w:numId w:val="41"/>
        </w:numPr>
        <w:rPr>
          <w:i/>
        </w:rPr>
      </w:pPr>
      <w:r w:rsidRPr="00DD3001">
        <w:t xml:space="preserve">Deposit in fridge in TB clinic; </w:t>
      </w:r>
      <w:r w:rsidRPr="00023367">
        <w:rPr>
          <w:i/>
        </w:rPr>
        <w:t>samples need to be signed in to the book on top of TB fridge.</w:t>
      </w:r>
    </w:p>
    <w:p w14:paraId="5CD77586" w14:textId="77777777" w:rsidR="00150FCF" w:rsidRDefault="00150FCF">
      <w:pPr>
        <w:spacing w:after="0"/>
        <w:outlineLvl w:val="9"/>
        <w:rPr>
          <w:rFonts w:cs="Times New Roman"/>
          <w:b/>
          <w:sz w:val="24"/>
          <w:szCs w:val="28"/>
        </w:rPr>
      </w:pPr>
      <w:r>
        <w:br w:type="page"/>
      </w:r>
    </w:p>
    <w:p w14:paraId="4F4CE34F" w14:textId="5E64D1F4" w:rsidR="00023367" w:rsidRPr="00023367" w:rsidRDefault="00023367" w:rsidP="00023367">
      <w:pPr>
        <w:pStyle w:val="Heading2"/>
      </w:pPr>
      <w:r w:rsidRPr="00023367">
        <w:lastRenderedPageBreak/>
        <w:t>References</w:t>
      </w:r>
    </w:p>
    <w:p w14:paraId="53B91CBF" w14:textId="2998823F" w:rsidR="00023367" w:rsidRPr="00023367" w:rsidRDefault="00734751" w:rsidP="00023367">
      <w:pPr>
        <w:jc w:val="both"/>
        <w:rPr>
          <w:rFonts w:cs="Tahoma"/>
          <w:sz w:val="20"/>
          <w:szCs w:val="20"/>
        </w:rPr>
      </w:pPr>
      <w:r w:rsidRPr="00023367">
        <w:rPr>
          <w:rFonts w:cs="Tahoma"/>
          <w:sz w:val="20"/>
          <w:szCs w:val="20"/>
        </w:rPr>
        <w:t>Adetifa I et al</w:t>
      </w:r>
      <w:r w:rsidR="005D0C7A">
        <w:rPr>
          <w:rFonts w:cs="Tahoma"/>
          <w:sz w:val="20"/>
          <w:szCs w:val="20"/>
        </w:rPr>
        <w:t>, 2016.</w:t>
      </w:r>
      <w:r w:rsidRPr="00023367">
        <w:rPr>
          <w:rFonts w:cs="Tahoma"/>
          <w:sz w:val="20"/>
          <w:szCs w:val="20"/>
        </w:rPr>
        <w:t xml:space="preserve"> </w:t>
      </w:r>
      <w:r w:rsidR="00023367" w:rsidRPr="00023367">
        <w:rPr>
          <w:rFonts w:cs="Tahoma"/>
          <w:sz w:val="20"/>
          <w:szCs w:val="20"/>
        </w:rPr>
        <w:t xml:space="preserve">A Tuberculosis Nationwide Prevalence Survey in Gambia 2012. Bulletin World Health Organisation 94:433-441 doi: </w:t>
      </w:r>
      <w:hyperlink r:id="rId8" w:history="1">
        <w:r w:rsidR="00023367" w:rsidRPr="00023367">
          <w:rPr>
            <w:rStyle w:val="Hyperlink"/>
            <w:rFonts w:cs="Tahoma"/>
            <w:sz w:val="20"/>
            <w:szCs w:val="20"/>
          </w:rPr>
          <w:t>http://dx.doi.org/10.2471/BLT.14.151670</w:t>
        </w:r>
      </w:hyperlink>
      <w:r w:rsidR="00023367" w:rsidRPr="00023367">
        <w:rPr>
          <w:rFonts w:cs="Tahoma"/>
          <w:sz w:val="20"/>
          <w:szCs w:val="20"/>
        </w:rPr>
        <w:t xml:space="preserve"> </w:t>
      </w:r>
    </w:p>
    <w:p w14:paraId="7F90BD6D" w14:textId="2DD1713A" w:rsidR="00023367" w:rsidRDefault="005D0C7A" w:rsidP="00023367">
      <w:pPr>
        <w:jc w:val="both"/>
        <w:rPr>
          <w:rFonts w:cs="Tahoma"/>
          <w:sz w:val="20"/>
          <w:szCs w:val="20"/>
        </w:rPr>
      </w:pPr>
      <w:r w:rsidRPr="00023367">
        <w:rPr>
          <w:rFonts w:cs="Tahoma"/>
          <w:sz w:val="20"/>
          <w:szCs w:val="20"/>
        </w:rPr>
        <w:t>Pai M et al</w:t>
      </w:r>
      <w:r>
        <w:rPr>
          <w:rFonts w:cs="Tahoma"/>
          <w:sz w:val="20"/>
          <w:szCs w:val="20"/>
        </w:rPr>
        <w:t>, 2016</w:t>
      </w:r>
      <w:r w:rsidRPr="00023367">
        <w:rPr>
          <w:rFonts w:cs="Tahoma"/>
          <w:sz w:val="20"/>
          <w:szCs w:val="20"/>
        </w:rPr>
        <w:t xml:space="preserve">. </w:t>
      </w:r>
      <w:r w:rsidR="00023367" w:rsidRPr="00023367">
        <w:rPr>
          <w:rFonts w:cs="Tahoma"/>
          <w:sz w:val="20"/>
          <w:szCs w:val="20"/>
        </w:rPr>
        <w:t xml:space="preserve">Tuberculosis. Nature, Article number: 16076, volume 2 DOI 10.1038/nrdp.2016.76. </w:t>
      </w:r>
    </w:p>
    <w:p w14:paraId="23A06CF1" w14:textId="56F18D6B" w:rsidR="00FE6097" w:rsidRPr="00874D98" w:rsidRDefault="00734751" w:rsidP="00874D98">
      <w:pPr>
        <w:rPr>
          <w:sz w:val="20"/>
          <w:szCs w:val="20"/>
          <w:shd w:val="clear" w:color="auto" w:fill="FFFFFF"/>
        </w:rPr>
      </w:pPr>
      <w:r w:rsidRPr="00874D98">
        <w:rPr>
          <w:sz w:val="20"/>
          <w:szCs w:val="20"/>
          <w:shd w:val="clear" w:color="auto" w:fill="FFFFFF"/>
        </w:rPr>
        <w:t>Garg, 2020</w:t>
      </w:r>
      <w:r w:rsidR="003A22E5" w:rsidRPr="00874D98">
        <w:rPr>
          <w:sz w:val="20"/>
          <w:szCs w:val="20"/>
          <w:shd w:val="clear" w:color="auto" w:fill="FFFFFF"/>
        </w:rPr>
        <w:t xml:space="preserve">. </w:t>
      </w:r>
      <w:r w:rsidRPr="00874D98">
        <w:rPr>
          <w:sz w:val="20"/>
          <w:szCs w:val="20"/>
          <w:shd w:val="clear" w:color="auto" w:fill="FFFFFF"/>
        </w:rPr>
        <w:t>Central nervous system tuberculosis: Treatment and prognosis</w:t>
      </w:r>
      <w:r w:rsidR="003A22E5" w:rsidRPr="00874D98">
        <w:rPr>
          <w:sz w:val="20"/>
          <w:szCs w:val="20"/>
          <w:shd w:val="clear" w:color="auto" w:fill="FFFFFF"/>
        </w:rPr>
        <w:t>. In: UpToDate, Post, TW (Ed), UpToDate, Waltham, MA</w:t>
      </w:r>
      <w:r w:rsidRPr="00874D98">
        <w:rPr>
          <w:sz w:val="20"/>
          <w:szCs w:val="20"/>
          <w:shd w:val="clear" w:color="auto" w:fill="FFFFFF"/>
        </w:rPr>
        <w:t>.</w:t>
      </w:r>
    </w:p>
    <w:p w14:paraId="0BCB296D" w14:textId="39636437" w:rsidR="005D0C7A" w:rsidRPr="00023367" w:rsidRDefault="00874D98" w:rsidP="00023367">
      <w:pPr>
        <w:jc w:val="both"/>
        <w:rPr>
          <w:rFonts w:cs="Tahoma"/>
          <w:sz w:val="20"/>
          <w:szCs w:val="20"/>
        </w:rPr>
      </w:pPr>
      <w:r>
        <w:rPr>
          <w:rFonts w:cs="Tahoma"/>
          <w:sz w:val="20"/>
          <w:szCs w:val="20"/>
        </w:rPr>
        <w:t xml:space="preserve">Stout, 2020. Tuberculous pericarditis. In UpToDate. Post, TW (Ed), UpToDate, Waltham, MA.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816552C" w14:textId="77777777" w:rsidTr="00515546">
        <w:trPr>
          <w:trHeight w:val="20"/>
        </w:trPr>
        <w:tc>
          <w:tcPr>
            <w:tcW w:w="2139" w:type="dxa"/>
            <w:shd w:val="clear" w:color="auto" w:fill="auto"/>
            <w:vAlign w:val="bottom"/>
          </w:tcPr>
          <w:p w14:paraId="3F6AB626"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7BDAA512" w14:textId="410F70FA" w:rsidR="004C4442" w:rsidRPr="00515546" w:rsidRDefault="004C4442" w:rsidP="00522C6C">
            <w:pPr>
              <w:spacing w:after="0"/>
              <w:rPr>
                <w:szCs w:val="22"/>
              </w:rPr>
            </w:pPr>
            <w:r w:rsidRPr="00515546">
              <w:rPr>
                <w:szCs w:val="22"/>
              </w:rPr>
              <w:t>Name</w:t>
            </w:r>
            <w:r w:rsidR="005638D0">
              <w:rPr>
                <w:szCs w:val="22"/>
              </w:rPr>
              <w:t xml:space="preserve">: </w:t>
            </w:r>
            <w:r w:rsidR="00023367">
              <w:rPr>
                <w:szCs w:val="22"/>
              </w:rPr>
              <w:t>Caitlin Jones</w:t>
            </w:r>
          </w:p>
        </w:tc>
        <w:tc>
          <w:tcPr>
            <w:tcW w:w="2869" w:type="dxa"/>
            <w:shd w:val="clear" w:color="auto" w:fill="auto"/>
            <w:vAlign w:val="bottom"/>
          </w:tcPr>
          <w:p w14:paraId="0DFB9881" w14:textId="06FA9972" w:rsidR="004C4442" w:rsidRPr="00515546" w:rsidRDefault="004C4442" w:rsidP="00522C6C">
            <w:pPr>
              <w:spacing w:after="0"/>
              <w:rPr>
                <w:szCs w:val="22"/>
              </w:rPr>
            </w:pPr>
            <w:r w:rsidRPr="00515546">
              <w:rPr>
                <w:szCs w:val="22"/>
              </w:rPr>
              <w:t xml:space="preserve">Date: </w:t>
            </w:r>
            <w:r w:rsidR="00023367">
              <w:rPr>
                <w:szCs w:val="22"/>
              </w:rPr>
              <w:t>6 June 2018</w:t>
            </w:r>
          </w:p>
        </w:tc>
      </w:tr>
      <w:tr w:rsidR="004C4442" w:rsidRPr="00515546" w14:paraId="3F6BB74E" w14:textId="77777777" w:rsidTr="00515546">
        <w:trPr>
          <w:trHeight w:val="20"/>
        </w:trPr>
        <w:tc>
          <w:tcPr>
            <w:tcW w:w="2139" w:type="dxa"/>
            <w:shd w:val="clear" w:color="auto" w:fill="auto"/>
            <w:vAlign w:val="bottom"/>
          </w:tcPr>
          <w:p w14:paraId="5BCE3753"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112D49CA" w14:textId="1FFE4214" w:rsidR="004C4442" w:rsidRPr="00515546" w:rsidRDefault="004C4442" w:rsidP="00522C6C">
            <w:pPr>
              <w:spacing w:after="0"/>
              <w:rPr>
                <w:szCs w:val="22"/>
              </w:rPr>
            </w:pPr>
            <w:r w:rsidRPr="00515546">
              <w:rPr>
                <w:szCs w:val="22"/>
              </w:rPr>
              <w:t xml:space="preserve">Name: </w:t>
            </w:r>
            <w:r w:rsidR="0099709D">
              <w:rPr>
                <w:szCs w:val="22"/>
              </w:rPr>
              <w:t>Babatunde Awokola</w:t>
            </w:r>
          </w:p>
        </w:tc>
        <w:tc>
          <w:tcPr>
            <w:tcW w:w="2869" w:type="dxa"/>
            <w:shd w:val="clear" w:color="auto" w:fill="auto"/>
            <w:vAlign w:val="bottom"/>
          </w:tcPr>
          <w:p w14:paraId="11748DAC" w14:textId="4D207269" w:rsidR="004C4442" w:rsidRPr="00515546" w:rsidRDefault="004C4442" w:rsidP="00522C6C">
            <w:pPr>
              <w:spacing w:after="0"/>
              <w:rPr>
                <w:szCs w:val="22"/>
              </w:rPr>
            </w:pPr>
            <w:r w:rsidRPr="00515546">
              <w:rPr>
                <w:szCs w:val="22"/>
              </w:rPr>
              <w:t xml:space="preserve">Date: </w:t>
            </w:r>
            <w:r w:rsidR="00023367">
              <w:rPr>
                <w:szCs w:val="22"/>
              </w:rPr>
              <w:t>17 July 2018</w:t>
            </w:r>
          </w:p>
        </w:tc>
      </w:tr>
      <w:tr w:rsidR="00AE497E" w:rsidRPr="00515546" w14:paraId="50E492E2" w14:textId="77777777" w:rsidTr="00515546">
        <w:trPr>
          <w:trHeight w:val="20"/>
        </w:trPr>
        <w:tc>
          <w:tcPr>
            <w:tcW w:w="2139" w:type="dxa"/>
            <w:shd w:val="clear" w:color="auto" w:fill="auto"/>
            <w:vAlign w:val="bottom"/>
          </w:tcPr>
          <w:p w14:paraId="63D27145" w14:textId="27D67332" w:rsidR="00AE497E" w:rsidRPr="00515546" w:rsidRDefault="00AE497E" w:rsidP="00522C6C">
            <w:pPr>
              <w:spacing w:after="0"/>
              <w:rPr>
                <w:b/>
                <w:szCs w:val="22"/>
              </w:rPr>
            </w:pPr>
            <w:r w:rsidRPr="00515546">
              <w:rPr>
                <w:b/>
                <w:szCs w:val="22"/>
              </w:rPr>
              <w:t>Reviewed by:</w:t>
            </w:r>
          </w:p>
        </w:tc>
        <w:tc>
          <w:tcPr>
            <w:tcW w:w="3622" w:type="dxa"/>
            <w:shd w:val="clear" w:color="auto" w:fill="auto"/>
            <w:vAlign w:val="bottom"/>
          </w:tcPr>
          <w:p w14:paraId="1B504F24" w14:textId="0AEC2858" w:rsidR="00AE497E" w:rsidRPr="00515546" w:rsidRDefault="00AE497E" w:rsidP="00522C6C">
            <w:pPr>
              <w:spacing w:after="0"/>
              <w:rPr>
                <w:szCs w:val="22"/>
              </w:rPr>
            </w:pPr>
            <w:r>
              <w:rPr>
                <w:szCs w:val="22"/>
              </w:rPr>
              <w:t>Name: Yorro Bah</w:t>
            </w:r>
          </w:p>
        </w:tc>
        <w:tc>
          <w:tcPr>
            <w:tcW w:w="2869" w:type="dxa"/>
            <w:shd w:val="clear" w:color="auto" w:fill="auto"/>
            <w:vAlign w:val="bottom"/>
          </w:tcPr>
          <w:p w14:paraId="72F8E135" w14:textId="14B98350" w:rsidR="00AE497E" w:rsidRPr="00515546" w:rsidRDefault="00AE497E" w:rsidP="00522C6C">
            <w:pPr>
              <w:spacing w:after="0"/>
              <w:rPr>
                <w:szCs w:val="22"/>
              </w:rPr>
            </w:pPr>
            <w:r>
              <w:rPr>
                <w:szCs w:val="22"/>
              </w:rPr>
              <w:t>Date: 06 July 2020</w:t>
            </w:r>
          </w:p>
        </w:tc>
      </w:tr>
      <w:tr w:rsidR="004C4442" w:rsidRPr="00515546" w14:paraId="26732F16" w14:textId="77777777" w:rsidTr="00515546">
        <w:trPr>
          <w:trHeight w:val="20"/>
        </w:trPr>
        <w:tc>
          <w:tcPr>
            <w:tcW w:w="2139" w:type="dxa"/>
            <w:shd w:val="clear" w:color="auto" w:fill="auto"/>
            <w:vAlign w:val="bottom"/>
          </w:tcPr>
          <w:p w14:paraId="2264118A"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7401ABAE"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F241629" w14:textId="77777777" w:rsidR="004C4442" w:rsidRPr="00515546" w:rsidRDefault="004C4442" w:rsidP="00522C6C">
            <w:pPr>
              <w:spacing w:after="0"/>
              <w:rPr>
                <w:b/>
                <w:szCs w:val="22"/>
              </w:rPr>
            </w:pPr>
            <w:r w:rsidRPr="00515546">
              <w:rPr>
                <w:b/>
                <w:szCs w:val="22"/>
              </w:rPr>
              <w:t>Review due date:</w:t>
            </w:r>
          </w:p>
        </w:tc>
      </w:tr>
      <w:tr w:rsidR="004C4442" w:rsidRPr="00515546" w14:paraId="46E5F05A" w14:textId="77777777" w:rsidTr="00515546">
        <w:trPr>
          <w:trHeight w:val="20"/>
        </w:trPr>
        <w:tc>
          <w:tcPr>
            <w:tcW w:w="2139" w:type="dxa"/>
            <w:shd w:val="clear" w:color="auto" w:fill="auto"/>
            <w:vAlign w:val="bottom"/>
          </w:tcPr>
          <w:p w14:paraId="2BE23323"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FD09EE2"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16BFD6D" w14:textId="4976D0C2" w:rsidR="004C4442" w:rsidRPr="00515546" w:rsidRDefault="00023367" w:rsidP="00522C6C">
            <w:pPr>
              <w:spacing w:after="0"/>
              <w:rPr>
                <w:szCs w:val="22"/>
              </w:rPr>
            </w:pPr>
            <w:r>
              <w:rPr>
                <w:szCs w:val="22"/>
              </w:rPr>
              <w:t>31 July 2020</w:t>
            </w:r>
          </w:p>
        </w:tc>
      </w:tr>
      <w:tr w:rsidR="00F44264" w:rsidRPr="00515546" w14:paraId="253846D6" w14:textId="77777777" w:rsidTr="00515546">
        <w:trPr>
          <w:trHeight w:val="20"/>
        </w:trPr>
        <w:tc>
          <w:tcPr>
            <w:tcW w:w="2139" w:type="dxa"/>
            <w:shd w:val="clear" w:color="auto" w:fill="auto"/>
            <w:vAlign w:val="bottom"/>
          </w:tcPr>
          <w:p w14:paraId="35074AA0" w14:textId="42E50F0A" w:rsidR="00F44264" w:rsidRPr="00515546" w:rsidRDefault="00F44264" w:rsidP="005638D0">
            <w:pPr>
              <w:spacing w:after="0"/>
              <w:rPr>
                <w:szCs w:val="22"/>
              </w:rPr>
            </w:pPr>
            <w:r>
              <w:rPr>
                <w:szCs w:val="22"/>
              </w:rPr>
              <w:t>1.1</w:t>
            </w:r>
          </w:p>
        </w:tc>
        <w:tc>
          <w:tcPr>
            <w:tcW w:w="3622" w:type="dxa"/>
            <w:shd w:val="clear" w:color="auto" w:fill="auto"/>
            <w:vAlign w:val="bottom"/>
          </w:tcPr>
          <w:p w14:paraId="73C6ADB8" w14:textId="35B90016" w:rsidR="00F44264" w:rsidRPr="00515546" w:rsidRDefault="00F44264" w:rsidP="005638D0">
            <w:pPr>
              <w:spacing w:after="0"/>
              <w:rPr>
                <w:szCs w:val="22"/>
              </w:rPr>
            </w:pPr>
            <w:r>
              <w:rPr>
                <w:szCs w:val="22"/>
              </w:rPr>
              <w:t>Executive summary added</w:t>
            </w:r>
          </w:p>
        </w:tc>
        <w:tc>
          <w:tcPr>
            <w:tcW w:w="2869" w:type="dxa"/>
            <w:shd w:val="clear" w:color="auto" w:fill="auto"/>
            <w:vAlign w:val="bottom"/>
          </w:tcPr>
          <w:p w14:paraId="280364A1" w14:textId="17FD173C" w:rsidR="00F44264" w:rsidRPr="00515546" w:rsidRDefault="00F44264" w:rsidP="005638D0">
            <w:pPr>
              <w:spacing w:after="0"/>
              <w:rPr>
                <w:b/>
                <w:szCs w:val="22"/>
              </w:rPr>
            </w:pPr>
            <w:r>
              <w:rPr>
                <w:szCs w:val="22"/>
              </w:rPr>
              <w:t>31 July 2020</w:t>
            </w:r>
          </w:p>
        </w:tc>
      </w:tr>
      <w:tr w:rsidR="003536B0" w:rsidRPr="00515546" w14:paraId="037B860E" w14:textId="77777777" w:rsidTr="00150FCF">
        <w:trPr>
          <w:trHeight w:val="20"/>
        </w:trPr>
        <w:tc>
          <w:tcPr>
            <w:tcW w:w="2139" w:type="dxa"/>
            <w:tcBorders>
              <w:bottom w:val="single" w:sz="4" w:space="0" w:color="auto"/>
            </w:tcBorders>
            <w:shd w:val="clear" w:color="auto" w:fill="auto"/>
            <w:vAlign w:val="bottom"/>
          </w:tcPr>
          <w:p w14:paraId="58C72B2C" w14:textId="51AF08D3" w:rsidR="003536B0" w:rsidRDefault="003536B0" w:rsidP="005638D0">
            <w:pPr>
              <w:spacing w:after="0"/>
              <w:rPr>
                <w:szCs w:val="22"/>
              </w:rPr>
            </w:pPr>
            <w:r>
              <w:rPr>
                <w:szCs w:val="22"/>
              </w:rPr>
              <w:t>2.0</w:t>
            </w:r>
          </w:p>
        </w:tc>
        <w:tc>
          <w:tcPr>
            <w:tcW w:w="3622" w:type="dxa"/>
            <w:tcBorders>
              <w:bottom w:val="single" w:sz="4" w:space="0" w:color="auto"/>
            </w:tcBorders>
            <w:shd w:val="clear" w:color="auto" w:fill="auto"/>
            <w:vAlign w:val="bottom"/>
          </w:tcPr>
          <w:p w14:paraId="6BD027D3" w14:textId="23B9A8FA" w:rsidR="003536B0" w:rsidRDefault="003536B0" w:rsidP="005638D0">
            <w:pPr>
              <w:spacing w:after="0"/>
              <w:rPr>
                <w:szCs w:val="22"/>
              </w:rPr>
            </w:pPr>
            <w:r>
              <w:rPr>
                <w:szCs w:val="22"/>
              </w:rPr>
              <w:t>Additional information on extrapulmonary TB added</w:t>
            </w:r>
          </w:p>
        </w:tc>
        <w:tc>
          <w:tcPr>
            <w:tcW w:w="2869" w:type="dxa"/>
            <w:tcBorders>
              <w:bottom w:val="single" w:sz="4" w:space="0" w:color="auto"/>
            </w:tcBorders>
            <w:shd w:val="clear" w:color="auto" w:fill="auto"/>
            <w:vAlign w:val="bottom"/>
          </w:tcPr>
          <w:p w14:paraId="2B94B89F" w14:textId="63A53CFC" w:rsidR="003536B0" w:rsidRDefault="00230FE6" w:rsidP="005638D0">
            <w:pPr>
              <w:spacing w:after="0"/>
              <w:rPr>
                <w:szCs w:val="22"/>
              </w:rPr>
            </w:pPr>
            <w:r>
              <w:t>18 February 202</w:t>
            </w:r>
            <w:r>
              <w:t>3</w:t>
            </w:r>
          </w:p>
        </w:tc>
      </w:tr>
      <w:tr w:rsidR="005638D0" w:rsidRPr="00515546" w14:paraId="01E6FB78" w14:textId="77777777" w:rsidTr="00150FCF">
        <w:trPr>
          <w:trHeight w:val="20"/>
        </w:trPr>
        <w:tc>
          <w:tcPr>
            <w:tcW w:w="2139" w:type="dxa"/>
            <w:tcBorders>
              <w:bottom w:val="single" w:sz="4" w:space="0" w:color="auto"/>
            </w:tcBorders>
            <w:shd w:val="clear" w:color="auto" w:fill="auto"/>
            <w:vAlign w:val="bottom"/>
          </w:tcPr>
          <w:p w14:paraId="7E42778C"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tcBorders>
              <w:bottom w:val="single" w:sz="4" w:space="0" w:color="auto"/>
            </w:tcBorders>
            <w:shd w:val="clear" w:color="auto" w:fill="auto"/>
            <w:vAlign w:val="bottom"/>
          </w:tcPr>
          <w:p w14:paraId="56F1214E" w14:textId="77777777" w:rsidR="005638D0" w:rsidRPr="00515546" w:rsidRDefault="005638D0" w:rsidP="005638D0">
            <w:pPr>
              <w:spacing w:after="0"/>
              <w:rPr>
                <w:szCs w:val="22"/>
              </w:rPr>
            </w:pPr>
          </w:p>
        </w:tc>
        <w:tc>
          <w:tcPr>
            <w:tcW w:w="2869" w:type="dxa"/>
            <w:tcBorders>
              <w:bottom w:val="single" w:sz="4" w:space="0" w:color="auto"/>
            </w:tcBorders>
            <w:shd w:val="clear" w:color="auto" w:fill="auto"/>
            <w:vAlign w:val="bottom"/>
          </w:tcPr>
          <w:p w14:paraId="7B979974" w14:textId="77777777" w:rsidR="005638D0" w:rsidRPr="00515546" w:rsidRDefault="005638D0" w:rsidP="005638D0">
            <w:pPr>
              <w:spacing w:after="0"/>
              <w:rPr>
                <w:b/>
                <w:szCs w:val="22"/>
              </w:rPr>
            </w:pPr>
          </w:p>
        </w:tc>
      </w:tr>
    </w:tbl>
    <w:p w14:paraId="1549D5AE" w14:textId="77777777" w:rsidR="00975A60" w:rsidRPr="00CC3CF5" w:rsidRDefault="00975A60" w:rsidP="00975A60">
      <w:pPr>
        <w:rPr>
          <w:szCs w:val="22"/>
        </w:rPr>
      </w:pPr>
    </w:p>
    <w:sectPr w:rsidR="00975A60" w:rsidRPr="00CC3CF5"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DE0AF" w14:textId="77777777" w:rsidR="004A1415" w:rsidRDefault="004A1415" w:rsidP="00975A60">
      <w:pPr>
        <w:spacing w:after="0"/>
      </w:pPr>
      <w:r>
        <w:separator/>
      </w:r>
    </w:p>
  </w:endnote>
  <w:endnote w:type="continuationSeparator" w:id="0">
    <w:p w14:paraId="17194969" w14:textId="77777777" w:rsidR="004A1415" w:rsidRDefault="004A1415"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33822"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AD3FC6"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D7B8B"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9387C"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C1C2B" w14:textId="77777777" w:rsidR="004A1415" w:rsidRDefault="004A1415" w:rsidP="00975A60">
      <w:pPr>
        <w:spacing w:after="0"/>
      </w:pPr>
      <w:r>
        <w:separator/>
      </w:r>
    </w:p>
  </w:footnote>
  <w:footnote w:type="continuationSeparator" w:id="0">
    <w:p w14:paraId="3AD14EA0" w14:textId="77777777" w:rsidR="004A1415" w:rsidRDefault="004A1415"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2258A" w14:textId="77777777" w:rsidR="00137B0C" w:rsidRPr="008C32C2" w:rsidRDefault="00137B0C" w:rsidP="00137B0C">
    <w:pPr>
      <w:pStyle w:val="Header"/>
    </w:pPr>
    <w:r w:rsidRPr="008C32C2">
      <w:t>Identification code: MeG-CLS-044</w:t>
    </w:r>
    <w:r w:rsidRPr="008C32C2">
      <w:tab/>
    </w:r>
  </w:p>
  <w:p w14:paraId="72B6D4B4" w14:textId="1077A627" w:rsidR="00137B0C" w:rsidRPr="008C32C2" w:rsidRDefault="00137B0C" w:rsidP="00137B0C">
    <w:pPr>
      <w:pStyle w:val="Header"/>
    </w:pPr>
    <w:r w:rsidRPr="008C32C2">
      <w:t xml:space="preserve">Version: </w:t>
    </w:r>
    <w:r w:rsidR="003D279C">
      <w:t>2.0</w:t>
    </w:r>
    <w:r w:rsidRPr="008C32C2">
      <w:t xml:space="preserve"> – </w:t>
    </w:r>
    <w:r w:rsidR="00230FE6">
      <w:t>18 February 2021</w:t>
    </w:r>
  </w:p>
  <w:p w14:paraId="587CA195" w14:textId="6C7A295F" w:rsidR="005D1877" w:rsidRPr="00137B0C" w:rsidRDefault="005D1877" w:rsidP="00137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2A76A"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511AB864" wp14:editId="0920ADD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D0D4C60"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237C190" w14:textId="77777777" w:rsidR="00D13825" w:rsidRPr="003C0800" w:rsidRDefault="00D13825" w:rsidP="00D13825">
    <w:pPr>
      <w:pStyle w:val="Header"/>
      <w:ind w:firstLine="2880"/>
      <w:rPr>
        <w:rFonts w:cs="Arial"/>
        <w:b/>
      </w:rPr>
    </w:pPr>
  </w:p>
  <w:p w14:paraId="70097E1D" w14:textId="6A6712BE" w:rsidR="00D13825" w:rsidRPr="008C32C2" w:rsidRDefault="00D13825" w:rsidP="00D13825">
    <w:pPr>
      <w:pStyle w:val="Header"/>
    </w:pPr>
    <w:r w:rsidRPr="008C32C2">
      <w:t>Identification code: MeG-CLS-</w:t>
    </w:r>
    <w:r w:rsidR="008C32C2" w:rsidRPr="008C32C2">
      <w:t>044</w:t>
    </w:r>
    <w:r w:rsidRPr="008C32C2">
      <w:tab/>
    </w:r>
  </w:p>
  <w:p w14:paraId="3737FF58" w14:textId="74946521" w:rsidR="00D13825" w:rsidRPr="008C32C2" w:rsidRDefault="00D13825" w:rsidP="00D13825">
    <w:pPr>
      <w:pStyle w:val="Header"/>
    </w:pPr>
    <w:r w:rsidRPr="008C32C2">
      <w:t xml:space="preserve">Version: </w:t>
    </w:r>
    <w:r w:rsidR="003D279C">
      <w:t xml:space="preserve">2.0 </w:t>
    </w:r>
    <w:r w:rsidR="00AE497E">
      <w:t>–</w:t>
    </w:r>
    <w:r w:rsidR="003D279C">
      <w:t xml:space="preserve"> </w:t>
    </w:r>
    <w:r w:rsidR="00230FE6">
      <w:t>18 February 2021</w:t>
    </w:r>
  </w:p>
  <w:p w14:paraId="7A4BA084"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C3EE3A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54BC167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F5D46"/>
    <w:multiLevelType w:val="hybridMultilevel"/>
    <w:tmpl w:val="55E0FD4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04E45"/>
    <w:multiLevelType w:val="hybridMultilevel"/>
    <w:tmpl w:val="0534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7D614D"/>
    <w:multiLevelType w:val="hybridMultilevel"/>
    <w:tmpl w:val="252A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07790F"/>
    <w:multiLevelType w:val="hybridMultilevel"/>
    <w:tmpl w:val="2312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66784B"/>
    <w:multiLevelType w:val="hybridMultilevel"/>
    <w:tmpl w:val="5164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14F3E"/>
    <w:multiLevelType w:val="hybridMultilevel"/>
    <w:tmpl w:val="CDA2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36073C"/>
    <w:multiLevelType w:val="hybridMultilevel"/>
    <w:tmpl w:val="6D7A5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2E2946"/>
    <w:multiLevelType w:val="hybridMultilevel"/>
    <w:tmpl w:val="F208BF4E"/>
    <w:lvl w:ilvl="0" w:tplc="D69EE6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318F0"/>
    <w:multiLevelType w:val="hybridMultilevel"/>
    <w:tmpl w:val="B5E6A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B61E72"/>
    <w:multiLevelType w:val="multilevel"/>
    <w:tmpl w:val="823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5851C6"/>
    <w:multiLevelType w:val="hybridMultilevel"/>
    <w:tmpl w:val="F18885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8222EA"/>
    <w:multiLevelType w:val="hybridMultilevel"/>
    <w:tmpl w:val="43769C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E33B84"/>
    <w:multiLevelType w:val="hybridMultilevel"/>
    <w:tmpl w:val="F788B4BC"/>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AD1B20"/>
    <w:multiLevelType w:val="hybridMultilevel"/>
    <w:tmpl w:val="A19A2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A215E"/>
    <w:multiLevelType w:val="hybridMultilevel"/>
    <w:tmpl w:val="A6F80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B67D78"/>
    <w:multiLevelType w:val="hybridMultilevel"/>
    <w:tmpl w:val="7B6E89CC"/>
    <w:lvl w:ilvl="0" w:tplc="4DE82D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85C71"/>
    <w:multiLevelType w:val="hybridMultilevel"/>
    <w:tmpl w:val="39003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8240128"/>
    <w:multiLevelType w:val="hybridMultilevel"/>
    <w:tmpl w:val="EE48D89A"/>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324BD0"/>
    <w:multiLevelType w:val="hybridMultilevel"/>
    <w:tmpl w:val="6360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7B75B0"/>
    <w:multiLevelType w:val="hybridMultilevel"/>
    <w:tmpl w:val="539E6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11C7E"/>
    <w:multiLevelType w:val="hybridMultilevel"/>
    <w:tmpl w:val="8C70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412088"/>
    <w:multiLevelType w:val="hybridMultilevel"/>
    <w:tmpl w:val="84228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1"/>
  </w:num>
  <w:num w:numId="5">
    <w:abstractNumId w:val="0"/>
  </w:num>
  <w:num w:numId="6">
    <w:abstractNumId w:val="7"/>
  </w:num>
  <w:num w:numId="7">
    <w:abstractNumId w:val="25"/>
  </w:num>
  <w:num w:numId="8">
    <w:abstractNumId w:val="2"/>
  </w:num>
  <w:num w:numId="9">
    <w:abstractNumId w:val="45"/>
  </w:num>
  <w:num w:numId="10">
    <w:abstractNumId w:val="4"/>
  </w:num>
  <w:num w:numId="11">
    <w:abstractNumId w:val="19"/>
  </w:num>
  <w:num w:numId="12">
    <w:abstractNumId w:val="31"/>
  </w:num>
  <w:num w:numId="13">
    <w:abstractNumId w:val="39"/>
  </w:num>
  <w:num w:numId="14">
    <w:abstractNumId w:val="35"/>
  </w:num>
  <w:num w:numId="15">
    <w:abstractNumId w:val="43"/>
  </w:num>
  <w:num w:numId="16">
    <w:abstractNumId w:val="20"/>
  </w:num>
  <w:num w:numId="17">
    <w:abstractNumId w:val="15"/>
  </w:num>
  <w:num w:numId="18">
    <w:abstractNumId w:val="36"/>
  </w:num>
  <w:num w:numId="19">
    <w:abstractNumId w:val="21"/>
  </w:num>
  <w:num w:numId="20">
    <w:abstractNumId w:val="40"/>
  </w:num>
  <w:num w:numId="21">
    <w:abstractNumId w:val="23"/>
  </w:num>
  <w:num w:numId="22">
    <w:abstractNumId w:val="16"/>
  </w:num>
  <w:num w:numId="23">
    <w:abstractNumId w:val="30"/>
  </w:num>
  <w:num w:numId="24">
    <w:abstractNumId w:val="34"/>
  </w:num>
  <w:num w:numId="25">
    <w:abstractNumId w:val="38"/>
  </w:num>
  <w:num w:numId="26">
    <w:abstractNumId w:val="27"/>
  </w:num>
  <w:num w:numId="27">
    <w:abstractNumId w:val="12"/>
  </w:num>
  <w:num w:numId="28">
    <w:abstractNumId w:val="3"/>
  </w:num>
  <w:num w:numId="29">
    <w:abstractNumId w:val="37"/>
  </w:num>
  <w:num w:numId="30">
    <w:abstractNumId w:val="41"/>
  </w:num>
  <w:num w:numId="31">
    <w:abstractNumId w:val="17"/>
  </w:num>
  <w:num w:numId="32">
    <w:abstractNumId w:val="32"/>
  </w:num>
  <w:num w:numId="33">
    <w:abstractNumId w:val="29"/>
  </w:num>
  <w:num w:numId="34">
    <w:abstractNumId w:val="26"/>
  </w:num>
  <w:num w:numId="35">
    <w:abstractNumId w:val="8"/>
  </w:num>
  <w:num w:numId="36">
    <w:abstractNumId w:val="44"/>
  </w:num>
  <w:num w:numId="37">
    <w:abstractNumId w:val="10"/>
  </w:num>
  <w:num w:numId="38">
    <w:abstractNumId w:val="6"/>
  </w:num>
  <w:num w:numId="39">
    <w:abstractNumId w:val="42"/>
  </w:num>
  <w:num w:numId="40">
    <w:abstractNumId w:val="11"/>
  </w:num>
  <w:num w:numId="41">
    <w:abstractNumId w:val="13"/>
  </w:num>
  <w:num w:numId="42">
    <w:abstractNumId w:val="9"/>
  </w:num>
  <w:num w:numId="43">
    <w:abstractNumId w:val="5"/>
  </w:num>
  <w:num w:numId="44">
    <w:abstractNumId w:val="14"/>
  </w:num>
  <w:num w:numId="45">
    <w:abstractNumId w:val="24"/>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jIxMjM1NjcwMzdU0lEKTi0uzszPAykwrgUA9DxNISwAAAA="/>
  </w:docVars>
  <w:rsids>
    <w:rsidRoot w:val="008C32C2"/>
    <w:rsid w:val="000039D9"/>
    <w:rsid w:val="00023367"/>
    <w:rsid w:val="0007147C"/>
    <w:rsid w:val="00081642"/>
    <w:rsid w:val="000B2D46"/>
    <w:rsid w:val="000E2614"/>
    <w:rsid w:val="00114AAF"/>
    <w:rsid w:val="001203AE"/>
    <w:rsid w:val="00130C07"/>
    <w:rsid w:val="00137B0C"/>
    <w:rsid w:val="00150FCF"/>
    <w:rsid w:val="00175153"/>
    <w:rsid w:val="001C1450"/>
    <w:rsid w:val="001E622E"/>
    <w:rsid w:val="00223920"/>
    <w:rsid w:val="00230FE6"/>
    <w:rsid w:val="002415B9"/>
    <w:rsid w:val="00252A11"/>
    <w:rsid w:val="0029357D"/>
    <w:rsid w:val="002A2856"/>
    <w:rsid w:val="002D4FD7"/>
    <w:rsid w:val="002F2CF6"/>
    <w:rsid w:val="003020A2"/>
    <w:rsid w:val="003038D3"/>
    <w:rsid w:val="003225CD"/>
    <w:rsid w:val="003536B0"/>
    <w:rsid w:val="003A22E5"/>
    <w:rsid w:val="003C0800"/>
    <w:rsid w:val="003D279C"/>
    <w:rsid w:val="003E2B07"/>
    <w:rsid w:val="003F70CA"/>
    <w:rsid w:val="00432917"/>
    <w:rsid w:val="004A1415"/>
    <w:rsid w:val="004A25F0"/>
    <w:rsid w:val="004A4C93"/>
    <w:rsid w:val="004C4442"/>
    <w:rsid w:val="004F4A73"/>
    <w:rsid w:val="005151D8"/>
    <w:rsid w:val="00515546"/>
    <w:rsid w:val="005638D0"/>
    <w:rsid w:val="005D0C7A"/>
    <w:rsid w:val="005D1877"/>
    <w:rsid w:val="00610EE7"/>
    <w:rsid w:val="00633320"/>
    <w:rsid w:val="00633DC7"/>
    <w:rsid w:val="00663D2A"/>
    <w:rsid w:val="007067BE"/>
    <w:rsid w:val="00734751"/>
    <w:rsid w:val="00791DD1"/>
    <w:rsid w:val="007B26B1"/>
    <w:rsid w:val="00826711"/>
    <w:rsid w:val="00857027"/>
    <w:rsid w:val="0087100A"/>
    <w:rsid w:val="00874D98"/>
    <w:rsid w:val="008777F1"/>
    <w:rsid w:val="008C32C2"/>
    <w:rsid w:val="009165E9"/>
    <w:rsid w:val="00917333"/>
    <w:rsid w:val="009265F5"/>
    <w:rsid w:val="009325A7"/>
    <w:rsid w:val="00975A60"/>
    <w:rsid w:val="009956F9"/>
    <w:rsid w:val="0099709D"/>
    <w:rsid w:val="009B44BE"/>
    <w:rsid w:val="009D023F"/>
    <w:rsid w:val="009F5B1B"/>
    <w:rsid w:val="00A21000"/>
    <w:rsid w:val="00A312D8"/>
    <w:rsid w:val="00A41080"/>
    <w:rsid w:val="00A57F89"/>
    <w:rsid w:val="00A7502B"/>
    <w:rsid w:val="00AE497E"/>
    <w:rsid w:val="00B31AC4"/>
    <w:rsid w:val="00B60FDD"/>
    <w:rsid w:val="00B844E8"/>
    <w:rsid w:val="00BB6EE8"/>
    <w:rsid w:val="00BD08AB"/>
    <w:rsid w:val="00C67021"/>
    <w:rsid w:val="00CB4716"/>
    <w:rsid w:val="00CC3CF5"/>
    <w:rsid w:val="00CD4A1D"/>
    <w:rsid w:val="00CD4F09"/>
    <w:rsid w:val="00CE5CC4"/>
    <w:rsid w:val="00CF52F0"/>
    <w:rsid w:val="00D03AB2"/>
    <w:rsid w:val="00D13825"/>
    <w:rsid w:val="00DA20ED"/>
    <w:rsid w:val="00DC1CC5"/>
    <w:rsid w:val="00DC590C"/>
    <w:rsid w:val="00DE3D6D"/>
    <w:rsid w:val="00DF345F"/>
    <w:rsid w:val="00E162DA"/>
    <w:rsid w:val="00E17A00"/>
    <w:rsid w:val="00E17D08"/>
    <w:rsid w:val="00E42009"/>
    <w:rsid w:val="00EF46F8"/>
    <w:rsid w:val="00F03F25"/>
    <w:rsid w:val="00F15989"/>
    <w:rsid w:val="00F44264"/>
    <w:rsid w:val="00F53968"/>
    <w:rsid w:val="00F71F11"/>
    <w:rsid w:val="00FE6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E6413"/>
  <w15:docId w15:val="{4FEF60DB-F3DB-4D6F-A4E4-F2D59648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415B9"/>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styleId="NormalWeb">
    <w:name w:val="Normal (Web)"/>
    <w:basedOn w:val="Normal"/>
    <w:uiPriority w:val="99"/>
    <w:semiHidden/>
    <w:unhideWhenUsed/>
    <w:rsid w:val="002415B9"/>
    <w:pPr>
      <w:spacing w:before="100" w:beforeAutospacing="1" w:after="100" w:afterAutospacing="1"/>
      <w:outlineLvl w:val="9"/>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94564">
      <w:bodyDiv w:val="1"/>
      <w:marLeft w:val="0"/>
      <w:marRight w:val="0"/>
      <w:marTop w:val="0"/>
      <w:marBottom w:val="0"/>
      <w:divBdr>
        <w:top w:val="none" w:sz="0" w:space="0" w:color="auto"/>
        <w:left w:val="none" w:sz="0" w:space="0" w:color="auto"/>
        <w:bottom w:val="none" w:sz="0" w:space="0" w:color="auto"/>
        <w:right w:val="none" w:sz="0" w:space="0" w:color="auto"/>
      </w:divBdr>
    </w:div>
    <w:div w:id="936059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471/BLT.14.151670"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sdmanuals.com/professional/pediatrics/infections-in-neonates/perinatal-tuberculosis-tb"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61</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36</cp:revision>
  <cp:lastPrinted>2019-04-29T14:43:00Z</cp:lastPrinted>
  <dcterms:created xsi:type="dcterms:W3CDTF">2021-01-05T09:40:00Z</dcterms:created>
  <dcterms:modified xsi:type="dcterms:W3CDTF">2021-02-17T15:53:00Z</dcterms:modified>
</cp:coreProperties>
</file>