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9487C" w14:textId="77777777" w:rsidR="00FF31A3" w:rsidRPr="00D44E11" w:rsidRDefault="00FF31A3" w:rsidP="00FF31A3">
      <w:pPr>
        <w:pStyle w:val="Heading1"/>
      </w:pPr>
      <w:bookmarkStart w:id="0" w:name="_GoBack"/>
      <w:bookmarkEnd w:id="0"/>
      <w:r>
        <w:t>Tonsillitis and pharyngitis</w:t>
      </w:r>
    </w:p>
    <w:p w14:paraId="10F5A712" w14:textId="77777777" w:rsidR="00584E1E" w:rsidRPr="00F94418" w:rsidRDefault="00584E1E" w:rsidP="00584E1E">
      <w:pPr>
        <w:pStyle w:val="Heading2"/>
        <w:rPr>
          <w:rFonts w:cs="Arial"/>
          <w:i/>
          <w:szCs w:val="22"/>
        </w:rPr>
      </w:pPr>
      <w:r w:rsidRPr="00F94418">
        <w:rPr>
          <w:rFonts w:cs="Arial"/>
          <w:i/>
          <w:szCs w:val="22"/>
        </w:rPr>
        <w:t>Executive summary</w:t>
      </w:r>
    </w:p>
    <w:p w14:paraId="3B170C12" w14:textId="77777777" w:rsidR="00584E1E" w:rsidRDefault="00584E1E" w:rsidP="00584E1E">
      <w:pPr>
        <w:pStyle w:val="Heading2"/>
        <w:rPr>
          <w:rFonts w:cs="Arial"/>
          <w:szCs w:val="22"/>
        </w:rPr>
      </w:pPr>
      <w:r w:rsidRPr="00DC590C">
        <w:rPr>
          <w:rFonts w:cs="Arial"/>
          <w:szCs w:val="22"/>
        </w:rPr>
        <w:t>Introduction</w:t>
      </w:r>
    </w:p>
    <w:p w14:paraId="26D5F852" w14:textId="77777777" w:rsidR="004D3160" w:rsidRDefault="004D3160" w:rsidP="00DE7E17">
      <w:pPr>
        <w:rPr>
          <w:b/>
        </w:rPr>
      </w:pPr>
      <w:r w:rsidRPr="00D44EBA">
        <w:t>Pharyngitis is an inflammation of the pharynx involving lymphoid tissues of the posterior pharynx and lateral pharyngeal bands. The etiology can be bacterial, viral and fungal infections. Most cases are due to viral infections and accompany a common cold or influenza. Respiratory disease caused by group A strep infection in children younger than 3 years old rarely manifests as acute pharyngitis. These children usually have mucopurulent rhinitis followed by fever, irritability, and anorexia (called “streptococcal fever” or “</w:t>
      </w:r>
      <w:proofErr w:type="spellStart"/>
      <w:r w:rsidRPr="00D44EBA">
        <w:t>streptococcosis</w:t>
      </w:r>
      <w:proofErr w:type="spellEnd"/>
      <w:r w:rsidRPr="00D44EBA">
        <w:t xml:space="preserve">”). In contrast to typical acute group A strep pharyngitis, this presentation in young children is subacute and high fever is rare. </w:t>
      </w:r>
    </w:p>
    <w:p w14:paraId="1A55903C" w14:textId="77777777" w:rsidR="00584E1E" w:rsidRDefault="00584E1E" w:rsidP="00504405">
      <w:pPr>
        <w:pStyle w:val="Heading2"/>
        <w:rPr>
          <w:bCs/>
        </w:rPr>
      </w:pPr>
      <w:r w:rsidRPr="00612AEE">
        <w:t xml:space="preserve">Target </w:t>
      </w:r>
      <w:r>
        <w:t>u</w:t>
      </w:r>
      <w:r w:rsidRPr="00612AEE">
        <w:t>ser</w:t>
      </w:r>
      <w:r>
        <w:t>s</w:t>
      </w:r>
    </w:p>
    <w:p w14:paraId="5F8B035E" w14:textId="1ECCE74D" w:rsidR="00584E1E" w:rsidRDefault="004D3160" w:rsidP="00584E1E">
      <w:pPr>
        <w:pStyle w:val="ListParagraph"/>
        <w:numPr>
          <w:ilvl w:val="0"/>
          <w:numId w:val="29"/>
        </w:numPr>
      </w:pPr>
      <w:r>
        <w:t>Doctors</w:t>
      </w:r>
    </w:p>
    <w:p w14:paraId="34DA7642" w14:textId="24C41A1E" w:rsidR="004D3160" w:rsidRPr="00584E1E" w:rsidRDefault="004D3160" w:rsidP="004D3160">
      <w:pPr>
        <w:pStyle w:val="ListParagraph"/>
        <w:numPr>
          <w:ilvl w:val="0"/>
          <w:numId w:val="29"/>
        </w:numPr>
      </w:pPr>
      <w:r>
        <w:t>Nurses</w:t>
      </w:r>
    </w:p>
    <w:p w14:paraId="5AD6CFC6" w14:textId="77777777" w:rsidR="00584E1E" w:rsidRDefault="00584E1E" w:rsidP="00504405">
      <w:pPr>
        <w:pStyle w:val="Heading2"/>
        <w:rPr>
          <w:bCs/>
        </w:rPr>
      </w:pPr>
      <w:r w:rsidRPr="00612AEE">
        <w:t xml:space="preserve">Target area of use </w:t>
      </w:r>
    </w:p>
    <w:p w14:paraId="66A69ABC" w14:textId="5411AD05" w:rsidR="004D3160" w:rsidRDefault="004D3160" w:rsidP="004D3160">
      <w:pPr>
        <w:pStyle w:val="ListParagraph"/>
        <w:numPr>
          <w:ilvl w:val="0"/>
          <w:numId w:val="29"/>
        </w:numPr>
      </w:pPr>
      <w:r>
        <w:t>Gate clinic</w:t>
      </w:r>
    </w:p>
    <w:p w14:paraId="23ADF10D" w14:textId="3C8B49C8" w:rsidR="00584E1E" w:rsidRDefault="004D3160" w:rsidP="00584E1E">
      <w:pPr>
        <w:pStyle w:val="ListParagraph"/>
        <w:numPr>
          <w:ilvl w:val="0"/>
          <w:numId w:val="29"/>
        </w:numPr>
      </w:pPr>
      <w:r>
        <w:t>Outpatient department</w:t>
      </w:r>
    </w:p>
    <w:p w14:paraId="469A5C84" w14:textId="3102341B" w:rsidR="004D3160" w:rsidRPr="00584E1E" w:rsidRDefault="004D3160" w:rsidP="00584E1E">
      <w:pPr>
        <w:pStyle w:val="ListParagraph"/>
        <w:numPr>
          <w:ilvl w:val="0"/>
          <w:numId w:val="29"/>
        </w:numPr>
      </w:pPr>
      <w:r>
        <w:t>Ward</w:t>
      </w:r>
    </w:p>
    <w:p w14:paraId="63054614"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5C5E5C9C" w14:textId="713BB7A1" w:rsidR="00584E1E" w:rsidRPr="00584E1E" w:rsidRDefault="004D3160" w:rsidP="00504405">
      <w:pPr>
        <w:rPr>
          <w:b/>
        </w:rPr>
      </w:pPr>
      <w:r>
        <w:t>This guideline outlines the diagnosis and treatment of pharyngitis – particularly emphasizing how to decide when antibiotics are appropriate.</w:t>
      </w:r>
    </w:p>
    <w:p w14:paraId="2B13A35E" w14:textId="77777777" w:rsidR="00584E1E" w:rsidRDefault="00584E1E" w:rsidP="00504405">
      <w:pPr>
        <w:pStyle w:val="Heading2"/>
      </w:pPr>
      <w:r w:rsidRPr="00504405">
        <w:t>Limitations</w:t>
      </w:r>
    </w:p>
    <w:p w14:paraId="2B6F06B2" w14:textId="4C25C7C6" w:rsidR="00584E1E" w:rsidRPr="00504405" w:rsidRDefault="00EF715A" w:rsidP="00584E1E">
      <w:pPr>
        <w:rPr>
          <w:b/>
        </w:rPr>
      </w:pPr>
      <w:r>
        <w:t>Facilities for throat culture are not available at Keneba and Basse.</w:t>
      </w:r>
    </w:p>
    <w:p w14:paraId="5D60A152" w14:textId="77777777" w:rsidR="00584E1E" w:rsidRDefault="00584E1E">
      <w:pPr>
        <w:spacing w:after="0"/>
        <w:outlineLvl w:val="9"/>
        <w:rPr>
          <w:b/>
          <w:sz w:val="24"/>
          <w:szCs w:val="22"/>
        </w:rPr>
      </w:pPr>
      <w:r>
        <w:rPr>
          <w:szCs w:val="22"/>
        </w:rPr>
        <w:br w:type="page"/>
      </w:r>
    </w:p>
    <w:p w14:paraId="4F94EA0E" w14:textId="1EE3F155" w:rsidR="004D3160" w:rsidRDefault="00975A60" w:rsidP="00975A60">
      <w:pPr>
        <w:pStyle w:val="Heading2"/>
        <w:rPr>
          <w:rFonts w:cs="Arial"/>
          <w:szCs w:val="22"/>
        </w:rPr>
      </w:pPr>
      <w:r w:rsidRPr="00DC590C">
        <w:rPr>
          <w:rFonts w:cs="Arial"/>
          <w:szCs w:val="22"/>
        </w:rPr>
        <w:lastRenderedPageBreak/>
        <w:t>Presenting symptoms and signs</w:t>
      </w:r>
    </w:p>
    <w:p w14:paraId="1341F935" w14:textId="77777777" w:rsidR="004D3160" w:rsidRDefault="004D3160" w:rsidP="004D3160">
      <w:pPr>
        <w:pStyle w:val="ListParagraph"/>
        <w:numPr>
          <w:ilvl w:val="0"/>
          <w:numId w:val="30"/>
        </w:numPr>
        <w:jc w:val="both"/>
      </w:pPr>
      <w:r>
        <w:t>Sore throat</w:t>
      </w:r>
    </w:p>
    <w:p w14:paraId="6502227F" w14:textId="77777777" w:rsidR="004D3160" w:rsidRDefault="004D3160" w:rsidP="004D3160">
      <w:pPr>
        <w:pStyle w:val="ListParagraph"/>
        <w:numPr>
          <w:ilvl w:val="0"/>
          <w:numId w:val="30"/>
        </w:numPr>
        <w:jc w:val="both"/>
      </w:pPr>
      <w:r>
        <w:t>Hoarse voice or loss of voice with pain on speaking</w:t>
      </w:r>
    </w:p>
    <w:p w14:paraId="1DF23D7A" w14:textId="77777777" w:rsidR="004D3160" w:rsidRDefault="004D3160" w:rsidP="004D3160">
      <w:pPr>
        <w:pStyle w:val="ListParagraph"/>
        <w:numPr>
          <w:ilvl w:val="0"/>
          <w:numId w:val="30"/>
        </w:numPr>
        <w:jc w:val="both"/>
      </w:pPr>
      <w:r>
        <w:t>Dysphagia or odynophagia maybe present</w:t>
      </w:r>
    </w:p>
    <w:p w14:paraId="712D34E7" w14:textId="77777777" w:rsidR="004D3160" w:rsidRDefault="004D3160" w:rsidP="004D3160">
      <w:pPr>
        <w:pStyle w:val="ListParagraph"/>
        <w:numPr>
          <w:ilvl w:val="0"/>
          <w:numId w:val="30"/>
        </w:numPr>
        <w:jc w:val="both"/>
      </w:pPr>
      <w:r>
        <w:t>Painful, non-productive cough</w:t>
      </w:r>
    </w:p>
    <w:p w14:paraId="6E537BF9" w14:textId="77777777" w:rsidR="004D3160" w:rsidRDefault="004D3160" w:rsidP="004D3160">
      <w:pPr>
        <w:pStyle w:val="ListParagraph"/>
        <w:numPr>
          <w:ilvl w:val="0"/>
          <w:numId w:val="30"/>
        </w:numPr>
        <w:jc w:val="both"/>
      </w:pPr>
      <w:r>
        <w:t>Stridor in children</w:t>
      </w:r>
    </w:p>
    <w:p w14:paraId="29ADFFFB" w14:textId="0D0AA364" w:rsidR="004D3160" w:rsidRPr="004D3160" w:rsidRDefault="004D3160" w:rsidP="004D3160">
      <w:pPr>
        <w:pStyle w:val="ListParagraph"/>
        <w:numPr>
          <w:ilvl w:val="0"/>
          <w:numId w:val="30"/>
        </w:numPr>
        <w:jc w:val="both"/>
      </w:pPr>
      <w:r>
        <w:t>Fever, myalgia and headaches may be present</w:t>
      </w:r>
    </w:p>
    <w:p w14:paraId="0CB0348E" w14:textId="6C3886B6" w:rsidR="00975A60" w:rsidRPr="00DC590C" w:rsidRDefault="00975A60" w:rsidP="00975A60">
      <w:pPr>
        <w:pStyle w:val="Heading2"/>
        <w:rPr>
          <w:rFonts w:cs="Arial"/>
          <w:szCs w:val="22"/>
        </w:rPr>
      </w:pPr>
      <w:r w:rsidRPr="00DC590C">
        <w:rPr>
          <w:rFonts w:cs="Arial"/>
          <w:szCs w:val="22"/>
        </w:rPr>
        <w:t>Examination findings</w:t>
      </w:r>
    </w:p>
    <w:p w14:paraId="058B2599" w14:textId="77777777" w:rsidR="004D3160" w:rsidRPr="00D44EBA" w:rsidRDefault="004D3160" w:rsidP="004D3160">
      <w:pPr>
        <w:pStyle w:val="Heading2"/>
        <w:numPr>
          <w:ilvl w:val="0"/>
          <w:numId w:val="24"/>
        </w:numPr>
        <w:contextualSpacing/>
        <w:jc w:val="both"/>
        <w:rPr>
          <w:rFonts w:cs="Arial"/>
          <w:b w:val="0"/>
          <w:sz w:val="22"/>
          <w:szCs w:val="24"/>
        </w:rPr>
      </w:pPr>
      <w:r w:rsidRPr="00D44EBA">
        <w:rPr>
          <w:rFonts w:cs="Arial"/>
          <w:b w:val="0"/>
          <w:sz w:val="22"/>
          <w:szCs w:val="24"/>
        </w:rPr>
        <w:t>Pharyngeal and tonsillar erythema</w:t>
      </w:r>
    </w:p>
    <w:p w14:paraId="462E0312" w14:textId="77777777" w:rsidR="004D3160" w:rsidRPr="00D44EBA" w:rsidRDefault="004D3160" w:rsidP="00216AFA">
      <w:pPr>
        <w:pStyle w:val="Heading2"/>
        <w:numPr>
          <w:ilvl w:val="0"/>
          <w:numId w:val="24"/>
        </w:numPr>
        <w:contextualSpacing/>
        <w:rPr>
          <w:rFonts w:cs="Arial"/>
          <w:b w:val="0"/>
          <w:sz w:val="22"/>
          <w:szCs w:val="24"/>
        </w:rPr>
      </w:pPr>
      <w:r w:rsidRPr="00D44EBA">
        <w:rPr>
          <w:rFonts w:cs="Arial"/>
          <w:b w:val="0"/>
          <w:sz w:val="22"/>
          <w:szCs w:val="24"/>
        </w:rPr>
        <w:t>Tonsillar hypertrophy</w:t>
      </w:r>
    </w:p>
    <w:p w14:paraId="6E38B4FC" w14:textId="77777777" w:rsidR="004D3160" w:rsidRPr="00D44EBA" w:rsidRDefault="004D3160" w:rsidP="00216AFA">
      <w:pPr>
        <w:pStyle w:val="Heading2"/>
        <w:numPr>
          <w:ilvl w:val="0"/>
          <w:numId w:val="24"/>
        </w:numPr>
        <w:contextualSpacing/>
        <w:rPr>
          <w:rFonts w:cs="Arial"/>
          <w:b w:val="0"/>
          <w:sz w:val="22"/>
          <w:szCs w:val="24"/>
        </w:rPr>
      </w:pPr>
      <w:r w:rsidRPr="00D44EBA">
        <w:rPr>
          <w:rFonts w:cs="Arial"/>
          <w:b w:val="0"/>
          <w:sz w:val="22"/>
          <w:szCs w:val="24"/>
        </w:rPr>
        <w:t>An inflammatory exudate or membranes may cover the tonsils and tonsillar pillars.</w:t>
      </w:r>
    </w:p>
    <w:p w14:paraId="10841386" w14:textId="77777777" w:rsidR="004D3160" w:rsidRPr="00D44EBA" w:rsidRDefault="004D3160" w:rsidP="00216AFA">
      <w:pPr>
        <w:pStyle w:val="Heading2"/>
        <w:numPr>
          <w:ilvl w:val="0"/>
          <w:numId w:val="24"/>
        </w:numPr>
        <w:contextualSpacing/>
        <w:rPr>
          <w:rFonts w:cs="Arial"/>
          <w:b w:val="0"/>
          <w:sz w:val="22"/>
          <w:szCs w:val="24"/>
        </w:rPr>
      </w:pPr>
      <w:r w:rsidRPr="00D44EBA">
        <w:rPr>
          <w:rFonts w:cs="Arial"/>
          <w:b w:val="0"/>
          <w:sz w:val="22"/>
          <w:szCs w:val="24"/>
        </w:rPr>
        <w:t>Palatal petechiae</w:t>
      </w:r>
    </w:p>
    <w:p w14:paraId="35EDA56A" w14:textId="77777777" w:rsidR="004D3160" w:rsidRDefault="004D3160" w:rsidP="00216AFA">
      <w:pPr>
        <w:pStyle w:val="Heading2"/>
        <w:numPr>
          <w:ilvl w:val="0"/>
          <w:numId w:val="24"/>
        </w:numPr>
        <w:spacing w:after="0"/>
        <w:contextualSpacing/>
        <w:rPr>
          <w:rFonts w:cs="Arial"/>
          <w:b w:val="0"/>
          <w:sz w:val="22"/>
          <w:szCs w:val="24"/>
        </w:rPr>
      </w:pPr>
      <w:r w:rsidRPr="00D44EBA">
        <w:rPr>
          <w:rFonts w:cs="Arial"/>
          <w:b w:val="0"/>
          <w:sz w:val="22"/>
          <w:szCs w:val="24"/>
        </w:rPr>
        <w:t xml:space="preserve">Vesicles or ulcers may also be seen on the pharyngeal walls </w:t>
      </w:r>
    </w:p>
    <w:p w14:paraId="78EFB403" w14:textId="77777777" w:rsidR="004D3160" w:rsidRDefault="004D3160" w:rsidP="00216AFA">
      <w:pPr>
        <w:pStyle w:val="ListParagraph"/>
        <w:numPr>
          <w:ilvl w:val="0"/>
          <w:numId w:val="24"/>
        </w:numPr>
      </w:pPr>
      <w:r>
        <w:t>Anterior cervical lymphadenopathy is common</w:t>
      </w:r>
    </w:p>
    <w:p w14:paraId="25E02D19" w14:textId="380DB572" w:rsidR="004D3160" w:rsidRDefault="004D3160" w:rsidP="00216AFA">
      <w:pPr>
        <w:pStyle w:val="ListParagraph"/>
        <w:numPr>
          <w:ilvl w:val="0"/>
          <w:numId w:val="24"/>
        </w:numPr>
      </w:pPr>
      <w:r>
        <w:t>Patients with group A strep pharyngitis may also present with a scarlatiniform rash. The resulting syndrome is called scarlet fever or scarlatina.</w:t>
      </w:r>
    </w:p>
    <w:p w14:paraId="242EE842" w14:textId="77777777" w:rsidR="004D3160" w:rsidRDefault="004D3160" w:rsidP="00216AFA">
      <w:r w:rsidRPr="00D44EBA">
        <w:t>People with a sore throat caused by streptococcal bacteria are more likely to benefit from antibiotics.</w:t>
      </w:r>
      <w:r>
        <w:t xml:space="preserve"> </w:t>
      </w:r>
      <w:proofErr w:type="spellStart"/>
      <w:r w:rsidRPr="00205762">
        <w:t>Centor</w:t>
      </w:r>
      <w:proofErr w:type="spellEnd"/>
      <w:r w:rsidRPr="00205762">
        <w:t xml:space="preserve"> criteria is a clinical scoring tool that can help to identify the people in whom this is more likely.</w:t>
      </w:r>
    </w:p>
    <w:p w14:paraId="468AC18F" w14:textId="77777777" w:rsidR="004D3160" w:rsidRPr="00205762" w:rsidRDefault="004D3160" w:rsidP="00216AFA">
      <w:pPr>
        <w:pStyle w:val="Heading3"/>
      </w:pPr>
      <w:proofErr w:type="spellStart"/>
      <w:r w:rsidRPr="00205762">
        <w:t>Centor</w:t>
      </w:r>
      <w:proofErr w:type="spellEnd"/>
      <w:r w:rsidRPr="00205762">
        <w:t xml:space="preserve"> criteria</w:t>
      </w:r>
    </w:p>
    <w:p w14:paraId="54306B3B" w14:textId="77777777" w:rsidR="004D3160" w:rsidRDefault="004D3160" w:rsidP="004D3160">
      <w:pPr>
        <w:pStyle w:val="ListParagraph"/>
        <w:numPr>
          <w:ilvl w:val="0"/>
          <w:numId w:val="24"/>
        </w:numPr>
        <w:jc w:val="both"/>
      </w:pPr>
      <w:r>
        <w:t>Tonsillar exudate</w:t>
      </w:r>
    </w:p>
    <w:p w14:paraId="608E9FEE" w14:textId="77777777" w:rsidR="004D3160" w:rsidRDefault="004D3160" w:rsidP="004D3160">
      <w:pPr>
        <w:pStyle w:val="ListParagraph"/>
        <w:numPr>
          <w:ilvl w:val="0"/>
          <w:numId w:val="24"/>
        </w:numPr>
        <w:jc w:val="both"/>
      </w:pPr>
      <w:r>
        <w:t>Tender anterior cervical lymphadenopathy or lymphadenitis</w:t>
      </w:r>
    </w:p>
    <w:p w14:paraId="5A9A6412" w14:textId="77777777" w:rsidR="004D3160" w:rsidRDefault="004D3160" w:rsidP="004D3160">
      <w:pPr>
        <w:pStyle w:val="ListParagraph"/>
        <w:numPr>
          <w:ilvl w:val="0"/>
          <w:numId w:val="24"/>
        </w:numPr>
        <w:jc w:val="both"/>
      </w:pPr>
      <w:r>
        <w:t>History of fever (over 38°C)</w:t>
      </w:r>
    </w:p>
    <w:p w14:paraId="6FFDF4FB" w14:textId="77777777" w:rsidR="004D3160" w:rsidRDefault="004D3160" w:rsidP="004D3160">
      <w:pPr>
        <w:pStyle w:val="ListParagraph"/>
        <w:numPr>
          <w:ilvl w:val="0"/>
          <w:numId w:val="24"/>
        </w:numPr>
        <w:jc w:val="both"/>
      </w:pPr>
      <w:r>
        <w:t>Absence of cough</w:t>
      </w:r>
    </w:p>
    <w:p w14:paraId="7CAC3758" w14:textId="77777777" w:rsidR="004D3160" w:rsidRDefault="004D3160" w:rsidP="00216AFA">
      <w:r>
        <w:t xml:space="preserve">Each of the </w:t>
      </w:r>
      <w:proofErr w:type="spellStart"/>
      <w:r>
        <w:t>Centor</w:t>
      </w:r>
      <w:proofErr w:type="spellEnd"/>
      <w:r>
        <w:t xml:space="preserve"> criteria score 1 point (maximum score of 4). </w:t>
      </w:r>
    </w:p>
    <w:p w14:paraId="75D4160A" w14:textId="77777777" w:rsidR="004D3160" w:rsidRDefault="004D3160" w:rsidP="00216AFA">
      <w:r>
        <w:t xml:space="preserve">A score of 0, 1 or 2 is thought to be associated with a 3 to 17% likelihood of isolating streptococcus. </w:t>
      </w:r>
    </w:p>
    <w:p w14:paraId="15902934" w14:textId="7491E9C3" w:rsidR="004D3160" w:rsidRDefault="004D3160" w:rsidP="00216AFA">
      <w:r>
        <w:t>A score of 3 or 4 is thought to be associated with a 32 to 56% likelihood of isolating streptococcus.</w:t>
      </w:r>
    </w:p>
    <w:p w14:paraId="3953EF11" w14:textId="77777777" w:rsidR="0062147E" w:rsidRPr="006F32AB" w:rsidRDefault="0062147E" w:rsidP="0062147E">
      <w:pPr>
        <w:pStyle w:val="Heading3"/>
      </w:pPr>
      <w:r w:rsidRPr="006F32AB">
        <w:t>Red flag signs for sore throat</w:t>
      </w:r>
    </w:p>
    <w:p w14:paraId="640744A0" w14:textId="77777777" w:rsidR="0062147E" w:rsidRPr="00D5574F" w:rsidRDefault="0062147E" w:rsidP="0062147E">
      <w:pPr>
        <w:pStyle w:val="ListParagraph"/>
        <w:numPr>
          <w:ilvl w:val="0"/>
          <w:numId w:val="35"/>
        </w:numPr>
        <w:spacing w:after="200"/>
        <w:jc w:val="both"/>
        <w:outlineLvl w:val="9"/>
        <w:rPr>
          <w:rFonts w:cs="Tahoma"/>
        </w:rPr>
      </w:pPr>
      <w:r w:rsidRPr="00D5574F">
        <w:rPr>
          <w:rFonts w:cs="Tahoma"/>
        </w:rPr>
        <w:t>Persistent fever</w:t>
      </w:r>
    </w:p>
    <w:p w14:paraId="05E0AC15" w14:textId="77777777" w:rsidR="0062147E" w:rsidRPr="00D5574F" w:rsidRDefault="0062147E" w:rsidP="0062147E">
      <w:pPr>
        <w:pStyle w:val="ListParagraph"/>
        <w:numPr>
          <w:ilvl w:val="0"/>
          <w:numId w:val="35"/>
        </w:numPr>
        <w:spacing w:after="200"/>
        <w:jc w:val="both"/>
        <w:outlineLvl w:val="9"/>
        <w:rPr>
          <w:rFonts w:cs="Tahoma"/>
        </w:rPr>
      </w:pPr>
      <w:r w:rsidRPr="00D5574F">
        <w:rPr>
          <w:rFonts w:cs="Tahoma"/>
        </w:rPr>
        <w:t>Failed antibiotic treatment</w:t>
      </w:r>
    </w:p>
    <w:p w14:paraId="17366212" w14:textId="77777777" w:rsidR="0062147E" w:rsidRPr="00D5574F" w:rsidRDefault="0062147E" w:rsidP="0062147E">
      <w:pPr>
        <w:pStyle w:val="ListParagraph"/>
        <w:numPr>
          <w:ilvl w:val="0"/>
          <w:numId w:val="35"/>
        </w:numPr>
        <w:spacing w:after="200"/>
        <w:jc w:val="both"/>
        <w:outlineLvl w:val="9"/>
        <w:rPr>
          <w:rFonts w:cs="Tahoma"/>
        </w:rPr>
      </w:pPr>
      <w:r w:rsidRPr="00D5574F">
        <w:rPr>
          <w:rFonts w:cs="Tahoma"/>
        </w:rPr>
        <w:t>Medication-induced agranulocytosis</w:t>
      </w:r>
    </w:p>
    <w:p w14:paraId="1C5D081C" w14:textId="77777777" w:rsidR="0062147E" w:rsidRPr="00D5574F" w:rsidRDefault="0062147E" w:rsidP="0062147E">
      <w:pPr>
        <w:pStyle w:val="ListParagraph"/>
        <w:numPr>
          <w:ilvl w:val="0"/>
          <w:numId w:val="35"/>
        </w:numPr>
        <w:spacing w:after="200"/>
        <w:jc w:val="both"/>
        <w:outlineLvl w:val="9"/>
        <w:rPr>
          <w:rFonts w:cs="Tahoma"/>
        </w:rPr>
      </w:pPr>
      <w:r w:rsidRPr="00D5574F">
        <w:rPr>
          <w:rFonts w:cs="Tahoma"/>
        </w:rPr>
        <w:t>Mouth drooling-consider epiglottis (don’t examine the throat)</w:t>
      </w:r>
    </w:p>
    <w:p w14:paraId="380CDD29" w14:textId="77777777" w:rsidR="0062147E" w:rsidRPr="00D5574F" w:rsidRDefault="0062147E" w:rsidP="0062147E">
      <w:pPr>
        <w:pStyle w:val="ListParagraph"/>
        <w:numPr>
          <w:ilvl w:val="0"/>
          <w:numId w:val="35"/>
        </w:numPr>
        <w:spacing w:after="200"/>
        <w:jc w:val="both"/>
        <w:outlineLvl w:val="9"/>
        <w:rPr>
          <w:rFonts w:cs="Tahoma"/>
        </w:rPr>
      </w:pPr>
      <w:r w:rsidRPr="00D5574F">
        <w:rPr>
          <w:rFonts w:cs="Tahoma"/>
        </w:rPr>
        <w:t>Sharp pain on swallowing (? Foreign object)</w:t>
      </w:r>
    </w:p>
    <w:p w14:paraId="608D3034" w14:textId="77777777" w:rsidR="0062147E" w:rsidRPr="00D5574F" w:rsidRDefault="0062147E" w:rsidP="0062147E">
      <w:pPr>
        <w:pStyle w:val="ListParagraph"/>
        <w:numPr>
          <w:ilvl w:val="0"/>
          <w:numId w:val="35"/>
        </w:numPr>
        <w:spacing w:after="200"/>
        <w:jc w:val="both"/>
        <w:outlineLvl w:val="9"/>
        <w:rPr>
          <w:rFonts w:cs="Tahoma"/>
        </w:rPr>
      </w:pPr>
      <w:r w:rsidRPr="00D5574F">
        <w:rPr>
          <w:rFonts w:cs="Tahoma"/>
        </w:rPr>
        <w:t>Marked swelling of quinsy</w:t>
      </w:r>
    </w:p>
    <w:p w14:paraId="1CC1DF18" w14:textId="6C784D8C" w:rsidR="0002468B" w:rsidRPr="0062147E" w:rsidRDefault="0062147E" w:rsidP="004D3160">
      <w:pPr>
        <w:pStyle w:val="ListParagraph"/>
        <w:numPr>
          <w:ilvl w:val="0"/>
          <w:numId w:val="35"/>
        </w:numPr>
        <w:spacing w:after="200"/>
        <w:jc w:val="both"/>
        <w:outlineLvl w:val="9"/>
        <w:rPr>
          <w:rFonts w:cs="Tahoma"/>
        </w:rPr>
      </w:pPr>
      <w:r w:rsidRPr="00D5574F">
        <w:rPr>
          <w:rFonts w:cs="Tahoma"/>
        </w:rPr>
        <w:t>Candidiasis-consider diabetics or immunosuppression.</w:t>
      </w:r>
    </w:p>
    <w:p w14:paraId="6FC03DF0" w14:textId="77777777" w:rsidR="0062147E" w:rsidRDefault="0062147E">
      <w:pPr>
        <w:spacing w:after="0"/>
        <w:outlineLvl w:val="9"/>
        <w:rPr>
          <w:b/>
          <w:sz w:val="24"/>
          <w:szCs w:val="22"/>
        </w:rPr>
      </w:pPr>
      <w:r>
        <w:rPr>
          <w:szCs w:val="22"/>
        </w:rPr>
        <w:br w:type="page"/>
      </w:r>
    </w:p>
    <w:p w14:paraId="25B26FDF" w14:textId="5E43F2A3" w:rsidR="00AC2BF3" w:rsidRDefault="00AC2BF3" w:rsidP="002A2856">
      <w:pPr>
        <w:pStyle w:val="Heading2"/>
        <w:rPr>
          <w:rFonts w:cs="Arial"/>
          <w:szCs w:val="22"/>
        </w:rPr>
      </w:pPr>
      <w:r>
        <w:rPr>
          <w:rFonts w:cs="Arial"/>
          <w:szCs w:val="22"/>
        </w:rPr>
        <w:lastRenderedPageBreak/>
        <w:t>Investigations</w:t>
      </w:r>
    </w:p>
    <w:p w14:paraId="1984AF74" w14:textId="54C836C5" w:rsidR="00AC2BF3" w:rsidRDefault="00AC2BF3" w:rsidP="00AC2BF3">
      <w:r>
        <w:t xml:space="preserve">No investigations are required, except for children aged 3 years or older who have a </w:t>
      </w:r>
      <w:proofErr w:type="spellStart"/>
      <w:r>
        <w:t>Centor</w:t>
      </w:r>
      <w:proofErr w:type="spellEnd"/>
      <w:r>
        <w:t xml:space="preserve"> score of 3 or 4. These children should have a throat swab for culture to confirm the presence of group A strep pharyngitis. </w:t>
      </w:r>
    </w:p>
    <w:p w14:paraId="614F17C3" w14:textId="66703F05" w:rsidR="00AC2BF3" w:rsidRDefault="00AC2BF3" w:rsidP="00AC2BF3">
      <w:pPr>
        <w:jc w:val="both"/>
      </w:pPr>
      <w:r>
        <w:t>Testing for group A strep pharyngitis is not routinely indicated for children younger than 3 years of age and adults because acute rheumatic fever is very rare in those age groups.</w:t>
      </w:r>
    </w:p>
    <w:p w14:paraId="5A329370" w14:textId="1C5156B7" w:rsidR="00AC2BF3" w:rsidRPr="00AC2BF3" w:rsidRDefault="00AC2BF3" w:rsidP="00AC2BF3">
      <w:r>
        <w:t>Children who have a throat swab taken should be given a follow up appointment to get the results one week later. They should be given antibiotics in the meantime as described below.</w:t>
      </w:r>
    </w:p>
    <w:p w14:paraId="5B32514D" w14:textId="72CD20DC" w:rsidR="00F03F25" w:rsidRDefault="001203AE" w:rsidP="002A2856">
      <w:pPr>
        <w:pStyle w:val="Heading2"/>
        <w:rPr>
          <w:rFonts w:cs="Arial"/>
          <w:szCs w:val="22"/>
        </w:rPr>
      </w:pPr>
      <w:r w:rsidRPr="003C0800">
        <w:rPr>
          <w:rFonts w:cs="Arial"/>
          <w:szCs w:val="22"/>
        </w:rPr>
        <w:t>Management</w:t>
      </w:r>
      <w:r>
        <w:rPr>
          <w:rFonts w:cs="Arial"/>
          <w:szCs w:val="22"/>
        </w:rPr>
        <w:t xml:space="preserve"> </w:t>
      </w:r>
    </w:p>
    <w:p w14:paraId="7BC5C02C" w14:textId="77777777" w:rsidR="004D3160" w:rsidRDefault="004D3160" w:rsidP="004D3160">
      <w:pPr>
        <w:jc w:val="both"/>
      </w:pPr>
      <w:r>
        <w:t xml:space="preserve">Pharyngitis is usually self-limiting. Symptoms can last up to a week and most people will get better in a week regardless of the </w:t>
      </w:r>
      <w:proofErr w:type="spellStart"/>
      <w:r>
        <w:t>aetiology</w:t>
      </w:r>
      <w:proofErr w:type="spellEnd"/>
      <w:r>
        <w:t xml:space="preserve">. </w:t>
      </w:r>
    </w:p>
    <w:p w14:paraId="6C6A60F3" w14:textId="77777777" w:rsidR="004D3160" w:rsidRDefault="004D3160" w:rsidP="004D3160">
      <w:pPr>
        <w:pStyle w:val="ListParagraph"/>
        <w:numPr>
          <w:ilvl w:val="0"/>
          <w:numId w:val="31"/>
        </w:numPr>
        <w:jc w:val="both"/>
      </w:pPr>
      <w:r>
        <w:t>Rest</w:t>
      </w:r>
    </w:p>
    <w:p w14:paraId="48164BFA" w14:textId="626B32A3" w:rsidR="004D3160" w:rsidRDefault="004D3160" w:rsidP="004D3160">
      <w:pPr>
        <w:pStyle w:val="ListParagraph"/>
        <w:numPr>
          <w:ilvl w:val="0"/>
          <w:numId w:val="31"/>
        </w:numPr>
        <w:jc w:val="both"/>
      </w:pPr>
      <w:r>
        <w:t>Analgesics: paracetamol; adults 1</w:t>
      </w:r>
      <w:r w:rsidR="00AC2BF3">
        <w:t xml:space="preserve"> </w:t>
      </w:r>
      <w:r>
        <w:t>g 6-8 hourly; 10-15</w:t>
      </w:r>
      <w:r w:rsidR="00AC2BF3">
        <w:t xml:space="preserve"> </w:t>
      </w:r>
      <w:r>
        <w:t>mg/kg for children</w:t>
      </w:r>
    </w:p>
    <w:p w14:paraId="092FBDF1" w14:textId="6D358E0E" w:rsidR="00AC2BF3" w:rsidRDefault="004D3160" w:rsidP="00AC2BF3">
      <w:pPr>
        <w:pStyle w:val="ListParagraph"/>
        <w:numPr>
          <w:ilvl w:val="0"/>
          <w:numId w:val="31"/>
        </w:numPr>
        <w:jc w:val="both"/>
      </w:pPr>
      <w:r>
        <w:t>Steam inhalations may hel</w:t>
      </w:r>
      <w:r w:rsidR="00AC2BF3">
        <w:t>p</w:t>
      </w:r>
    </w:p>
    <w:p w14:paraId="7A99FC21" w14:textId="396E69CB" w:rsidR="004D3160" w:rsidRPr="00205762" w:rsidRDefault="004D3160" w:rsidP="004D3160">
      <w:pPr>
        <w:pStyle w:val="ListParagraph"/>
        <w:numPr>
          <w:ilvl w:val="0"/>
          <w:numId w:val="31"/>
        </w:numPr>
        <w:jc w:val="both"/>
      </w:pPr>
      <w:r>
        <w:t xml:space="preserve">If likely to be strep pneumonia </w:t>
      </w:r>
      <w:r w:rsidR="00AC2BF3">
        <w:t>(</w:t>
      </w:r>
      <w:proofErr w:type="spellStart"/>
      <w:r w:rsidR="00AC2BF3">
        <w:t>Centor</w:t>
      </w:r>
      <w:proofErr w:type="spellEnd"/>
      <w:r w:rsidR="00AC2BF3">
        <w:t xml:space="preserve"> score 3 or 4) </w:t>
      </w:r>
      <w:r>
        <w:t>or symptoms lasting more than 2 weeks, antibiotics can be used</w:t>
      </w:r>
      <w:r w:rsidR="00AC2BF3">
        <w:t>:</w:t>
      </w:r>
    </w:p>
    <w:tbl>
      <w:tblPr>
        <w:tblStyle w:val="TableGrid"/>
        <w:tblW w:w="0" w:type="auto"/>
        <w:tblLook w:val="04A0" w:firstRow="1" w:lastRow="0" w:firstColumn="1" w:lastColumn="0" w:noHBand="0" w:noVBand="1"/>
      </w:tblPr>
      <w:tblGrid>
        <w:gridCol w:w="2547"/>
        <w:gridCol w:w="2551"/>
        <w:gridCol w:w="3532"/>
      </w:tblGrid>
      <w:tr w:rsidR="004D3160" w14:paraId="5CB6F9A5" w14:textId="77777777" w:rsidTr="004D3160">
        <w:tc>
          <w:tcPr>
            <w:tcW w:w="2547" w:type="dxa"/>
            <w:tcBorders>
              <w:top w:val="single" w:sz="4" w:space="0" w:color="auto"/>
              <w:left w:val="single" w:sz="4" w:space="0" w:color="auto"/>
              <w:bottom w:val="single" w:sz="4" w:space="0" w:color="auto"/>
              <w:right w:val="single" w:sz="4" w:space="0" w:color="auto"/>
            </w:tcBorders>
            <w:hideMark/>
          </w:tcPr>
          <w:p w14:paraId="006A75F4" w14:textId="200CACD6" w:rsidR="004D3160" w:rsidRDefault="004D3160" w:rsidP="009D45A5">
            <w:pPr>
              <w:jc w:val="both"/>
              <w:rPr>
                <w:b/>
                <w:szCs w:val="22"/>
              </w:rPr>
            </w:pPr>
            <w:r>
              <w:rPr>
                <w:b/>
              </w:rPr>
              <w:t xml:space="preserve">Antibiotics </w:t>
            </w:r>
          </w:p>
        </w:tc>
        <w:tc>
          <w:tcPr>
            <w:tcW w:w="2551" w:type="dxa"/>
            <w:tcBorders>
              <w:top w:val="single" w:sz="4" w:space="0" w:color="auto"/>
              <w:left w:val="single" w:sz="4" w:space="0" w:color="auto"/>
              <w:bottom w:val="single" w:sz="4" w:space="0" w:color="auto"/>
              <w:right w:val="single" w:sz="4" w:space="0" w:color="auto"/>
            </w:tcBorders>
          </w:tcPr>
          <w:p w14:paraId="0F3BBDC7" w14:textId="77777777" w:rsidR="004D3160" w:rsidRDefault="004D3160" w:rsidP="009D45A5">
            <w:pPr>
              <w:jc w:val="both"/>
              <w:rPr>
                <w:b/>
              </w:rPr>
            </w:pPr>
          </w:p>
        </w:tc>
        <w:tc>
          <w:tcPr>
            <w:tcW w:w="3532" w:type="dxa"/>
            <w:tcBorders>
              <w:top w:val="single" w:sz="4" w:space="0" w:color="auto"/>
              <w:left w:val="single" w:sz="4" w:space="0" w:color="auto"/>
              <w:bottom w:val="single" w:sz="4" w:space="0" w:color="auto"/>
              <w:right w:val="single" w:sz="4" w:space="0" w:color="auto"/>
            </w:tcBorders>
          </w:tcPr>
          <w:p w14:paraId="01EC2E40" w14:textId="77777777" w:rsidR="004D3160" w:rsidRDefault="004D3160" w:rsidP="009D45A5">
            <w:pPr>
              <w:jc w:val="both"/>
              <w:rPr>
                <w:b/>
              </w:rPr>
            </w:pPr>
          </w:p>
        </w:tc>
      </w:tr>
      <w:tr w:rsidR="004D3160" w14:paraId="06A076B1" w14:textId="77777777" w:rsidTr="004D3160">
        <w:tc>
          <w:tcPr>
            <w:tcW w:w="2547" w:type="dxa"/>
            <w:tcBorders>
              <w:top w:val="single" w:sz="4" w:space="0" w:color="auto"/>
              <w:left w:val="single" w:sz="4" w:space="0" w:color="auto"/>
              <w:bottom w:val="single" w:sz="4" w:space="0" w:color="auto"/>
              <w:right w:val="single" w:sz="4" w:space="0" w:color="auto"/>
            </w:tcBorders>
            <w:hideMark/>
          </w:tcPr>
          <w:p w14:paraId="72940D77" w14:textId="77777777" w:rsidR="004D3160" w:rsidRDefault="004D3160" w:rsidP="009D45A5">
            <w:pPr>
              <w:jc w:val="both"/>
            </w:pPr>
            <w:r>
              <w:t>1</w:t>
            </w:r>
            <w:r>
              <w:rPr>
                <w:vertAlign w:val="superscript"/>
              </w:rPr>
              <w:t>st</w:t>
            </w:r>
            <w:r>
              <w:t xml:space="preserve"> choice</w:t>
            </w:r>
          </w:p>
        </w:tc>
        <w:tc>
          <w:tcPr>
            <w:tcW w:w="2551" w:type="dxa"/>
            <w:tcBorders>
              <w:top w:val="single" w:sz="4" w:space="0" w:color="auto"/>
              <w:left w:val="single" w:sz="4" w:space="0" w:color="auto"/>
              <w:bottom w:val="single" w:sz="4" w:space="0" w:color="auto"/>
              <w:right w:val="single" w:sz="4" w:space="0" w:color="auto"/>
            </w:tcBorders>
            <w:hideMark/>
          </w:tcPr>
          <w:p w14:paraId="34D57136" w14:textId="77777777" w:rsidR="004D3160" w:rsidRDefault="004D3160" w:rsidP="009D45A5">
            <w:pPr>
              <w:jc w:val="both"/>
            </w:pPr>
            <w:proofErr w:type="spellStart"/>
            <w:r>
              <w:t>Phenoxymethypenicillin</w:t>
            </w:r>
            <w:proofErr w:type="spellEnd"/>
            <w:r>
              <w:t xml:space="preserve"> (Penicillin V)</w:t>
            </w:r>
          </w:p>
        </w:tc>
        <w:tc>
          <w:tcPr>
            <w:tcW w:w="3532" w:type="dxa"/>
            <w:tcBorders>
              <w:top w:val="single" w:sz="4" w:space="0" w:color="auto"/>
              <w:left w:val="single" w:sz="4" w:space="0" w:color="auto"/>
              <w:bottom w:val="single" w:sz="4" w:space="0" w:color="auto"/>
              <w:right w:val="single" w:sz="4" w:space="0" w:color="auto"/>
            </w:tcBorders>
            <w:hideMark/>
          </w:tcPr>
          <w:p w14:paraId="7B64FC81" w14:textId="27C98B6C" w:rsidR="004D3160" w:rsidRPr="00F40B02" w:rsidRDefault="004D3160" w:rsidP="009D45A5">
            <w:pPr>
              <w:jc w:val="both"/>
            </w:pPr>
            <w:r>
              <w:t xml:space="preserve">500 mg </w:t>
            </w:r>
            <w:proofErr w:type="spellStart"/>
            <w:r>
              <w:t>qds</w:t>
            </w:r>
            <w:proofErr w:type="spellEnd"/>
            <w:r>
              <w:t xml:space="preserve"> or 1 g QDS</w:t>
            </w:r>
            <w:r w:rsidRPr="00F40B02">
              <w:t xml:space="preserve"> for 10 days </w:t>
            </w:r>
          </w:p>
          <w:p w14:paraId="3720F695" w14:textId="7396162C" w:rsidR="004D3160" w:rsidRDefault="004D3160" w:rsidP="004D3160">
            <w:pPr>
              <w:jc w:val="both"/>
            </w:pPr>
            <w:r>
              <w:t>Children: 50-75 mg/kg/day QDS for 10 days</w:t>
            </w:r>
          </w:p>
        </w:tc>
      </w:tr>
      <w:tr w:rsidR="004D3160" w14:paraId="46FEBADD" w14:textId="77777777" w:rsidTr="004D3160">
        <w:tc>
          <w:tcPr>
            <w:tcW w:w="2547" w:type="dxa"/>
            <w:tcBorders>
              <w:top w:val="single" w:sz="4" w:space="0" w:color="auto"/>
              <w:left w:val="single" w:sz="4" w:space="0" w:color="auto"/>
              <w:bottom w:val="single" w:sz="4" w:space="0" w:color="auto"/>
              <w:right w:val="single" w:sz="4" w:space="0" w:color="auto"/>
            </w:tcBorders>
            <w:hideMark/>
          </w:tcPr>
          <w:p w14:paraId="54F61F7E" w14:textId="77777777" w:rsidR="004D3160" w:rsidRDefault="004D3160" w:rsidP="009D45A5">
            <w:pPr>
              <w:jc w:val="both"/>
              <w:rPr>
                <w:i/>
              </w:rPr>
            </w:pPr>
            <w:r>
              <w:rPr>
                <w:i/>
              </w:rPr>
              <w:t>Alternative first choices for penicillin allergy or intolerance</w:t>
            </w:r>
          </w:p>
        </w:tc>
        <w:tc>
          <w:tcPr>
            <w:tcW w:w="2551" w:type="dxa"/>
            <w:tcBorders>
              <w:top w:val="single" w:sz="4" w:space="0" w:color="auto"/>
              <w:left w:val="single" w:sz="4" w:space="0" w:color="auto"/>
              <w:bottom w:val="single" w:sz="4" w:space="0" w:color="auto"/>
              <w:right w:val="single" w:sz="4" w:space="0" w:color="auto"/>
            </w:tcBorders>
          </w:tcPr>
          <w:p w14:paraId="012311A6" w14:textId="77777777" w:rsidR="004D3160" w:rsidRDefault="004D3160" w:rsidP="009D45A5">
            <w:pPr>
              <w:jc w:val="both"/>
            </w:pPr>
            <w:r>
              <w:t xml:space="preserve">Erythromycin </w:t>
            </w:r>
          </w:p>
          <w:p w14:paraId="3968BDDC" w14:textId="77777777" w:rsidR="004D3160" w:rsidRDefault="004D3160" w:rsidP="009D45A5">
            <w:pPr>
              <w:jc w:val="both"/>
            </w:pPr>
          </w:p>
        </w:tc>
        <w:tc>
          <w:tcPr>
            <w:tcW w:w="3532" w:type="dxa"/>
            <w:tcBorders>
              <w:top w:val="single" w:sz="4" w:space="0" w:color="auto"/>
              <w:left w:val="single" w:sz="4" w:space="0" w:color="auto"/>
              <w:bottom w:val="single" w:sz="4" w:space="0" w:color="auto"/>
              <w:right w:val="single" w:sz="4" w:space="0" w:color="auto"/>
            </w:tcBorders>
            <w:hideMark/>
          </w:tcPr>
          <w:p w14:paraId="02486F61" w14:textId="501460FF" w:rsidR="004D3160" w:rsidRDefault="004D3160" w:rsidP="009D45A5">
            <w:pPr>
              <w:jc w:val="both"/>
            </w:pPr>
            <w:r>
              <w:t xml:space="preserve">250 mg to 500 mg QDS or </w:t>
            </w:r>
          </w:p>
          <w:p w14:paraId="2FE57BA2" w14:textId="1F58028D" w:rsidR="004D3160" w:rsidRDefault="004D3160" w:rsidP="009D45A5">
            <w:pPr>
              <w:jc w:val="both"/>
            </w:pPr>
            <w:r>
              <w:t xml:space="preserve">500 mg to 1 g BD </w:t>
            </w:r>
          </w:p>
          <w:p w14:paraId="11C4D3D1" w14:textId="77777777" w:rsidR="004D3160" w:rsidRDefault="004D3160" w:rsidP="009D45A5">
            <w:pPr>
              <w:jc w:val="both"/>
            </w:pPr>
            <w:r>
              <w:t>for 5 days</w:t>
            </w:r>
          </w:p>
        </w:tc>
      </w:tr>
      <w:tr w:rsidR="007F0D51" w14:paraId="13510646" w14:textId="77777777" w:rsidTr="004D3160">
        <w:tc>
          <w:tcPr>
            <w:tcW w:w="2547" w:type="dxa"/>
            <w:tcBorders>
              <w:top w:val="single" w:sz="4" w:space="0" w:color="auto"/>
              <w:left w:val="single" w:sz="4" w:space="0" w:color="auto"/>
              <w:bottom w:val="single" w:sz="4" w:space="0" w:color="auto"/>
              <w:right w:val="single" w:sz="4" w:space="0" w:color="auto"/>
            </w:tcBorders>
          </w:tcPr>
          <w:p w14:paraId="1403E1ED" w14:textId="77777777" w:rsidR="007F0D51" w:rsidRDefault="007F0D51" w:rsidP="009D45A5">
            <w:pPr>
              <w:jc w:val="both"/>
              <w:rPr>
                <w:i/>
              </w:rPr>
            </w:pPr>
          </w:p>
        </w:tc>
        <w:tc>
          <w:tcPr>
            <w:tcW w:w="2551" w:type="dxa"/>
            <w:tcBorders>
              <w:top w:val="single" w:sz="4" w:space="0" w:color="auto"/>
              <w:left w:val="single" w:sz="4" w:space="0" w:color="auto"/>
              <w:bottom w:val="single" w:sz="4" w:space="0" w:color="auto"/>
              <w:right w:val="single" w:sz="4" w:space="0" w:color="auto"/>
            </w:tcBorders>
          </w:tcPr>
          <w:p w14:paraId="73FF0B33" w14:textId="295625D9" w:rsidR="007F0D51" w:rsidRDefault="007F0D51" w:rsidP="009D45A5">
            <w:pPr>
              <w:jc w:val="both"/>
            </w:pPr>
            <w:r>
              <w:t>Azithromycin</w:t>
            </w:r>
          </w:p>
        </w:tc>
        <w:tc>
          <w:tcPr>
            <w:tcW w:w="3532" w:type="dxa"/>
            <w:tcBorders>
              <w:top w:val="single" w:sz="4" w:space="0" w:color="auto"/>
              <w:left w:val="single" w:sz="4" w:space="0" w:color="auto"/>
              <w:bottom w:val="single" w:sz="4" w:space="0" w:color="auto"/>
              <w:right w:val="single" w:sz="4" w:space="0" w:color="auto"/>
            </w:tcBorders>
          </w:tcPr>
          <w:p w14:paraId="1A5D9605" w14:textId="103DE358" w:rsidR="007F0D51" w:rsidRDefault="007F0D51" w:rsidP="009D45A5">
            <w:pPr>
              <w:jc w:val="both"/>
            </w:pPr>
            <w:r>
              <w:t>10 mg/kg OD for 3 days</w:t>
            </w:r>
          </w:p>
        </w:tc>
      </w:tr>
    </w:tbl>
    <w:p w14:paraId="1DD5362F" w14:textId="77777777" w:rsidR="00AC2BF3" w:rsidRPr="00AC2BF3" w:rsidRDefault="00AC2BF3" w:rsidP="004D3160">
      <w:pPr>
        <w:jc w:val="both"/>
        <w:rPr>
          <w:szCs w:val="22"/>
        </w:rPr>
      </w:pPr>
    </w:p>
    <w:p w14:paraId="75254BD0" w14:textId="214F48F0" w:rsidR="004D3160" w:rsidRPr="00205762" w:rsidRDefault="004D3160" w:rsidP="004D3160">
      <w:pPr>
        <w:pStyle w:val="Heading3"/>
      </w:pPr>
      <w:r w:rsidRPr="00205762">
        <w:t>Complications</w:t>
      </w:r>
    </w:p>
    <w:p w14:paraId="32DA5B68" w14:textId="77777777" w:rsidR="004D3160" w:rsidRPr="00205762" w:rsidRDefault="004D3160" w:rsidP="00216AFA">
      <w:r w:rsidRPr="00205762">
        <w:t>Suppurative complications result from the spread of group A strep from the pharynx to adjacent structures. They can include:</w:t>
      </w:r>
    </w:p>
    <w:p w14:paraId="7DF16D88" w14:textId="05A9CDC5" w:rsidR="004D3160" w:rsidRPr="004D3160" w:rsidRDefault="004D3160" w:rsidP="00216AFA">
      <w:pPr>
        <w:pStyle w:val="ListParagraph"/>
        <w:numPr>
          <w:ilvl w:val="0"/>
          <w:numId w:val="36"/>
        </w:numPr>
      </w:pPr>
      <w:r w:rsidRPr="004D3160">
        <w:t>Peritonsillar abscess</w:t>
      </w:r>
    </w:p>
    <w:p w14:paraId="320408EC" w14:textId="7ECE29F1" w:rsidR="004D3160" w:rsidRPr="004D3160" w:rsidRDefault="004D3160" w:rsidP="00216AFA">
      <w:pPr>
        <w:pStyle w:val="ListParagraph"/>
        <w:numPr>
          <w:ilvl w:val="0"/>
          <w:numId w:val="36"/>
        </w:numPr>
      </w:pPr>
      <w:r w:rsidRPr="004D3160">
        <w:t>Retropharyngeal abscess</w:t>
      </w:r>
    </w:p>
    <w:p w14:paraId="5FD70BCA" w14:textId="20A940EA" w:rsidR="004D3160" w:rsidRPr="004D3160" w:rsidRDefault="004D3160" w:rsidP="00216AFA">
      <w:pPr>
        <w:pStyle w:val="ListParagraph"/>
        <w:numPr>
          <w:ilvl w:val="0"/>
          <w:numId w:val="36"/>
        </w:numPr>
      </w:pPr>
      <w:r w:rsidRPr="004D3160">
        <w:t>Cervical lymphadenitis</w:t>
      </w:r>
    </w:p>
    <w:p w14:paraId="57EC3E37" w14:textId="6FAB8D10" w:rsidR="004D3160" w:rsidRPr="004D3160" w:rsidRDefault="004D3160" w:rsidP="00216AFA">
      <w:pPr>
        <w:pStyle w:val="ListParagraph"/>
        <w:numPr>
          <w:ilvl w:val="0"/>
          <w:numId w:val="36"/>
        </w:numPr>
      </w:pPr>
      <w:r w:rsidRPr="004D3160">
        <w:t>Mastoiditis</w:t>
      </w:r>
    </w:p>
    <w:p w14:paraId="1D1BAB29" w14:textId="40F8C9C0" w:rsidR="004D3160" w:rsidRPr="004D3160" w:rsidRDefault="004D3160" w:rsidP="00216AFA">
      <w:pPr>
        <w:pStyle w:val="ListParagraph"/>
        <w:numPr>
          <w:ilvl w:val="0"/>
          <w:numId w:val="36"/>
        </w:numPr>
      </w:pPr>
      <w:r w:rsidRPr="004D3160">
        <w:t>Other focal infections or sepsis are even less common.</w:t>
      </w:r>
    </w:p>
    <w:p w14:paraId="4981FBF1" w14:textId="1097C3FC" w:rsidR="004D3160" w:rsidRDefault="004D3160" w:rsidP="00216AFA">
      <w:r w:rsidRPr="00205762">
        <w:t xml:space="preserve">Group A streptococcal pharyngitis is of special concern because its complications include streptococcal toxic shock syndrome, acute rheumatic fever (ARF), acute glomerulonephritis, and scarlet fever, as well as cutaneous infections. In addition, this </w:t>
      </w:r>
      <w:r w:rsidRPr="00205762">
        <w:lastRenderedPageBreak/>
        <w:t>pathogen is readily transmissible, especially in households, families, and other intimate groups.</w:t>
      </w:r>
    </w:p>
    <w:p w14:paraId="294665ED" w14:textId="66BE0B42" w:rsidR="002229D5" w:rsidRDefault="002229D5" w:rsidP="002229D5">
      <w:pPr>
        <w:pStyle w:val="Heading3"/>
      </w:pPr>
      <w:r>
        <w:t>Differential diagnoses</w:t>
      </w:r>
    </w:p>
    <w:p w14:paraId="5CCA13F8" w14:textId="676F86D4" w:rsidR="00FE7266" w:rsidRPr="00D5574F" w:rsidRDefault="00FE7266" w:rsidP="0062147E">
      <w:r w:rsidRPr="00D5574F">
        <w:rPr>
          <w:b/>
        </w:rPr>
        <w:t>Candida pharyngitis</w:t>
      </w:r>
      <w:r w:rsidRPr="00D5574F">
        <w:t xml:space="preserve">: Determine the underlying cause (HIV, DM, </w:t>
      </w:r>
      <w:r w:rsidR="003B04CC" w:rsidRPr="00D5574F">
        <w:t>corticosteroids including inhalers</w:t>
      </w:r>
      <w:r w:rsidR="003B04CC">
        <w:t>,</w:t>
      </w:r>
      <w:r w:rsidR="003B04CC" w:rsidRPr="00D5574F">
        <w:t xml:space="preserve"> </w:t>
      </w:r>
      <w:r w:rsidRPr="00D5574F">
        <w:t xml:space="preserve">overuse of </w:t>
      </w:r>
      <w:proofErr w:type="gramStart"/>
      <w:r w:rsidRPr="00D5574F">
        <w:t>broad spectrum</w:t>
      </w:r>
      <w:proofErr w:type="gramEnd"/>
      <w:r w:rsidRPr="00D5574F">
        <w:t xml:space="preserve"> antibiotics) and treat accordingly. Use Nystatin suspension to rinse and swallow </w:t>
      </w:r>
      <w:r w:rsidR="008F5218">
        <w:t>QDS</w:t>
      </w:r>
      <w:r w:rsidRPr="00D5574F">
        <w:t xml:space="preserve"> 6hrly for 7 to 14</w:t>
      </w:r>
      <w:r w:rsidR="008F5218">
        <w:t xml:space="preserve"> </w:t>
      </w:r>
      <w:r w:rsidRPr="00D5574F">
        <w:t>days.</w:t>
      </w:r>
    </w:p>
    <w:p w14:paraId="4F6D0130" w14:textId="77777777" w:rsidR="00FE7266" w:rsidRPr="00D5574F" w:rsidRDefault="00FE7266" w:rsidP="0062147E">
      <w:r w:rsidRPr="00D5574F">
        <w:rPr>
          <w:b/>
        </w:rPr>
        <w:t>Diphtheria</w:t>
      </w:r>
      <w:r w:rsidRPr="00D5574F">
        <w:t xml:space="preserve">: Due to </w:t>
      </w:r>
      <w:r w:rsidRPr="00D5574F">
        <w:rPr>
          <w:i/>
        </w:rPr>
        <w:t>Corynebacterium diphtheria</w:t>
      </w:r>
      <w:r w:rsidRPr="00D5574F">
        <w:t xml:space="preserve"> always fatal in non-immunized people.</w:t>
      </w:r>
    </w:p>
    <w:p w14:paraId="23D35E17" w14:textId="596BB271" w:rsidR="00FE7266" w:rsidRPr="00D5574F" w:rsidRDefault="00FE7266" w:rsidP="00216AFA">
      <w:pPr>
        <w:pStyle w:val="ListParagraph"/>
        <w:numPr>
          <w:ilvl w:val="0"/>
          <w:numId w:val="37"/>
        </w:numPr>
      </w:pPr>
      <w:r w:rsidRPr="00D5574F">
        <w:t>Give antitoxins, penicillin or erythromycin 500</w:t>
      </w:r>
      <w:r w:rsidR="008F5218">
        <w:t xml:space="preserve"> </w:t>
      </w:r>
      <w:r w:rsidRPr="00D5574F">
        <w:t xml:space="preserve">mg </w:t>
      </w:r>
      <w:r w:rsidR="008F5218">
        <w:t>QDS</w:t>
      </w:r>
      <w:r w:rsidRPr="00D5574F">
        <w:t xml:space="preserve"> x 10/7.</w:t>
      </w:r>
    </w:p>
    <w:p w14:paraId="7ECD4F0D" w14:textId="77777777" w:rsidR="00FE7266" w:rsidRPr="00D5574F" w:rsidRDefault="00FE7266" w:rsidP="00216AFA">
      <w:pPr>
        <w:pStyle w:val="ListParagraph"/>
        <w:numPr>
          <w:ilvl w:val="0"/>
          <w:numId w:val="37"/>
        </w:numPr>
      </w:pPr>
      <w:r w:rsidRPr="00D5574F">
        <w:t>Isolate patient.</w:t>
      </w:r>
    </w:p>
    <w:p w14:paraId="255E967E" w14:textId="031E4820" w:rsidR="00FE7266" w:rsidRDefault="00FE7266" w:rsidP="0062147E">
      <w:r w:rsidRPr="00D5574F">
        <w:rPr>
          <w:b/>
        </w:rPr>
        <w:t xml:space="preserve">Acute epiglottitis: </w:t>
      </w:r>
      <w:r w:rsidRPr="00D5574F">
        <w:t>In children, it is a medical emergency. Child usually holds head still, leaning forward and drooling saliva. Admit in the ward and treat with parenteral antibiotics. DO NOT ATTEMPT TO EXAMINE THE THROAT AS THE CHILD MAY GO INTO LARYNGOSPASM</w:t>
      </w:r>
      <w:r>
        <w:t>.</w:t>
      </w:r>
    </w:p>
    <w:p w14:paraId="0E92EE6B" w14:textId="77777777" w:rsidR="00F03F25" w:rsidRPr="003C0800" w:rsidRDefault="00F03F25" w:rsidP="00F03F25">
      <w:pPr>
        <w:pStyle w:val="Heading2"/>
        <w:rPr>
          <w:rFonts w:cs="Arial"/>
          <w:szCs w:val="22"/>
        </w:rPr>
      </w:pPr>
      <w:r w:rsidRPr="003C0800">
        <w:rPr>
          <w:rFonts w:cs="Arial"/>
          <w:szCs w:val="22"/>
        </w:rPr>
        <w:t>Key Issues for Nursing care</w:t>
      </w:r>
    </w:p>
    <w:p w14:paraId="650A85BF" w14:textId="0DCF01F9" w:rsidR="00AC2BF3" w:rsidRDefault="00AC2BF3" w:rsidP="0062147E">
      <w:pPr>
        <w:rPr>
          <w:szCs w:val="22"/>
        </w:rPr>
      </w:pPr>
      <w:r w:rsidRPr="00205762">
        <w:rPr>
          <w:szCs w:val="22"/>
        </w:rPr>
        <w:t>Good hand hygiene and respiratory etiquette can reduce the spread of all types of group A streptococcal infection and should be advocated to patients. Treating an infected person with an antibiotic for 24 hours or longer generally eliminates their ability to transmit the bacteria.</w:t>
      </w:r>
      <w:r>
        <w:rPr>
          <w:szCs w:val="22"/>
        </w:rPr>
        <w:t xml:space="preserve"> </w:t>
      </w:r>
    </w:p>
    <w:p w14:paraId="7D6DF528" w14:textId="77777777" w:rsidR="00E163B0" w:rsidRDefault="00E163B0">
      <w:pPr>
        <w:spacing w:after="0"/>
        <w:outlineLvl w:val="9"/>
        <w:rPr>
          <w:b/>
          <w:sz w:val="24"/>
          <w:szCs w:val="22"/>
        </w:rPr>
      </w:pPr>
      <w:r>
        <w:rPr>
          <w:szCs w:val="22"/>
        </w:rPr>
        <w:br w:type="page"/>
      </w:r>
    </w:p>
    <w:p w14:paraId="36FDE110" w14:textId="1E7158F2" w:rsidR="00F03F25" w:rsidRPr="003C0800" w:rsidRDefault="00F03F25" w:rsidP="00F03F25">
      <w:pPr>
        <w:pStyle w:val="Heading2"/>
        <w:rPr>
          <w:rFonts w:cs="Arial"/>
          <w:szCs w:val="22"/>
        </w:rPr>
      </w:pPr>
      <w:r>
        <w:rPr>
          <w:rFonts w:cs="Arial"/>
          <w:szCs w:val="22"/>
        </w:rPr>
        <w:lastRenderedPageBreak/>
        <w:t>References</w:t>
      </w:r>
    </w:p>
    <w:p w14:paraId="2EA09AC8" w14:textId="172A6B37" w:rsidR="00692010" w:rsidRPr="00E163B0" w:rsidRDefault="00692010" w:rsidP="00692010">
      <w:pPr>
        <w:rPr>
          <w:sz w:val="20"/>
          <w:szCs w:val="20"/>
        </w:rPr>
      </w:pPr>
      <w:r w:rsidRPr="00E163B0">
        <w:rPr>
          <w:sz w:val="20"/>
          <w:szCs w:val="20"/>
        </w:rPr>
        <w:t xml:space="preserve">Acute otitis media. Retrieved </w:t>
      </w:r>
      <w:r w:rsidR="00EF715A">
        <w:rPr>
          <w:sz w:val="20"/>
          <w:szCs w:val="20"/>
        </w:rPr>
        <w:t xml:space="preserve">from </w:t>
      </w:r>
      <w:hyperlink r:id="rId7" w:anchor="otitis-media-with-effusion-ome" w:history="1">
        <w:r w:rsidR="00EF715A" w:rsidRPr="00AE7BB0">
          <w:rPr>
            <w:rStyle w:val="Hyperlink"/>
            <w:sz w:val="20"/>
            <w:szCs w:val="20"/>
          </w:rPr>
          <w:t>https://www.rch.org.au/clinicalguide/guideline_index/acute_otitis_media/#otitis-media-with-effusion-ome</w:t>
        </w:r>
      </w:hyperlink>
      <w:r w:rsidR="00EF715A">
        <w:rPr>
          <w:sz w:val="20"/>
          <w:szCs w:val="20"/>
        </w:rPr>
        <w:t xml:space="preserve"> </w:t>
      </w:r>
      <w:r w:rsidRPr="00E163B0">
        <w:rPr>
          <w:sz w:val="20"/>
          <w:szCs w:val="20"/>
        </w:rPr>
        <w:t xml:space="preserve"> on 25th February, 2019</w:t>
      </w:r>
    </w:p>
    <w:p w14:paraId="625EB49C" w14:textId="51EE7E77" w:rsidR="00692010" w:rsidRPr="00E163B0" w:rsidRDefault="00692010" w:rsidP="00692010">
      <w:pPr>
        <w:rPr>
          <w:sz w:val="20"/>
          <w:szCs w:val="20"/>
        </w:rPr>
      </w:pPr>
      <w:proofErr w:type="spellStart"/>
      <w:r w:rsidRPr="00E163B0">
        <w:rPr>
          <w:sz w:val="20"/>
          <w:szCs w:val="20"/>
        </w:rPr>
        <w:t>Carillo</w:t>
      </w:r>
      <w:proofErr w:type="spellEnd"/>
      <w:r w:rsidRPr="00E163B0">
        <w:rPr>
          <w:sz w:val="20"/>
          <w:szCs w:val="20"/>
        </w:rPr>
        <w:t>-Marquez MA (2017). Bacterial Pharyngitis. Medscape. Retrieved from</w:t>
      </w:r>
      <w:r w:rsidR="005C4574">
        <w:rPr>
          <w:sz w:val="20"/>
          <w:szCs w:val="20"/>
        </w:rPr>
        <w:t xml:space="preserve"> </w:t>
      </w:r>
      <w:hyperlink r:id="rId8" w:history="1">
        <w:r w:rsidR="005C4574" w:rsidRPr="008A7967">
          <w:rPr>
            <w:rStyle w:val="Hyperlink"/>
            <w:sz w:val="20"/>
            <w:szCs w:val="20"/>
          </w:rPr>
          <w:t>https://emedicine.medscape.com/article/225243-overview</w:t>
        </w:r>
      </w:hyperlink>
    </w:p>
    <w:p w14:paraId="6643A939" w14:textId="77777777" w:rsidR="00692010" w:rsidRPr="00E163B0" w:rsidRDefault="00692010" w:rsidP="00692010">
      <w:pPr>
        <w:rPr>
          <w:sz w:val="20"/>
          <w:szCs w:val="20"/>
        </w:rPr>
      </w:pPr>
      <w:proofErr w:type="spellStart"/>
      <w:r w:rsidRPr="00E163B0">
        <w:rPr>
          <w:sz w:val="20"/>
          <w:szCs w:val="20"/>
        </w:rPr>
        <w:t>Colledge</w:t>
      </w:r>
      <w:proofErr w:type="spellEnd"/>
      <w:r w:rsidRPr="00E163B0">
        <w:rPr>
          <w:sz w:val="20"/>
          <w:szCs w:val="20"/>
        </w:rPr>
        <w:t>, Nicki R., Brian R. Walker, Stuart Ralston, and Stanley Davidson. 2010. Davidson's principles and practice of medicine. Edinburgh: Churchill Livingstone/Elsevier.</w:t>
      </w:r>
    </w:p>
    <w:p w14:paraId="6007BA7D" w14:textId="3C9469A1" w:rsidR="00692010" w:rsidRPr="00E163B0" w:rsidRDefault="00692010" w:rsidP="00692010">
      <w:pPr>
        <w:rPr>
          <w:sz w:val="20"/>
          <w:szCs w:val="20"/>
        </w:rPr>
      </w:pPr>
      <w:proofErr w:type="spellStart"/>
      <w:r w:rsidRPr="00E163B0">
        <w:rPr>
          <w:sz w:val="20"/>
          <w:szCs w:val="20"/>
        </w:rPr>
        <w:t>Kliegman</w:t>
      </w:r>
      <w:proofErr w:type="spellEnd"/>
      <w:r w:rsidRPr="00E163B0">
        <w:rPr>
          <w:sz w:val="20"/>
          <w:szCs w:val="20"/>
        </w:rPr>
        <w:t>, Robert., et al. Nelson Textbook of Pediatrics. Edition 20. Phi</w:t>
      </w:r>
      <w:r w:rsidR="005C4574">
        <w:rPr>
          <w:sz w:val="20"/>
          <w:szCs w:val="20"/>
        </w:rPr>
        <w:t>l</w:t>
      </w:r>
      <w:r w:rsidRPr="00E163B0">
        <w:rPr>
          <w:sz w:val="20"/>
          <w:szCs w:val="20"/>
        </w:rPr>
        <w:t>adelphia, PA: Elsevier, 2016.</w:t>
      </w:r>
    </w:p>
    <w:p w14:paraId="238A27C7" w14:textId="29B328F8" w:rsidR="00692010" w:rsidRPr="00E163B0" w:rsidRDefault="00692010" w:rsidP="00692010">
      <w:pPr>
        <w:rPr>
          <w:sz w:val="20"/>
          <w:szCs w:val="20"/>
        </w:rPr>
      </w:pPr>
      <w:r w:rsidRPr="00E163B0">
        <w:rPr>
          <w:sz w:val="20"/>
          <w:szCs w:val="20"/>
        </w:rPr>
        <w:t xml:space="preserve">Management of acute respiratory diseases in the pediatric population. The role of oral corticosteroids. Italian Journal of Pediatrics 43(1). December 2017. Retrieved from </w:t>
      </w:r>
      <w:hyperlink r:id="rId9" w:history="1">
        <w:r w:rsidR="00EF715A" w:rsidRPr="00AE7BB0">
          <w:rPr>
            <w:rStyle w:val="Hyperlink"/>
            <w:sz w:val="20"/>
            <w:szCs w:val="20"/>
          </w:rPr>
          <w:t>https://www.researchgate.net/figure/Westley-croup-score_tbl7_315597265</w:t>
        </w:r>
      </w:hyperlink>
      <w:r w:rsidR="00EF715A">
        <w:rPr>
          <w:sz w:val="20"/>
          <w:szCs w:val="20"/>
        </w:rPr>
        <w:t xml:space="preserve"> </w:t>
      </w:r>
      <w:r w:rsidRPr="00E163B0">
        <w:rPr>
          <w:sz w:val="20"/>
          <w:szCs w:val="20"/>
        </w:rPr>
        <w:t>on 25th February 2017.</w:t>
      </w:r>
    </w:p>
    <w:p w14:paraId="0624B305" w14:textId="4CD702BB" w:rsidR="00692010" w:rsidRPr="00E163B0" w:rsidRDefault="00692010" w:rsidP="00692010">
      <w:pPr>
        <w:rPr>
          <w:sz w:val="20"/>
          <w:szCs w:val="20"/>
        </w:rPr>
      </w:pPr>
      <w:r w:rsidRPr="00E163B0">
        <w:rPr>
          <w:sz w:val="20"/>
          <w:szCs w:val="20"/>
        </w:rPr>
        <w:t xml:space="preserve">Pharyngitis (Strep Throat). Group A Streptococcal Disease. Centers for Disease Control and Prevention (2018). Retrieved from </w:t>
      </w:r>
      <w:hyperlink r:id="rId10" w:history="1">
        <w:r w:rsidR="00EF715A" w:rsidRPr="00AE7BB0">
          <w:rPr>
            <w:rStyle w:val="Hyperlink"/>
            <w:sz w:val="20"/>
            <w:szCs w:val="20"/>
          </w:rPr>
          <w:t>https://www.cdc.gov/groupastrep/diseases-hcp/strep-throat.html</w:t>
        </w:r>
      </w:hyperlink>
      <w:r w:rsidR="00EF715A">
        <w:rPr>
          <w:sz w:val="20"/>
          <w:szCs w:val="20"/>
        </w:rPr>
        <w:t xml:space="preserve"> </w:t>
      </w:r>
      <w:r w:rsidRPr="00E163B0">
        <w:rPr>
          <w:sz w:val="20"/>
          <w:szCs w:val="20"/>
        </w:rPr>
        <w:t>on 23rd February 2019.</w:t>
      </w:r>
    </w:p>
    <w:p w14:paraId="67603144" w14:textId="704007F6" w:rsidR="00692010" w:rsidRPr="00E163B0" w:rsidRDefault="00692010" w:rsidP="00692010">
      <w:pPr>
        <w:rPr>
          <w:sz w:val="20"/>
          <w:szCs w:val="20"/>
        </w:rPr>
      </w:pPr>
      <w:r w:rsidRPr="00E163B0">
        <w:rPr>
          <w:sz w:val="20"/>
          <w:szCs w:val="20"/>
        </w:rPr>
        <w:t>Sore throat (acute): antimicrobial prescribing. NICE guideline Published: 26 January 2018 Retrieved from</w:t>
      </w:r>
      <w:r w:rsidR="00EF715A">
        <w:rPr>
          <w:sz w:val="20"/>
          <w:szCs w:val="20"/>
        </w:rPr>
        <w:t xml:space="preserve"> </w:t>
      </w:r>
      <w:hyperlink r:id="rId11" w:history="1">
        <w:r w:rsidR="00EF715A" w:rsidRPr="00AE7BB0">
          <w:rPr>
            <w:rStyle w:val="Hyperlink"/>
            <w:sz w:val="20"/>
            <w:szCs w:val="20"/>
          </w:rPr>
          <w:t>https://www.nice.org.uk/guidance/ng84/resources/sore-throat-acute-antimicrobial-prescribing-pdf-1837694694085</w:t>
        </w:r>
      </w:hyperlink>
      <w:r w:rsidR="00EF715A">
        <w:rPr>
          <w:sz w:val="20"/>
          <w:szCs w:val="20"/>
        </w:rPr>
        <w:t xml:space="preserve"> </w:t>
      </w:r>
    </w:p>
    <w:p w14:paraId="21611F9A" w14:textId="77777777" w:rsidR="00692010" w:rsidRPr="00E163B0" w:rsidRDefault="00692010" w:rsidP="00692010">
      <w:pPr>
        <w:rPr>
          <w:sz w:val="20"/>
          <w:szCs w:val="20"/>
        </w:rPr>
      </w:pPr>
      <w:r w:rsidRPr="00E163B0">
        <w:rPr>
          <w:sz w:val="20"/>
          <w:szCs w:val="20"/>
        </w:rPr>
        <w:t>Standard Treatment Guidelines, 6th Edition, 2010. ISBN 978-9988-1-2538-7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292B2281" w14:textId="77777777" w:rsidTr="00515546">
        <w:trPr>
          <w:trHeight w:val="20"/>
        </w:trPr>
        <w:tc>
          <w:tcPr>
            <w:tcW w:w="2139" w:type="dxa"/>
            <w:shd w:val="clear" w:color="auto" w:fill="auto"/>
            <w:vAlign w:val="bottom"/>
          </w:tcPr>
          <w:p w14:paraId="6F4E6DB2"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2ED32A25" w14:textId="5CA5921B" w:rsidR="004C4442" w:rsidRPr="00515546" w:rsidRDefault="004C4442" w:rsidP="00522C6C">
            <w:pPr>
              <w:spacing w:after="0"/>
              <w:rPr>
                <w:szCs w:val="22"/>
              </w:rPr>
            </w:pPr>
            <w:r w:rsidRPr="00515546">
              <w:rPr>
                <w:szCs w:val="22"/>
              </w:rPr>
              <w:t>Name</w:t>
            </w:r>
            <w:r w:rsidR="005638D0">
              <w:rPr>
                <w:szCs w:val="22"/>
              </w:rPr>
              <w:t xml:space="preserve">: </w:t>
            </w:r>
            <w:r w:rsidR="00216AFA">
              <w:rPr>
                <w:szCs w:val="22"/>
              </w:rPr>
              <w:t>Fatoumata Sawaneh</w:t>
            </w:r>
          </w:p>
        </w:tc>
        <w:tc>
          <w:tcPr>
            <w:tcW w:w="2869" w:type="dxa"/>
            <w:shd w:val="clear" w:color="auto" w:fill="auto"/>
            <w:vAlign w:val="bottom"/>
          </w:tcPr>
          <w:p w14:paraId="7604973E" w14:textId="5D30D3C0" w:rsidR="004C4442" w:rsidRPr="00515546" w:rsidRDefault="004C4442" w:rsidP="00522C6C">
            <w:pPr>
              <w:spacing w:after="0"/>
              <w:rPr>
                <w:szCs w:val="22"/>
              </w:rPr>
            </w:pPr>
            <w:r w:rsidRPr="00515546">
              <w:rPr>
                <w:szCs w:val="22"/>
              </w:rPr>
              <w:t xml:space="preserve">Date: </w:t>
            </w:r>
            <w:r w:rsidR="00216AFA">
              <w:rPr>
                <w:szCs w:val="22"/>
              </w:rPr>
              <w:t>27 February 2019</w:t>
            </w:r>
          </w:p>
        </w:tc>
      </w:tr>
      <w:tr w:rsidR="004C4442" w:rsidRPr="00515546" w14:paraId="7FFD846C" w14:textId="77777777" w:rsidTr="00515546">
        <w:trPr>
          <w:trHeight w:val="20"/>
        </w:trPr>
        <w:tc>
          <w:tcPr>
            <w:tcW w:w="2139" w:type="dxa"/>
            <w:shd w:val="clear" w:color="auto" w:fill="auto"/>
            <w:vAlign w:val="bottom"/>
          </w:tcPr>
          <w:p w14:paraId="76D787CD"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4581B49D" w14:textId="42573661" w:rsidR="004C4442" w:rsidRPr="00515546" w:rsidRDefault="004C4442" w:rsidP="00522C6C">
            <w:pPr>
              <w:spacing w:after="0"/>
              <w:rPr>
                <w:szCs w:val="22"/>
              </w:rPr>
            </w:pPr>
            <w:r w:rsidRPr="00515546">
              <w:rPr>
                <w:szCs w:val="22"/>
              </w:rPr>
              <w:t xml:space="preserve">Name: </w:t>
            </w:r>
            <w:r w:rsidR="00216AFA">
              <w:rPr>
                <w:szCs w:val="22"/>
              </w:rPr>
              <w:t>Karen Forrest</w:t>
            </w:r>
          </w:p>
        </w:tc>
        <w:tc>
          <w:tcPr>
            <w:tcW w:w="2869" w:type="dxa"/>
            <w:shd w:val="clear" w:color="auto" w:fill="auto"/>
            <w:vAlign w:val="bottom"/>
          </w:tcPr>
          <w:p w14:paraId="1BFACFAB" w14:textId="38AF952D" w:rsidR="004C4442" w:rsidRPr="00515546" w:rsidRDefault="004C4442" w:rsidP="00522C6C">
            <w:pPr>
              <w:spacing w:after="0"/>
              <w:rPr>
                <w:szCs w:val="22"/>
              </w:rPr>
            </w:pPr>
            <w:r w:rsidRPr="00515546">
              <w:rPr>
                <w:szCs w:val="22"/>
              </w:rPr>
              <w:t xml:space="preserve">Date: </w:t>
            </w:r>
            <w:r w:rsidR="00216AFA">
              <w:rPr>
                <w:szCs w:val="22"/>
              </w:rPr>
              <w:t>03 May 2019</w:t>
            </w:r>
          </w:p>
        </w:tc>
      </w:tr>
      <w:tr w:rsidR="004C4442" w:rsidRPr="00515546" w14:paraId="4524C4CC" w14:textId="77777777" w:rsidTr="00515546">
        <w:trPr>
          <w:trHeight w:val="20"/>
        </w:trPr>
        <w:tc>
          <w:tcPr>
            <w:tcW w:w="2139" w:type="dxa"/>
            <w:shd w:val="clear" w:color="auto" w:fill="auto"/>
            <w:vAlign w:val="bottom"/>
          </w:tcPr>
          <w:p w14:paraId="3BCE1101"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6B6F313F"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23C12E95" w14:textId="77777777" w:rsidR="004C4442" w:rsidRPr="00515546" w:rsidRDefault="004C4442" w:rsidP="00522C6C">
            <w:pPr>
              <w:spacing w:after="0"/>
              <w:rPr>
                <w:b/>
                <w:szCs w:val="22"/>
              </w:rPr>
            </w:pPr>
            <w:r w:rsidRPr="00515546">
              <w:rPr>
                <w:b/>
                <w:szCs w:val="22"/>
              </w:rPr>
              <w:t>Review due date:</w:t>
            </w:r>
          </w:p>
        </w:tc>
      </w:tr>
      <w:tr w:rsidR="004C4442" w:rsidRPr="00515546" w14:paraId="60CD3AAA" w14:textId="77777777" w:rsidTr="00515546">
        <w:trPr>
          <w:trHeight w:val="20"/>
        </w:trPr>
        <w:tc>
          <w:tcPr>
            <w:tcW w:w="2139" w:type="dxa"/>
            <w:shd w:val="clear" w:color="auto" w:fill="auto"/>
            <w:vAlign w:val="bottom"/>
          </w:tcPr>
          <w:p w14:paraId="2E9EA891"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17B59014"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B651B18" w14:textId="77777777" w:rsidR="004C4442" w:rsidRPr="00515546" w:rsidRDefault="004C4442" w:rsidP="00522C6C">
            <w:pPr>
              <w:spacing w:after="0"/>
              <w:rPr>
                <w:szCs w:val="22"/>
              </w:rPr>
            </w:pPr>
          </w:p>
        </w:tc>
      </w:tr>
      <w:tr w:rsidR="00216AFA" w:rsidRPr="00515546" w14:paraId="5E2329F3" w14:textId="77777777" w:rsidTr="00515546">
        <w:trPr>
          <w:trHeight w:val="20"/>
        </w:trPr>
        <w:tc>
          <w:tcPr>
            <w:tcW w:w="2139" w:type="dxa"/>
            <w:shd w:val="clear" w:color="auto" w:fill="auto"/>
            <w:vAlign w:val="bottom"/>
          </w:tcPr>
          <w:p w14:paraId="6CDD198E" w14:textId="6AF1599C" w:rsidR="00216AFA" w:rsidRPr="00515546" w:rsidRDefault="00216AFA" w:rsidP="00522C6C">
            <w:pPr>
              <w:spacing w:after="0"/>
              <w:rPr>
                <w:szCs w:val="22"/>
              </w:rPr>
            </w:pPr>
            <w:r>
              <w:rPr>
                <w:szCs w:val="22"/>
              </w:rPr>
              <w:t>2.0</w:t>
            </w:r>
          </w:p>
        </w:tc>
        <w:tc>
          <w:tcPr>
            <w:tcW w:w="3622" w:type="dxa"/>
            <w:shd w:val="clear" w:color="auto" w:fill="auto"/>
            <w:vAlign w:val="bottom"/>
          </w:tcPr>
          <w:p w14:paraId="792A4508" w14:textId="01302065" w:rsidR="00216AFA" w:rsidRPr="00515546" w:rsidRDefault="00216AFA" w:rsidP="00522C6C">
            <w:pPr>
              <w:spacing w:after="0"/>
              <w:rPr>
                <w:szCs w:val="22"/>
              </w:rPr>
            </w:pPr>
            <w:r>
              <w:rPr>
                <w:szCs w:val="22"/>
              </w:rPr>
              <w:t>Updated and transferred to new template</w:t>
            </w:r>
          </w:p>
        </w:tc>
        <w:tc>
          <w:tcPr>
            <w:tcW w:w="2869" w:type="dxa"/>
            <w:shd w:val="clear" w:color="auto" w:fill="auto"/>
            <w:vAlign w:val="bottom"/>
          </w:tcPr>
          <w:p w14:paraId="65A74C33" w14:textId="164099A5" w:rsidR="00216AFA" w:rsidRPr="00515546" w:rsidRDefault="00600D90" w:rsidP="00522C6C">
            <w:pPr>
              <w:spacing w:after="0"/>
              <w:rPr>
                <w:szCs w:val="22"/>
              </w:rPr>
            </w:pPr>
            <w:r>
              <w:rPr>
                <w:szCs w:val="22"/>
              </w:rPr>
              <w:t>31 May 2021</w:t>
            </w:r>
          </w:p>
        </w:tc>
      </w:tr>
      <w:tr w:rsidR="005638D0" w:rsidRPr="00515546" w14:paraId="3CD9F77F" w14:textId="77777777" w:rsidTr="00515546">
        <w:trPr>
          <w:trHeight w:val="20"/>
        </w:trPr>
        <w:tc>
          <w:tcPr>
            <w:tcW w:w="2139" w:type="dxa"/>
            <w:shd w:val="clear" w:color="auto" w:fill="auto"/>
            <w:vAlign w:val="bottom"/>
          </w:tcPr>
          <w:p w14:paraId="3C506885"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3C68B35" w14:textId="77777777" w:rsidR="005638D0" w:rsidRPr="00515546" w:rsidRDefault="005638D0" w:rsidP="005638D0">
            <w:pPr>
              <w:spacing w:after="0"/>
              <w:rPr>
                <w:szCs w:val="22"/>
              </w:rPr>
            </w:pPr>
          </w:p>
        </w:tc>
        <w:tc>
          <w:tcPr>
            <w:tcW w:w="2869" w:type="dxa"/>
            <w:shd w:val="clear" w:color="auto" w:fill="auto"/>
            <w:vAlign w:val="bottom"/>
          </w:tcPr>
          <w:p w14:paraId="22D768BE" w14:textId="77777777" w:rsidR="005638D0" w:rsidRPr="00515546" w:rsidRDefault="005638D0" w:rsidP="005638D0">
            <w:pPr>
              <w:spacing w:after="0"/>
              <w:rPr>
                <w:b/>
                <w:szCs w:val="22"/>
              </w:rPr>
            </w:pPr>
          </w:p>
        </w:tc>
      </w:tr>
    </w:tbl>
    <w:p w14:paraId="10F89F01" w14:textId="77777777" w:rsidR="00975A60" w:rsidRPr="00CC3CF5" w:rsidRDefault="00975A60" w:rsidP="00975A60">
      <w:pPr>
        <w:rPr>
          <w:szCs w:val="22"/>
        </w:rPr>
      </w:pPr>
    </w:p>
    <w:sectPr w:rsidR="00975A60" w:rsidRPr="00CC3CF5" w:rsidSect="00D13825">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FBD85" w14:textId="77777777" w:rsidR="00D22A27" w:rsidRDefault="00D22A27" w:rsidP="00975A60">
      <w:pPr>
        <w:spacing w:after="0"/>
      </w:pPr>
      <w:r>
        <w:separator/>
      </w:r>
    </w:p>
  </w:endnote>
  <w:endnote w:type="continuationSeparator" w:id="0">
    <w:p w14:paraId="702DA0F8" w14:textId="77777777" w:rsidR="00D22A27" w:rsidRDefault="00D22A27"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5F12F"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B292BC"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CB95"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B04CC">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B04CC">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F450D"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B04CC">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B04CC">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FEE67" w14:textId="77777777" w:rsidR="00D22A27" w:rsidRDefault="00D22A27" w:rsidP="00975A60">
      <w:pPr>
        <w:spacing w:after="0"/>
      </w:pPr>
      <w:r>
        <w:separator/>
      </w:r>
    </w:p>
  </w:footnote>
  <w:footnote w:type="continuationSeparator" w:id="0">
    <w:p w14:paraId="5F95328F" w14:textId="77777777" w:rsidR="00D22A27" w:rsidRDefault="00D22A27"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C50C" w14:textId="08780390" w:rsidR="00D13825" w:rsidRPr="00F87812" w:rsidRDefault="00D13825" w:rsidP="00D13825">
    <w:pPr>
      <w:pStyle w:val="Header"/>
    </w:pPr>
    <w:r w:rsidRPr="00F87812">
      <w:t>Identification code: MeG-CLS-</w:t>
    </w:r>
    <w:r w:rsidR="00484E81">
      <w:t>024</w:t>
    </w:r>
    <w:r w:rsidRPr="00F87812">
      <w:tab/>
    </w:r>
  </w:p>
  <w:p w14:paraId="4FFE5EC3" w14:textId="037F8EE2" w:rsidR="005D1877" w:rsidRPr="0095050B" w:rsidRDefault="00D13825" w:rsidP="00D13825">
    <w:pPr>
      <w:pStyle w:val="Header"/>
    </w:pPr>
    <w:r w:rsidRPr="0095050B">
      <w:t xml:space="preserve">Version: </w:t>
    </w:r>
    <w:r w:rsidR="00484E81">
      <w:t>2</w:t>
    </w:r>
    <w:r w:rsidRPr="0095050B">
      <w:t xml:space="preserve">.0 – </w:t>
    </w:r>
    <w:r w:rsidR="00600D90">
      <w:t>31 May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408E"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26C7476B" wp14:editId="460BAE16">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7DA9307"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7474EBC" w14:textId="77777777" w:rsidR="00D13825" w:rsidRPr="003C0800" w:rsidRDefault="00D13825" w:rsidP="00D13825">
    <w:pPr>
      <w:pStyle w:val="Header"/>
      <w:ind w:firstLine="2880"/>
      <w:rPr>
        <w:rFonts w:cs="Arial"/>
        <w:b/>
      </w:rPr>
    </w:pPr>
  </w:p>
  <w:p w14:paraId="55A437F2" w14:textId="58CE8B9B" w:rsidR="00D13825" w:rsidRPr="00F87812" w:rsidRDefault="00D13825" w:rsidP="00D13825">
    <w:pPr>
      <w:pStyle w:val="Header"/>
    </w:pPr>
    <w:r w:rsidRPr="00F87812">
      <w:t>Identification code: MeG-CLS-</w:t>
    </w:r>
    <w:r w:rsidR="00B57725">
      <w:t>024</w:t>
    </w:r>
    <w:r w:rsidRPr="00F87812">
      <w:tab/>
    </w:r>
  </w:p>
  <w:p w14:paraId="18031ADB" w14:textId="756884C8" w:rsidR="00D13825" w:rsidRPr="00F87812" w:rsidRDefault="00D13825" w:rsidP="00D13825">
    <w:pPr>
      <w:pStyle w:val="Header"/>
    </w:pPr>
    <w:r w:rsidRPr="00F87812">
      <w:t xml:space="preserve">Version: </w:t>
    </w:r>
    <w:r w:rsidR="00B57725">
      <w:t>2</w:t>
    </w:r>
    <w:r w:rsidRPr="0095050B">
      <w:t xml:space="preserve">.0 – </w:t>
    </w:r>
    <w:r w:rsidR="00600D90">
      <w:t>31 May 2019</w:t>
    </w:r>
  </w:p>
  <w:p w14:paraId="4A29F22A"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BA1B3A"/>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251CE8A6"/>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4465F5"/>
    <w:multiLevelType w:val="hybridMultilevel"/>
    <w:tmpl w:val="75D61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594491"/>
    <w:multiLevelType w:val="hybridMultilevel"/>
    <w:tmpl w:val="E37CB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3604B3D"/>
    <w:multiLevelType w:val="hybridMultilevel"/>
    <w:tmpl w:val="5CCA2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D7770C"/>
    <w:multiLevelType w:val="hybridMultilevel"/>
    <w:tmpl w:val="9C4A41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1370B"/>
    <w:multiLevelType w:val="hybridMultilevel"/>
    <w:tmpl w:val="9A761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C8D2A67"/>
    <w:multiLevelType w:val="hybridMultilevel"/>
    <w:tmpl w:val="EE9C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B85ACE"/>
    <w:multiLevelType w:val="hybridMultilevel"/>
    <w:tmpl w:val="95F6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BE4F4F"/>
    <w:multiLevelType w:val="hybridMultilevel"/>
    <w:tmpl w:val="A7642B5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11"/>
  </w:num>
  <w:num w:numId="4">
    <w:abstractNumId w:val="1"/>
  </w:num>
  <w:num w:numId="5">
    <w:abstractNumId w:val="0"/>
  </w:num>
  <w:num w:numId="6">
    <w:abstractNumId w:val="6"/>
  </w:num>
  <w:num w:numId="7">
    <w:abstractNumId w:val="19"/>
  </w:num>
  <w:num w:numId="8">
    <w:abstractNumId w:val="2"/>
  </w:num>
  <w:num w:numId="9">
    <w:abstractNumId w:val="36"/>
  </w:num>
  <w:num w:numId="10">
    <w:abstractNumId w:val="5"/>
  </w:num>
  <w:num w:numId="11">
    <w:abstractNumId w:val="12"/>
  </w:num>
  <w:num w:numId="12">
    <w:abstractNumId w:val="24"/>
  </w:num>
  <w:num w:numId="13">
    <w:abstractNumId w:val="31"/>
  </w:num>
  <w:num w:numId="14">
    <w:abstractNumId w:val="27"/>
  </w:num>
  <w:num w:numId="15">
    <w:abstractNumId w:val="34"/>
  </w:num>
  <w:num w:numId="16">
    <w:abstractNumId w:val="14"/>
  </w:num>
  <w:num w:numId="17">
    <w:abstractNumId w:val="9"/>
  </w:num>
  <w:num w:numId="18">
    <w:abstractNumId w:val="28"/>
  </w:num>
  <w:num w:numId="19">
    <w:abstractNumId w:val="15"/>
  </w:num>
  <w:num w:numId="20">
    <w:abstractNumId w:val="33"/>
  </w:num>
  <w:num w:numId="21">
    <w:abstractNumId w:val="17"/>
  </w:num>
  <w:num w:numId="22">
    <w:abstractNumId w:val="10"/>
  </w:num>
  <w:num w:numId="23">
    <w:abstractNumId w:val="23"/>
  </w:num>
  <w:num w:numId="24">
    <w:abstractNumId w:val="26"/>
  </w:num>
  <w:num w:numId="25">
    <w:abstractNumId w:val="20"/>
  </w:num>
  <w:num w:numId="26">
    <w:abstractNumId w:val="13"/>
  </w:num>
  <w:num w:numId="27">
    <w:abstractNumId w:val="8"/>
  </w:num>
  <w:num w:numId="28">
    <w:abstractNumId w:val="32"/>
  </w:num>
  <w:num w:numId="29">
    <w:abstractNumId w:val="22"/>
  </w:num>
  <w:num w:numId="30">
    <w:abstractNumId w:val="29"/>
  </w:num>
  <w:num w:numId="31">
    <w:abstractNumId w:val="30"/>
  </w:num>
  <w:num w:numId="32">
    <w:abstractNumId w:val="7"/>
  </w:num>
  <w:num w:numId="33">
    <w:abstractNumId w:val="18"/>
  </w:num>
  <w:num w:numId="34">
    <w:abstractNumId w:val="4"/>
  </w:num>
  <w:num w:numId="35">
    <w:abstractNumId w:val="35"/>
  </w:num>
  <w:num w:numId="36">
    <w:abstractNumId w:val="21"/>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DIzMzQ3NDewMDRS0lEKTi0uzszPAykwqQUALaln2iwAAAA="/>
  </w:docVars>
  <w:rsids>
    <w:rsidRoot w:val="004D3160"/>
    <w:rsid w:val="000039D9"/>
    <w:rsid w:val="0002468B"/>
    <w:rsid w:val="0007147C"/>
    <w:rsid w:val="00081642"/>
    <w:rsid w:val="00114AAF"/>
    <w:rsid w:val="001203AE"/>
    <w:rsid w:val="00175153"/>
    <w:rsid w:val="001C1450"/>
    <w:rsid w:val="00216AFA"/>
    <w:rsid w:val="002229D5"/>
    <w:rsid w:val="00223920"/>
    <w:rsid w:val="00252A11"/>
    <w:rsid w:val="0029357D"/>
    <w:rsid w:val="002A2856"/>
    <w:rsid w:val="003020A2"/>
    <w:rsid w:val="003038D3"/>
    <w:rsid w:val="003225CD"/>
    <w:rsid w:val="003B04CC"/>
    <w:rsid w:val="003C0800"/>
    <w:rsid w:val="003F70CA"/>
    <w:rsid w:val="00484E81"/>
    <w:rsid w:val="004A25F0"/>
    <w:rsid w:val="004A4C93"/>
    <w:rsid w:val="004C4442"/>
    <w:rsid w:val="004D3160"/>
    <w:rsid w:val="00504405"/>
    <w:rsid w:val="005151D8"/>
    <w:rsid w:val="00515546"/>
    <w:rsid w:val="005638D0"/>
    <w:rsid w:val="00584E1E"/>
    <w:rsid w:val="005C4574"/>
    <w:rsid w:val="005D1877"/>
    <w:rsid w:val="00600D90"/>
    <w:rsid w:val="0062147E"/>
    <w:rsid w:val="00633320"/>
    <w:rsid w:val="00692010"/>
    <w:rsid w:val="007067BE"/>
    <w:rsid w:val="007B26B1"/>
    <w:rsid w:val="007B4DEE"/>
    <w:rsid w:val="007F0D51"/>
    <w:rsid w:val="00857027"/>
    <w:rsid w:val="008A7967"/>
    <w:rsid w:val="008F5218"/>
    <w:rsid w:val="009165E9"/>
    <w:rsid w:val="009325A7"/>
    <w:rsid w:val="0095050B"/>
    <w:rsid w:val="009747D5"/>
    <w:rsid w:val="00975A60"/>
    <w:rsid w:val="00990B46"/>
    <w:rsid w:val="009956F9"/>
    <w:rsid w:val="009B44BE"/>
    <w:rsid w:val="009F5B1B"/>
    <w:rsid w:val="00A312D8"/>
    <w:rsid w:val="00A41080"/>
    <w:rsid w:val="00A57064"/>
    <w:rsid w:val="00AC2BF3"/>
    <w:rsid w:val="00B31AC4"/>
    <w:rsid w:val="00B57725"/>
    <w:rsid w:val="00B844E8"/>
    <w:rsid w:val="00BD08AB"/>
    <w:rsid w:val="00C67021"/>
    <w:rsid w:val="00CC3CF5"/>
    <w:rsid w:val="00CD4A1D"/>
    <w:rsid w:val="00D03AB2"/>
    <w:rsid w:val="00D13825"/>
    <w:rsid w:val="00D22A27"/>
    <w:rsid w:val="00DA20ED"/>
    <w:rsid w:val="00DC1CC5"/>
    <w:rsid w:val="00DC590C"/>
    <w:rsid w:val="00DE3D6D"/>
    <w:rsid w:val="00DE7E17"/>
    <w:rsid w:val="00DF345F"/>
    <w:rsid w:val="00E162DA"/>
    <w:rsid w:val="00E163B0"/>
    <w:rsid w:val="00E81FB9"/>
    <w:rsid w:val="00EF715A"/>
    <w:rsid w:val="00F03F25"/>
    <w:rsid w:val="00F53968"/>
    <w:rsid w:val="00F71F11"/>
    <w:rsid w:val="00FE7266"/>
    <w:rsid w:val="00FF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9603A"/>
  <w15:docId w15:val="{503BE320-5702-413B-883C-E9AB328B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Revision">
    <w:name w:val="Revision"/>
    <w:hidden/>
    <w:semiHidden/>
    <w:rsid w:val="008A7967"/>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dicine.medscape.com/article/225243-overview"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ch.org.au/clinicalguide/guideline_index/acute_otitis_media/"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ce.org.uk/guidance/ng84/resources/sore-throat-acute-antimicrobial-prescribing-pdf-1837694694085"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cdc.gov/groupastrep/diseases-hcp/strep-throat.html" TargetMode="External"/><Relationship Id="rId4" Type="http://schemas.openxmlformats.org/officeDocument/2006/relationships/webSettings" Target="webSettings.xml"/><Relationship Id="rId9" Type="http://schemas.openxmlformats.org/officeDocument/2006/relationships/hyperlink" Target="https://www.researchgate.net/figure/Westley-croup-score_tbl7_31559726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Template>
  <TotalTime>0</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3</cp:revision>
  <cp:lastPrinted>2019-05-31T09:57:00Z</cp:lastPrinted>
  <dcterms:created xsi:type="dcterms:W3CDTF">2019-05-27T15:02:00Z</dcterms:created>
  <dcterms:modified xsi:type="dcterms:W3CDTF">2019-05-31T09:57:00Z</dcterms:modified>
</cp:coreProperties>
</file>