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7F1A" w14:textId="62C5C69D" w:rsidR="001203AE" w:rsidRPr="003C0800" w:rsidRDefault="00516869" w:rsidP="001203AE">
      <w:pPr>
        <w:pStyle w:val="Heading1"/>
        <w:rPr>
          <w:rFonts w:cs="Arial"/>
          <w:szCs w:val="22"/>
        </w:rPr>
      </w:pPr>
      <w:bookmarkStart w:id="0" w:name="_GoBack"/>
      <w:bookmarkEnd w:id="0"/>
      <w:r>
        <w:rPr>
          <w:rFonts w:cs="Arial"/>
          <w:szCs w:val="22"/>
        </w:rPr>
        <w:t>U</w:t>
      </w:r>
      <w:r w:rsidRPr="00516869">
        <w:rPr>
          <w:rFonts w:cs="Arial"/>
          <w:szCs w:val="22"/>
        </w:rPr>
        <w:t>rinary Tract Infection</w:t>
      </w:r>
    </w:p>
    <w:p w14:paraId="78BC4BC4" w14:textId="77777777" w:rsidR="00516869" w:rsidRPr="00A14EB9" w:rsidRDefault="00516869" w:rsidP="00975A60">
      <w:pPr>
        <w:pStyle w:val="Heading2"/>
        <w:rPr>
          <w:rFonts w:cs="Arial"/>
          <w:i/>
          <w:szCs w:val="22"/>
        </w:rPr>
      </w:pPr>
      <w:r w:rsidRPr="00A14EB9">
        <w:rPr>
          <w:rFonts w:cs="Arial"/>
          <w:i/>
          <w:szCs w:val="22"/>
        </w:rPr>
        <w:t>Executive Summary</w:t>
      </w:r>
    </w:p>
    <w:p w14:paraId="107DFA90" w14:textId="6AB388C0" w:rsidR="00975A60" w:rsidRPr="00DC590C" w:rsidRDefault="00975A60" w:rsidP="00975A60">
      <w:pPr>
        <w:pStyle w:val="Heading2"/>
        <w:rPr>
          <w:rFonts w:cs="Arial"/>
          <w:szCs w:val="22"/>
        </w:rPr>
      </w:pPr>
      <w:r w:rsidRPr="00DC590C">
        <w:rPr>
          <w:rFonts w:cs="Arial"/>
          <w:szCs w:val="22"/>
        </w:rPr>
        <w:t>Introduction</w:t>
      </w:r>
    </w:p>
    <w:p w14:paraId="3E7BE3DC" w14:textId="7AB1F461" w:rsidR="00516869" w:rsidRPr="00A763F9" w:rsidRDefault="00516869" w:rsidP="00516869">
      <w:r w:rsidRPr="00A763F9">
        <w:rPr>
          <w:lang w:val="en-GB"/>
        </w:rPr>
        <w:t>Urinary tract infection (UTI) is the most common bacterial disease in childhood. Incidence is high among febrile children and recurrence is also common (up to 50%)</w:t>
      </w:r>
      <w:r>
        <w:rPr>
          <w:lang w:val="en-GB"/>
        </w:rPr>
        <w:t xml:space="preserve">. </w:t>
      </w:r>
      <w:r w:rsidRPr="00A763F9">
        <w:t xml:space="preserve">It is also one of the most commonly diagnosed infections in both hospitalized and community-dwelling older adults. </w:t>
      </w:r>
      <w:r w:rsidR="00EB739F">
        <w:t>T</w:t>
      </w:r>
      <w:r w:rsidR="00EB739F" w:rsidRPr="00A763F9">
        <w:t>he definition of symptomatic UTI in adults generally requires the presence of localize</w:t>
      </w:r>
      <w:r w:rsidR="00EB739F">
        <w:t>d</w:t>
      </w:r>
      <w:r w:rsidR="00EB739F" w:rsidRPr="00A763F9">
        <w:t xml:space="preserve"> genitourinary symptoms</w:t>
      </w:r>
      <w:r w:rsidR="00EB739F">
        <w:t xml:space="preserve"> caused by bacteria present in the urine. </w:t>
      </w:r>
      <w:r w:rsidRPr="00A763F9">
        <w:t xml:space="preserve">In children, UTIs are associated with primary </w:t>
      </w:r>
      <w:proofErr w:type="spellStart"/>
      <w:r w:rsidRPr="00A763F9">
        <w:t>vesico</w:t>
      </w:r>
      <w:proofErr w:type="spellEnd"/>
      <w:r w:rsidRPr="00A763F9">
        <w:t>-ureteral reflux</w:t>
      </w:r>
      <w:r>
        <w:t>; the resulting</w:t>
      </w:r>
      <w:r w:rsidRPr="00A763F9">
        <w:t xml:space="preserve"> reflux nephropathy (renal scars) is a possible cause of childhood hypertension and chronic kidney </w:t>
      </w:r>
      <w:r w:rsidR="00EB739F">
        <w:t xml:space="preserve">disease. </w:t>
      </w:r>
    </w:p>
    <w:p w14:paraId="330C94BB" w14:textId="489ED90A" w:rsidR="00EB739F" w:rsidRDefault="00EB739F" w:rsidP="00516869">
      <w:r>
        <w:t>This guideline covers management of uncomplicated and complicated UTI in all age groups and pregnant women.</w:t>
      </w:r>
    </w:p>
    <w:p w14:paraId="55BBCA07" w14:textId="77777777" w:rsidR="00EB739F" w:rsidRPr="00BF52B2" w:rsidRDefault="00EB739F" w:rsidP="00A14EB9">
      <w:pPr>
        <w:pStyle w:val="Heading2"/>
      </w:pPr>
      <w:r w:rsidRPr="00BF52B2">
        <w:t>Target users</w:t>
      </w:r>
    </w:p>
    <w:p w14:paraId="20426169" w14:textId="77777777" w:rsidR="00EB739F" w:rsidRPr="00BF52B2" w:rsidRDefault="00EB739F" w:rsidP="0015509A">
      <w:pPr>
        <w:pStyle w:val="ListParagraph"/>
        <w:numPr>
          <w:ilvl w:val="0"/>
          <w:numId w:val="6"/>
        </w:numPr>
      </w:pPr>
      <w:r w:rsidRPr="00BF52B2">
        <w:t>Nurses</w:t>
      </w:r>
    </w:p>
    <w:p w14:paraId="2D9FBE14" w14:textId="77777777" w:rsidR="00EB739F" w:rsidRPr="00BF52B2" w:rsidRDefault="00EB739F" w:rsidP="0015509A">
      <w:pPr>
        <w:pStyle w:val="ListParagraph"/>
        <w:numPr>
          <w:ilvl w:val="0"/>
          <w:numId w:val="6"/>
        </w:numPr>
      </w:pPr>
      <w:r w:rsidRPr="00BF52B2">
        <w:t>Doctors</w:t>
      </w:r>
    </w:p>
    <w:p w14:paraId="644BE34C" w14:textId="77777777" w:rsidR="00EB739F" w:rsidRPr="00BF52B2" w:rsidRDefault="00EB739F" w:rsidP="00A14EB9">
      <w:pPr>
        <w:pStyle w:val="Heading2"/>
      </w:pPr>
      <w:r w:rsidRPr="00BF52B2">
        <w:t xml:space="preserve">Target area of use </w:t>
      </w:r>
    </w:p>
    <w:p w14:paraId="4E5BD93D" w14:textId="77777777" w:rsidR="00EB739F" w:rsidRPr="00BF52B2" w:rsidRDefault="00EB739F" w:rsidP="0015509A">
      <w:pPr>
        <w:pStyle w:val="ListParagraph"/>
        <w:numPr>
          <w:ilvl w:val="0"/>
          <w:numId w:val="5"/>
        </w:numPr>
      </w:pPr>
      <w:r w:rsidRPr="00BF52B2">
        <w:t>Gate Clinic</w:t>
      </w:r>
    </w:p>
    <w:p w14:paraId="34A9D1F4" w14:textId="77777777" w:rsidR="00EB739F" w:rsidRPr="00BF52B2" w:rsidRDefault="00EB739F" w:rsidP="0015509A">
      <w:pPr>
        <w:pStyle w:val="ListParagraph"/>
        <w:numPr>
          <w:ilvl w:val="0"/>
          <w:numId w:val="5"/>
        </w:numPr>
      </w:pPr>
      <w:r w:rsidRPr="00BF52B2">
        <w:t>Outpatient Department</w:t>
      </w:r>
    </w:p>
    <w:p w14:paraId="71E83A7B" w14:textId="77777777" w:rsidR="00EB739F" w:rsidRPr="00BF52B2" w:rsidRDefault="00EB739F" w:rsidP="0015509A">
      <w:pPr>
        <w:pStyle w:val="ListParagraph"/>
        <w:numPr>
          <w:ilvl w:val="0"/>
          <w:numId w:val="5"/>
        </w:numPr>
      </w:pPr>
      <w:r w:rsidRPr="00BF52B2">
        <w:t>Ward</w:t>
      </w:r>
    </w:p>
    <w:p w14:paraId="75186D67" w14:textId="77777777" w:rsidR="00EB739F" w:rsidRPr="00BF52B2" w:rsidRDefault="00EB739F" w:rsidP="00A14EB9">
      <w:pPr>
        <w:pStyle w:val="Heading2"/>
      </w:pPr>
      <w:r w:rsidRPr="00BF52B2">
        <w:t xml:space="preserve">Key areas of focus / New additions / Changes </w:t>
      </w:r>
    </w:p>
    <w:p w14:paraId="435C1BAE" w14:textId="77777777" w:rsidR="00F94127" w:rsidRDefault="00EB739F" w:rsidP="00EB739F">
      <w:r>
        <w:t>This guideline describes the features of UTI in different clinical populations and stratifies the treatment accordingly.</w:t>
      </w:r>
      <w:r w:rsidRPr="00EB739F">
        <w:t xml:space="preserve"> </w:t>
      </w:r>
      <w:r w:rsidRPr="00A763F9">
        <w:t xml:space="preserve"> </w:t>
      </w:r>
    </w:p>
    <w:p w14:paraId="2148DB54" w14:textId="51652750" w:rsidR="00EB739F" w:rsidRDefault="00EB739F" w:rsidP="00EB739F">
      <w:r w:rsidRPr="00A763F9">
        <w:t>Diagnosis</w:t>
      </w:r>
      <w:r>
        <w:t xml:space="preserve"> of UTI</w:t>
      </w:r>
      <w:r w:rsidRPr="00A763F9">
        <w:t xml:space="preserve"> </w:t>
      </w:r>
      <w:r w:rsidR="00F94127">
        <w:t xml:space="preserve">is particularly </w:t>
      </w:r>
      <w:r w:rsidRPr="00A763F9">
        <w:t>challeng</w:t>
      </w:r>
      <w:r w:rsidR="00F94127">
        <w:t>ing</w:t>
      </w:r>
      <w:r w:rsidRPr="00A763F9">
        <w:t xml:space="preserve"> in children</w:t>
      </w:r>
      <w:r>
        <w:t>.</w:t>
      </w:r>
      <w:r w:rsidR="00F94127">
        <w:t xml:space="preserve"> Dipstick urine testing is useful in children and non-pregnant women. Non-pregnant women with multiple UTI features can receive empirical therapy without dipstick testing. Urine microscopy, culture and sensitivity can provide definitive diagnosis and guide antibiotic therapy.</w:t>
      </w:r>
    </w:p>
    <w:p w14:paraId="2D9A7080" w14:textId="0A776987" w:rsidR="00F94127" w:rsidRPr="00BF52B2" w:rsidRDefault="00F94127" w:rsidP="00EB739F">
      <w:r>
        <w:t>Most UTI can be treated on outpatient basis with oral antibiotics. However, complicated or severe infections require inpatient therapy with parenteral antibiotics.</w:t>
      </w:r>
    </w:p>
    <w:p w14:paraId="0312EECD" w14:textId="77777777" w:rsidR="00EB739F" w:rsidRPr="00BF52B2" w:rsidRDefault="00EB739F" w:rsidP="00A14EB9">
      <w:pPr>
        <w:pStyle w:val="Heading2"/>
      </w:pPr>
      <w:r w:rsidRPr="00BF52B2">
        <w:t xml:space="preserve">Limitations </w:t>
      </w:r>
    </w:p>
    <w:p w14:paraId="36C1FCB9" w14:textId="77777777" w:rsidR="00A14EB9" w:rsidRDefault="00EB739F" w:rsidP="00EB739F">
      <w:r>
        <w:t xml:space="preserve">Urine culture and sensitivity are currently available only at Fajara. </w:t>
      </w:r>
      <w:r w:rsidR="00171363">
        <w:t>In addition, p</w:t>
      </w:r>
      <w:r>
        <w:t>atients requiring prolonged in-patient care for pyelonephritis or complicated UTI cannot be managed at Keneba or Basse.</w:t>
      </w:r>
    </w:p>
    <w:p w14:paraId="6AEEAF25" w14:textId="686CF363" w:rsidR="00EB739F" w:rsidRDefault="00EB739F" w:rsidP="00EB739F">
      <w:pPr>
        <w:rPr>
          <w:b/>
          <w:sz w:val="24"/>
          <w:szCs w:val="22"/>
        </w:rPr>
      </w:pPr>
      <w:r>
        <w:rPr>
          <w:szCs w:val="22"/>
        </w:rPr>
        <w:br w:type="page"/>
      </w:r>
    </w:p>
    <w:p w14:paraId="6655FED9" w14:textId="4A8EFF8D" w:rsidR="00975A60" w:rsidRPr="00A14EB9" w:rsidRDefault="00975A60" w:rsidP="00A14EB9">
      <w:pPr>
        <w:pStyle w:val="Heading2"/>
      </w:pPr>
      <w:r w:rsidRPr="00A14EB9">
        <w:lastRenderedPageBreak/>
        <w:t>Presenting symptoms and signs</w:t>
      </w:r>
    </w:p>
    <w:p w14:paraId="179917B8" w14:textId="6AF5077C" w:rsidR="00516869" w:rsidRDefault="00516869" w:rsidP="00516869">
      <w:r>
        <w:t>Symptoms of lower UTI</w:t>
      </w:r>
    </w:p>
    <w:p w14:paraId="672FA30A" w14:textId="20C76C4B" w:rsidR="00516869" w:rsidRDefault="00516869" w:rsidP="0015509A">
      <w:pPr>
        <w:pStyle w:val="ListParagraph"/>
        <w:numPr>
          <w:ilvl w:val="0"/>
          <w:numId w:val="7"/>
        </w:numPr>
        <w:spacing w:after="0"/>
      </w:pPr>
      <w:r>
        <w:t>Dysuria</w:t>
      </w:r>
    </w:p>
    <w:p w14:paraId="298EB57D" w14:textId="047264F2" w:rsidR="00516869" w:rsidRDefault="00516869" w:rsidP="0015509A">
      <w:pPr>
        <w:pStyle w:val="ListParagraph"/>
        <w:numPr>
          <w:ilvl w:val="0"/>
          <w:numId w:val="7"/>
        </w:numPr>
        <w:spacing w:after="0"/>
      </w:pPr>
      <w:r>
        <w:t>Frequency of micturition</w:t>
      </w:r>
    </w:p>
    <w:p w14:paraId="62D543BD" w14:textId="3A8501D9" w:rsidR="00516869" w:rsidRDefault="00516869" w:rsidP="0015509A">
      <w:pPr>
        <w:pStyle w:val="ListParagraph"/>
        <w:numPr>
          <w:ilvl w:val="0"/>
          <w:numId w:val="7"/>
        </w:numPr>
        <w:spacing w:after="0"/>
      </w:pPr>
      <w:r>
        <w:t>Urgency</w:t>
      </w:r>
    </w:p>
    <w:p w14:paraId="2A94A6DE" w14:textId="2CE04976" w:rsidR="00516869" w:rsidRDefault="00516869" w:rsidP="0015509A">
      <w:pPr>
        <w:pStyle w:val="ListParagraph"/>
        <w:numPr>
          <w:ilvl w:val="0"/>
          <w:numId w:val="7"/>
        </w:numPr>
        <w:spacing w:after="0"/>
      </w:pPr>
      <w:r>
        <w:t>Cloudy urine</w:t>
      </w:r>
    </w:p>
    <w:p w14:paraId="23D25A22" w14:textId="5F5334CC" w:rsidR="00516869" w:rsidRDefault="00516869" w:rsidP="0015509A">
      <w:pPr>
        <w:pStyle w:val="ListParagraph"/>
        <w:numPr>
          <w:ilvl w:val="0"/>
          <w:numId w:val="7"/>
        </w:numPr>
        <w:spacing w:after="0"/>
      </w:pPr>
      <w:proofErr w:type="spellStart"/>
      <w:r>
        <w:t>Coca-cola</w:t>
      </w:r>
      <w:proofErr w:type="spellEnd"/>
      <w:r>
        <w:t xml:space="preserve"> </w:t>
      </w:r>
      <w:proofErr w:type="spellStart"/>
      <w:r>
        <w:t>coloured</w:t>
      </w:r>
      <w:proofErr w:type="spellEnd"/>
      <w:r>
        <w:t xml:space="preserve"> urine</w:t>
      </w:r>
    </w:p>
    <w:p w14:paraId="57D888C4" w14:textId="47F53954" w:rsidR="00516869" w:rsidRDefault="00516869" w:rsidP="0015509A">
      <w:pPr>
        <w:pStyle w:val="ListParagraph"/>
        <w:numPr>
          <w:ilvl w:val="0"/>
          <w:numId w:val="7"/>
        </w:numPr>
        <w:spacing w:after="0"/>
      </w:pPr>
      <w:r>
        <w:t>Malodorous urine</w:t>
      </w:r>
    </w:p>
    <w:p w14:paraId="2903ACCF" w14:textId="42A65AF0" w:rsidR="00516869" w:rsidRDefault="00516869" w:rsidP="0015509A">
      <w:pPr>
        <w:pStyle w:val="ListParagraph"/>
        <w:numPr>
          <w:ilvl w:val="0"/>
          <w:numId w:val="7"/>
        </w:numPr>
        <w:spacing w:after="0"/>
      </w:pPr>
      <w:r>
        <w:t xml:space="preserve">Lower abdominal discomfort </w:t>
      </w:r>
    </w:p>
    <w:p w14:paraId="0D09405E" w14:textId="4C235340" w:rsidR="00516869" w:rsidRDefault="00516869" w:rsidP="0015509A">
      <w:pPr>
        <w:pStyle w:val="ListParagraph"/>
        <w:numPr>
          <w:ilvl w:val="0"/>
          <w:numId w:val="7"/>
        </w:numPr>
        <w:spacing w:after="0"/>
      </w:pPr>
      <w:r>
        <w:t>Rectal pain in men</w:t>
      </w:r>
    </w:p>
    <w:p w14:paraId="36F70E58" w14:textId="3239EADE" w:rsidR="00516869" w:rsidRDefault="00516869" w:rsidP="0015509A">
      <w:pPr>
        <w:pStyle w:val="ListParagraph"/>
        <w:numPr>
          <w:ilvl w:val="0"/>
          <w:numId w:val="7"/>
        </w:numPr>
        <w:spacing w:after="0"/>
      </w:pPr>
      <w:r>
        <w:t>New onset of incontinence</w:t>
      </w:r>
      <w:r w:rsidR="001C4514">
        <w:t xml:space="preserve"> and/or enuresis</w:t>
      </w:r>
    </w:p>
    <w:p w14:paraId="519A4A9C" w14:textId="77777777" w:rsidR="00516869" w:rsidRDefault="00516869" w:rsidP="009422FE">
      <w:pPr>
        <w:spacing w:before="240"/>
      </w:pPr>
      <w:r>
        <w:t>Symptoms of an upper tract UTI include:</w:t>
      </w:r>
    </w:p>
    <w:p w14:paraId="272D2880" w14:textId="6EA78450" w:rsidR="00516869" w:rsidRDefault="00516869" w:rsidP="0015509A">
      <w:pPr>
        <w:pStyle w:val="ListParagraph"/>
        <w:numPr>
          <w:ilvl w:val="0"/>
          <w:numId w:val="8"/>
        </w:numPr>
        <w:spacing w:after="0"/>
      </w:pPr>
      <w:r>
        <w:t>Pain and in the upper back and sides</w:t>
      </w:r>
    </w:p>
    <w:p w14:paraId="0A778A93" w14:textId="70F7208E" w:rsidR="00516869" w:rsidRDefault="00516869" w:rsidP="0015509A">
      <w:pPr>
        <w:pStyle w:val="ListParagraph"/>
        <w:numPr>
          <w:ilvl w:val="0"/>
          <w:numId w:val="8"/>
        </w:numPr>
        <w:spacing w:after="0"/>
      </w:pPr>
      <w:r>
        <w:t>Chills</w:t>
      </w:r>
    </w:p>
    <w:p w14:paraId="270BD53D" w14:textId="021A2340" w:rsidR="00516869" w:rsidRDefault="00516869" w:rsidP="0015509A">
      <w:pPr>
        <w:pStyle w:val="ListParagraph"/>
        <w:numPr>
          <w:ilvl w:val="0"/>
          <w:numId w:val="8"/>
        </w:numPr>
        <w:spacing w:after="0"/>
      </w:pPr>
      <w:r>
        <w:t>Fever</w:t>
      </w:r>
    </w:p>
    <w:p w14:paraId="0C00429B" w14:textId="76CB741E" w:rsidR="00516869" w:rsidRDefault="00516869" w:rsidP="0015509A">
      <w:pPr>
        <w:pStyle w:val="ListParagraph"/>
        <w:numPr>
          <w:ilvl w:val="0"/>
          <w:numId w:val="8"/>
        </w:numPr>
        <w:spacing w:after="0"/>
      </w:pPr>
      <w:r>
        <w:t>Nausea</w:t>
      </w:r>
    </w:p>
    <w:p w14:paraId="0107E5B1" w14:textId="334F341D" w:rsidR="00516869" w:rsidRDefault="00516869" w:rsidP="0015509A">
      <w:pPr>
        <w:pStyle w:val="ListParagraph"/>
        <w:numPr>
          <w:ilvl w:val="0"/>
          <w:numId w:val="8"/>
        </w:numPr>
        <w:spacing w:after="0"/>
      </w:pPr>
      <w:r>
        <w:t>Vomiting</w:t>
      </w:r>
    </w:p>
    <w:p w14:paraId="27035F50" w14:textId="77777777" w:rsidR="00516869" w:rsidRDefault="00516869" w:rsidP="0092597C">
      <w:pPr>
        <w:spacing w:before="240"/>
      </w:pPr>
      <w:r>
        <w:t>Patients with fever, back pain or flank pain may have pyelonephritis and should be referred to the doctor.</w:t>
      </w:r>
    </w:p>
    <w:p w14:paraId="476C59C1" w14:textId="4A66FC3C" w:rsidR="00516869" w:rsidRDefault="00516869" w:rsidP="00516869">
      <w:r>
        <w:t>The presence of vaginal itch or discharge make another diagnosis more likely. Patients with these sym</w:t>
      </w:r>
      <w:r w:rsidR="00AA7C7F">
        <w:t>ptoms need a speculum and pelvic</w:t>
      </w:r>
      <w:r>
        <w:t xml:space="preserve"> examination. Refer to the doctor if you cannot do this. </w:t>
      </w:r>
    </w:p>
    <w:p w14:paraId="22BC105A" w14:textId="77777777" w:rsidR="00516869" w:rsidRDefault="00516869" w:rsidP="00516869">
      <w:r>
        <w:t>Elderly patients are more difficult to diagnose – so if you are unsure refer them to the doctor.</w:t>
      </w:r>
    </w:p>
    <w:p w14:paraId="5632D8BA" w14:textId="61B9F0D9" w:rsidR="00516869" w:rsidRDefault="00516869" w:rsidP="00482347">
      <w:pPr>
        <w:spacing w:after="0"/>
      </w:pPr>
      <w:r>
        <w:t xml:space="preserve">Infants and young </w:t>
      </w:r>
      <w:r w:rsidR="00EB739F">
        <w:t>c</w:t>
      </w:r>
      <w:r>
        <w:t>hildren: Findings are typically non-specific in infants and young children</w:t>
      </w:r>
      <w:r w:rsidR="001C4514">
        <w:t>.</w:t>
      </w:r>
      <w:r>
        <w:t xml:space="preserve"> </w:t>
      </w:r>
      <w:r w:rsidR="001C4514">
        <w:t xml:space="preserve">Unexplained high fever is the most common presenting symptom for UTI in infants. Others may include </w:t>
      </w:r>
      <w:r>
        <w:t>fever, malaise, vomiting, letha</w:t>
      </w:r>
      <w:r w:rsidR="001C4514">
        <w:t>rgy, irritability, poor feeding and</w:t>
      </w:r>
      <w:r>
        <w:t xml:space="preserve"> abdominal pain. Symptoms become more specific as the child grows older. </w:t>
      </w:r>
    </w:p>
    <w:p w14:paraId="238477C1" w14:textId="77777777" w:rsidR="00516869" w:rsidRDefault="00516869" w:rsidP="00482347">
      <w:pPr>
        <w:spacing w:after="0"/>
      </w:pPr>
      <w:r>
        <w:t xml:space="preserve">Generally, female sex is a major risk factor for UTI but uncircumcised male infants have even higher risk due to physiologic phimosis. </w:t>
      </w:r>
    </w:p>
    <w:p w14:paraId="2BF2F6EA" w14:textId="77777777" w:rsidR="00516869" w:rsidRDefault="00516869" w:rsidP="00516869">
      <w:r>
        <w:t>Constipation is a risk factor for UTI in young children and should be specifically asked about.</w:t>
      </w:r>
    </w:p>
    <w:p w14:paraId="0D02F45B" w14:textId="77777777" w:rsidR="00975A60" w:rsidRPr="00DC590C" w:rsidRDefault="00975A60" w:rsidP="00975A60">
      <w:pPr>
        <w:pStyle w:val="Heading2"/>
        <w:rPr>
          <w:rFonts w:cs="Arial"/>
          <w:szCs w:val="22"/>
        </w:rPr>
      </w:pPr>
      <w:r w:rsidRPr="00DC590C">
        <w:rPr>
          <w:rFonts w:cs="Arial"/>
          <w:szCs w:val="22"/>
        </w:rPr>
        <w:t>Examination findings</w:t>
      </w:r>
    </w:p>
    <w:p w14:paraId="4AB3766A" w14:textId="2BE6D2AF" w:rsidR="00924F35" w:rsidRDefault="00E83306" w:rsidP="002A2856">
      <w:r w:rsidRPr="00E83306">
        <w:t xml:space="preserve">Patients with uncomplicated UTI may appear uncomfortable but typically are not toxic. Suprapubic tenderness may be present. The presence of toxic signs such as fever, chills, nausea, and vomiting suggests pyelonephritis. Costovertebral tenderness also suggests pyelonephritis. </w:t>
      </w:r>
    </w:p>
    <w:p w14:paraId="741988B9" w14:textId="77777777" w:rsidR="00E83306" w:rsidRPr="00E83306" w:rsidRDefault="00E83306" w:rsidP="00E83306">
      <w:pPr>
        <w:rPr>
          <w:b/>
        </w:rPr>
      </w:pPr>
      <w:r w:rsidRPr="00E83306">
        <w:rPr>
          <w:b/>
        </w:rPr>
        <w:t>Important things to look for</w:t>
      </w:r>
    </w:p>
    <w:p w14:paraId="129F22E9" w14:textId="3BF0F190" w:rsidR="00E83306" w:rsidRDefault="00E83306" w:rsidP="0015509A">
      <w:pPr>
        <w:pStyle w:val="ListParagraph"/>
        <w:numPr>
          <w:ilvl w:val="0"/>
          <w:numId w:val="4"/>
        </w:numPr>
        <w:spacing w:after="0"/>
      </w:pPr>
      <w:r>
        <w:t>Costovertebral tenderness</w:t>
      </w:r>
    </w:p>
    <w:p w14:paraId="7E0B084D" w14:textId="3F2E1070" w:rsidR="00E83306" w:rsidRDefault="00E83306" w:rsidP="0015509A">
      <w:pPr>
        <w:pStyle w:val="ListParagraph"/>
        <w:numPr>
          <w:ilvl w:val="0"/>
          <w:numId w:val="4"/>
        </w:numPr>
        <w:spacing w:after="0"/>
      </w:pPr>
      <w:r>
        <w:t>Suprapubic tenderness</w:t>
      </w:r>
    </w:p>
    <w:p w14:paraId="084A7301" w14:textId="7C4AE183" w:rsidR="00E83306" w:rsidRDefault="00E83306" w:rsidP="0015509A">
      <w:pPr>
        <w:pStyle w:val="ListParagraph"/>
        <w:numPr>
          <w:ilvl w:val="0"/>
          <w:numId w:val="4"/>
        </w:numPr>
        <w:spacing w:after="0"/>
      </w:pPr>
      <w:r>
        <w:t>Features of Chronic Kidney Disease</w:t>
      </w:r>
    </w:p>
    <w:p w14:paraId="2B2A98C0" w14:textId="578E8848" w:rsidR="00E83306" w:rsidRDefault="00E83306" w:rsidP="0015509A">
      <w:pPr>
        <w:pStyle w:val="ListParagraph"/>
        <w:numPr>
          <w:ilvl w:val="0"/>
          <w:numId w:val="4"/>
        </w:numPr>
        <w:spacing w:after="0"/>
      </w:pPr>
      <w:r>
        <w:t>High blood pressure</w:t>
      </w:r>
    </w:p>
    <w:p w14:paraId="60BFE47D" w14:textId="77777777" w:rsidR="00E83306" w:rsidRPr="00E83306" w:rsidRDefault="00E83306" w:rsidP="00E83306">
      <w:pPr>
        <w:rPr>
          <w:b/>
        </w:rPr>
      </w:pPr>
      <w:r w:rsidRPr="00E83306">
        <w:rPr>
          <w:b/>
        </w:rPr>
        <w:lastRenderedPageBreak/>
        <w:t>Differential diagnoses</w:t>
      </w:r>
    </w:p>
    <w:p w14:paraId="3CAD81E7" w14:textId="32D0730F" w:rsidR="00E83306" w:rsidRDefault="00E83306" w:rsidP="0015509A">
      <w:pPr>
        <w:pStyle w:val="ListParagraph"/>
        <w:numPr>
          <w:ilvl w:val="0"/>
          <w:numId w:val="9"/>
        </w:numPr>
        <w:spacing w:after="0"/>
      </w:pPr>
      <w:r>
        <w:t>Nephrolithiasis</w:t>
      </w:r>
    </w:p>
    <w:p w14:paraId="675D435F" w14:textId="7ADD15E8" w:rsidR="00E83306" w:rsidRDefault="00E83306" w:rsidP="0015509A">
      <w:pPr>
        <w:pStyle w:val="ListParagraph"/>
        <w:numPr>
          <w:ilvl w:val="0"/>
          <w:numId w:val="9"/>
        </w:numPr>
        <w:spacing w:after="0"/>
      </w:pPr>
      <w:r>
        <w:t>Appendicitis</w:t>
      </w:r>
    </w:p>
    <w:p w14:paraId="7FEE8626" w14:textId="06D86A0F" w:rsidR="00E83306" w:rsidRDefault="00E83306" w:rsidP="0015509A">
      <w:pPr>
        <w:pStyle w:val="ListParagraph"/>
        <w:numPr>
          <w:ilvl w:val="0"/>
          <w:numId w:val="9"/>
        </w:numPr>
        <w:spacing w:after="0"/>
      </w:pPr>
      <w:r>
        <w:t>Glomerulonephritis</w:t>
      </w:r>
    </w:p>
    <w:p w14:paraId="7C9D5C8F" w14:textId="1A3BC89D" w:rsidR="00E83306" w:rsidRDefault="00E83306" w:rsidP="0015509A">
      <w:pPr>
        <w:pStyle w:val="ListParagraph"/>
        <w:numPr>
          <w:ilvl w:val="0"/>
          <w:numId w:val="9"/>
        </w:numPr>
        <w:spacing w:after="0"/>
      </w:pPr>
      <w:r>
        <w:t>Urethritis</w:t>
      </w:r>
    </w:p>
    <w:p w14:paraId="3BF4C46C" w14:textId="214995E3" w:rsidR="00E83306" w:rsidRDefault="00E83306" w:rsidP="0015509A">
      <w:pPr>
        <w:pStyle w:val="ListParagraph"/>
        <w:numPr>
          <w:ilvl w:val="0"/>
          <w:numId w:val="9"/>
        </w:numPr>
        <w:spacing w:after="0"/>
      </w:pPr>
      <w:r>
        <w:t>Gastroenteritis</w:t>
      </w:r>
    </w:p>
    <w:p w14:paraId="68135305" w14:textId="080EDC0F" w:rsidR="00C541AE" w:rsidRDefault="00E83306" w:rsidP="0015509A">
      <w:pPr>
        <w:pStyle w:val="ListParagraph"/>
        <w:numPr>
          <w:ilvl w:val="0"/>
          <w:numId w:val="9"/>
        </w:numPr>
        <w:spacing w:after="0"/>
      </w:pPr>
      <w:r>
        <w:t>Schistosomiasis</w:t>
      </w:r>
    </w:p>
    <w:p w14:paraId="4864C7D9" w14:textId="77777777" w:rsidR="00A5476D" w:rsidRDefault="00A5476D" w:rsidP="001C40F3">
      <w:pPr>
        <w:pStyle w:val="Heading2"/>
      </w:pPr>
      <w:r>
        <w:t>Investigations</w:t>
      </w:r>
    </w:p>
    <w:p w14:paraId="5106832E" w14:textId="7C0CE33E" w:rsidR="00E83306" w:rsidRPr="009422FE" w:rsidRDefault="00EB739F" w:rsidP="0015509A">
      <w:pPr>
        <w:pStyle w:val="ListParagraph"/>
        <w:numPr>
          <w:ilvl w:val="0"/>
          <w:numId w:val="10"/>
        </w:numPr>
        <w:spacing w:after="0"/>
      </w:pPr>
      <w:r>
        <w:t xml:space="preserve">Dipstick Urinalysis: </w:t>
      </w:r>
      <w:r w:rsidR="00E83306" w:rsidRPr="009422FE">
        <w:t xml:space="preserve">Nitrite and leucocyte esterase are the most useful markers. </w:t>
      </w:r>
      <w:proofErr w:type="spellStart"/>
      <w:r w:rsidR="00E83306" w:rsidRPr="009422FE">
        <w:t>Haematuria</w:t>
      </w:r>
      <w:proofErr w:type="spellEnd"/>
      <w:r w:rsidR="00E83306" w:rsidRPr="009422FE">
        <w:t xml:space="preserve"> and proteinuria may be present.</w:t>
      </w:r>
    </w:p>
    <w:p w14:paraId="01E36344" w14:textId="10C6055B" w:rsidR="00E83306" w:rsidRDefault="00E83306" w:rsidP="0015509A">
      <w:pPr>
        <w:pStyle w:val="ListParagraph"/>
        <w:numPr>
          <w:ilvl w:val="0"/>
          <w:numId w:val="10"/>
        </w:numPr>
        <w:spacing w:after="0"/>
      </w:pPr>
      <w:r w:rsidRPr="009422FE">
        <w:t>Urine microscopy, culture and sensitivity</w:t>
      </w:r>
      <w:r w:rsidR="00EB739F">
        <w:t>:</w:t>
      </w:r>
    </w:p>
    <w:p w14:paraId="2EFBE67D" w14:textId="5A31C568" w:rsidR="00EB739F" w:rsidRPr="009422FE" w:rsidRDefault="00EB739F" w:rsidP="0015509A">
      <w:pPr>
        <w:pStyle w:val="ListParagraph"/>
        <w:numPr>
          <w:ilvl w:val="1"/>
          <w:numId w:val="10"/>
        </w:numPr>
      </w:pPr>
      <w:r w:rsidRPr="00A763F9">
        <w:t>Asymptomatic bacteriuria is defined as the presence of bacteria in the urine in quantities of 10</w:t>
      </w:r>
      <w:r w:rsidRPr="00366D83">
        <w:rPr>
          <w:vertAlign w:val="superscript"/>
        </w:rPr>
        <w:t>5</w:t>
      </w:r>
      <w:r w:rsidRPr="00A763F9">
        <w:t xml:space="preserve"> colony forming units per milliliter or more in 2 consecutive urine specimens in women or 1 urine specimen in men in the absence of clinical signs and</w:t>
      </w:r>
      <w:r>
        <w:t xml:space="preserve"> symptoms suggestive of a UTI. </w:t>
      </w:r>
      <w:r w:rsidRPr="002529A1">
        <w:t>It is more common in older women and in diabetic patients.</w:t>
      </w:r>
      <w:r w:rsidRPr="00EB739F">
        <w:t xml:space="preserve"> </w:t>
      </w:r>
      <w:r w:rsidRPr="002529A1">
        <w:t>This does not necessarily lead to illness and does not need to be treated</w:t>
      </w:r>
      <w:r>
        <w:t xml:space="preserve"> except in pregnant women.</w:t>
      </w:r>
    </w:p>
    <w:p w14:paraId="1576C507" w14:textId="0C109046" w:rsidR="00EB739F" w:rsidRDefault="00E83306" w:rsidP="0015509A">
      <w:pPr>
        <w:pStyle w:val="ListParagraph"/>
        <w:numPr>
          <w:ilvl w:val="0"/>
          <w:numId w:val="10"/>
        </w:numPr>
        <w:spacing w:after="0"/>
      </w:pPr>
      <w:r w:rsidRPr="009422FE">
        <w:t>Full Blood Count: useful in complicated UTI, pyelonephritis</w:t>
      </w:r>
      <w:r w:rsidR="003F5EE4">
        <w:t>.</w:t>
      </w:r>
    </w:p>
    <w:p w14:paraId="0D3F585A" w14:textId="0A8C61FC" w:rsidR="00F03F25" w:rsidRDefault="001203AE" w:rsidP="002A2856">
      <w:pPr>
        <w:pStyle w:val="Heading2"/>
        <w:rPr>
          <w:rFonts w:cs="Arial"/>
          <w:szCs w:val="22"/>
        </w:rPr>
      </w:pPr>
      <w:r w:rsidRPr="003C0800">
        <w:rPr>
          <w:rFonts w:cs="Arial"/>
          <w:szCs w:val="22"/>
        </w:rPr>
        <w:t>Management</w:t>
      </w:r>
      <w:r>
        <w:rPr>
          <w:rFonts w:cs="Arial"/>
          <w:szCs w:val="22"/>
        </w:rPr>
        <w:t xml:space="preserve"> </w:t>
      </w:r>
      <w:r w:rsidR="009422FE" w:rsidRPr="009422FE">
        <w:rPr>
          <w:rFonts w:cs="Arial"/>
          <w:szCs w:val="22"/>
        </w:rPr>
        <w:t>in Gate Clinic</w:t>
      </w:r>
    </w:p>
    <w:p w14:paraId="5B5C30DC" w14:textId="77777777" w:rsidR="00F91749" w:rsidRDefault="00F91749" w:rsidP="00971E62">
      <w:pPr>
        <w:rPr>
          <w:b/>
          <w:bCs/>
        </w:rPr>
      </w:pPr>
      <w:r w:rsidRPr="00F91749">
        <w:t>Advise all patients to drink plenty of water.</w:t>
      </w:r>
    </w:p>
    <w:p w14:paraId="083595D5" w14:textId="77777777" w:rsidR="00F91749" w:rsidRPr="003F5EE4" w:rsidRDefault="00F91749" w:rsidP="003F5EE4">
      <w:pPr>
        <w:pStyle w:val="Heading3"/>
      </w:pPr>
      <w:r w:rsidRPr="003F5EE4">
        <w:t>Non-pregnant women (16 years and older)</w:t>
      </w:r>
    </w:p>
    <w:p w14:paraId="0AC1C2B5" w14:textId="388A5794" w:rsidR="00F91749" w:rsidRDefault="00F91749" w:rsidP="00F91749">
      <w:r>
        <w:t>Women with dysuria and frequency or who have 3 or more symptoms of UTI (and no symptoms of pyelonephritis) can be diagnosed clinically without any further investigation. Treat with nitrofurantoin 100</w:t>
      </w:r>
      <w:r w:rsidR="00BC6DBA">
        <w:t xml:space="preserve"> </w:t>
      </w:r>
      <w:r>
        <w:t>mg BD for 3 days.</w:t>
      </w:r>
    </w:p>
    <w:p w14:paraId="46574151" w14:textId="77777777" w:rsidR="00F91749" w:rsidRDefault="00F91749" w:rsidP="00F91749">
      <w:r>
        <w:t>Women with 1 or 2 symptoms of UTI should provide a urine sample for dipstick. Any symptomatic woman whose dipstick is positive for leukocytes or nitrites should be treated for UTI as above.</w:t>
      </w:r>
    </w:p>
    <w:p w14:paraId="1C7196AC" w14:textId="77777777" w:rsidR="00F91749" w:rsidRPr="006A7A2B" w:rsidRDefault="00F91749" w:rsidP="003F5EE4">
      <w:pPr>
        <w:pStyle w:val="Heading3"/>
      </w:pPr>
      <w:r w:rsidRPr="006A7A2B">
        <w:t>Pregnant women</w:t>
      </w:r>
    </w:p>
    <w:p w14:paraId="4CADFA95" w14:textId="19FA6366" w:rsidR="00F91749" w:rsidRDefault="00F91749" w:rsidP="00F91749">
      <w:r>
        <w:t>Urine dipstick is not sufficiently sensitive for UTI in pregnant women. Women with symptoms of UTI should be treated with nitrofurantoin 100</w:t>
      </w:r>
      <w:r w:rsidR="00BC6DBA">
        <w:t xml:space="preserve"> </w:t>
      </w:r>
      <w:r>
        <w:t>mg BD for 7 days. Oral amoxicillin 500</w:t>
      </w:r>
      <w:r w:rsidR="00BC6DBA">
        <w:t xml:space="preserve"> </w:t>
      </w:r>
      <w:r>
        <w:t>mg TDS for 7 days is preferable for pregnant women already at term.</w:t>
      </w:r>
    </w:p>
    <w:p w14:paraId="49730583" w14:textId="77777777" w:rsidR="00F91749" w:rsidRDefault="00F91749" w:rsidP="00F91749">
      <w:r>
        <w:t>A urine sample should be sent to the lab for MC&amp;S. Ask the patient to return to the clinic after the course of antibiotics. A further urine MC&amp;S should be sent to ensure the infection has been cured.</w:t>
      </w:r>
    </w:p>
    <w:p w14:paraId="5CA75532" w14:textId="77777777" w:rsidR="00F91749" w:rsidRPr="006A7A2B" w:rsidRDefault="00F91749" w:rsidP="003F5EE4">
      <w:pPr>
        <w:pStyle w:val="Heading3"/>
      </w:pPr>
      <w:r w:rsidRPr="006A7A2B">
        <w:t>Men</w:t>
      </w:r>
      <w:r>
        <w:t xml:space="preserve"> (16 years and older)</w:t>
      </w:r>
    </w:p>
    <w:p w14:paraId="1A7C3A81" w14:textId="35C3ED63" w:rsidR="00F91749" w:rsidRDefault="00F91749" w:rsidP="00F91749">
      <w:r>
        <w:t>Urine dipstick is not useful in men. Send a sample of urine for MC&amp;S. Treat empirically with Ciprofloxacin 500</w:t>
      </w:r>
      <w:r w:rsidR="00BC6DBA">
        <w:t xml:space="preserve"> </w:t>
      </w:r>
      <w:r>
        <w:t xml:space="preserve">mg BD for 10 days. Ask the patient to return after this if they are not better. </w:t>
      </w:r>
      <w:r w:rsidRPr="00320887">
        <w:rPr>
          <w:i/>
        </w:rPr>
        <w:t>Refer</w:t>
      </w:r>
      <w:r>
        <w:t xml:space="preserve"> the patient to the doctor if they return.</w:t>
      </w:r>
    </w:p>
    <w:p w14:paraId="2ADD2A73" w14:textId="77777777" w:rsidR="00F91749" w:rsidRPr="00583A31" w:rsidRDefault="00F91749" w:rsidP="003F5EE4">
      <w:pPr>
        <w:pStyle w:val="Heading3"/>
      </w:pPr>
      <w:r w:rsidRPr="00583A31">
        <w:t>Children</w:t>
      </w:r>
      <w:r>
        <w:t xml:space="preserve"> (&lt;16 years)</w:t>
      </w:r>
    </w:p>
    <w:p w14:paraId="01B2517A" w14:textId="77777777" w:rsidR="00F91749" w:rsidRDefault="00F91749" w:rsidP="00F91749">
      <w:r>
        <w:t xml:space="preserve">Children under 3 months should be </w:t>
      </w:r>
      <w:r w:rsidRPr="00583A31">
        <w:rPr>
          <w:i/>
        </w:rPr>
        <w:t>referred</w:t>
      </w:r>
      <w:r>
        <w:t xml:space="preserve"> to the doctor.</w:t>
      </w:r>
    </w:p>
    <w:p w14:paraId="30EC64AD" w14:textId="77777777" w:rsidR="00F91749" w:rsidRDefault="00F91749" w:rsidP="00F91749">
      <w:r>
        <w:lastRenderedPageBreak/>
        <w:t xml:space="preserve">Children over 3 months, but under 3 years who have specific urinary symptoms should be assumed to have a UTI. Urine should be sent for MC&amp;S. Treat as described below. </w:t>
      </w:r>
      <w:r w:rsidRPr="00583A31">
        <w:rPr>
          <w:i/>
        </w:rPr>
        <w:t>Refer</w:t>
      </w:r>
      <w:r>
        <w:t xml:space="preserve"> other children in this age group to the doctor.</w:t>
      </w:r>
    </w:p>
    <w:p w14:paraId="77DF12E5" w14:textId="77777777" w:rsidR="00F91749" w:rsidRDefault="00F91749" w:rsidP="00F91749">
      <w:r>
        <w:t xml:space="preserve">Children over 3 years old in whom UTI is suspected should provide a urine sample for dipstick. If the dipstick is positive for nitrites and leukocytes, treat for UTI. If it is positive for nitrites alone, treat but also send a sample for MC&amp;S. If the dipstick is either positive only for leukocytes or negative, then </w:t>
      </w:r>
      <w:r w:rsidRPr="00583A31">
        <w:rPr>
          <w:i/>
        </w:rPr>
        <w:t>refer</w:t>
      </w:r>
      <w:r>
        <w:t xml:space="preserve"> to the doctor.</w:t>
      </w:r>
    </w:p>
    <w:p w14:paraId="43E4C810" w14:textId="67148E24" w:rsidR="00F91749" w:rsidRPr="008931E8" w:rsidRDefault="00F91749" w:rsidP="00F91749">
      <w:r>
        <w:t>Treat children with amoxicillin 30</w:t>
      </w:r>
      <w:r w:rsidR="00223CD0">
        <w:t xml:space="preserve"> </w:t>
      </w:r>
      <w:r>
        <w:t>mg/kg (max 500</w:t>
      </w:r>
      <w:r w:rsidR="00223CD0">
        <w:t xml:space="preserve"> </w:t>
      </w:r>
      <w:r>
        <w:t xml:space="preserve">mg) TDS for 3 days. Tell the </w:t>
      </w:r>
      <w:proofErr w:type="spellStart"/>
      <w:r>
        <w:t>carer</w:t>
      </w:r>
      <w:proofErr w:type="spellEnd"/>
      <w:r>
        <w:t xml:space="preserve"> to bring the child back if they do not improve with this treatment. </w:t>
      </w:r>
      <w:r w:rsidRPr="00583A31">
        <w:rPr>
          <w:i/>
        </w:rPr>
        <w:t>Refer</w:t>
      </w:r>
      <w:r>
        <w:t xml:space="preserve"> all returning children to the doctor.</w:t>
      </w:r>
    </w:p>
    <w:p w14:paraId="3ADBE4CE" w14:textId="77777777" w:rsidR="00F91749" w:rsidRPr="00DF5E6E" w:rsidRDefault="00F91749" w:rsidP="00F91749">
      <w:pPr>
        <w:rPr>
          <w:b/>
          <w:u w:val="single"/>
        </w:rPr>
      </w:pPr>
      <w:r w:rsidRPr="00DF5E6E">
        <w:rPr>
          <w:b/>
          <w:u w:val="single"/>
        </w:rPr>
        <w:t>Refer to the Doctor in OPD if:</w:t>
      </w:r>
    </w:p>
    <w:p w14:paraId="20E58842" w14:textId="77777777" w:rsidR="00F91749" w:rsidRDefault="00F91749" w:rsidP="0015509A">
      <w:pPr>
        <w:pStyle w:val="ListParagraph"/>
        <w:numPr>
          <w:ilvl w:val="0"/>
          <w:numId w:val="1"/>
        </w:numPr>
      </w:pPr>
      <w:r>
        <w:t xml:space="preserve">patients with signs of pyelonephritis: fever, back pain or flank pain. </w:t>
      </w:r>
    </w:p>
    <w:p w14:paraId="20A90227" w14:textId="77777777" w:rsidR="00F91749" w:rsidRDefault="00F91749" w:rsidP="0015509A">
      <w:pPr>
        <w:pStyle w:val="ListParagraph"/>
        <w:numPr>
          <w:ilvl w:val="0"/>
          <w:numId w:val="1"/>
        </w:numPr>
      </w:pPr>
      <w:r>
        <w:t>women with vaginal itch or discharge.</w:t>
      </w:r>
    </w:p>
    <w:p w14:paraId="0EC45229" w14:textId="77777777" w:rsidR="00F91749" w:rsidRDefault="00F91749" w:rsidP="0015509A">
      <w:pPr>
        <w:pStyle w:val="ListParagraph"/>
        <w:numPr>
          <w:ilvl w:val="0"/>
          <w:numId w:val="1"/>
        </w:numPr>
      </w:pPr>
      <w:r>
        <w:t>elderly patients where the diagnosis is not clear.</w:t>
      </w:r>
    </w:p>
    <w:p w14:paraId="584D6D1A" w14:textId="77777777" w:rsidR="001F08E5" w:rsidRDefault="00F91749" w:rsidP="0015509A">
      <w:pPr>
        <w:pStyle w:val="ListParagraph"/>
        <w:numPr>
          <w:ilvl w:val="0"/>
          <w:numId w:val="1"/>
        </w:numPr>
      </w:pPr>
      <w:r>
        <w:t xml:space="preserve">all children under 3 months </w:t>
      </w:r>
    </w:p>
    <w:p w14:paraId="48A71B70" w14:textId="3D4C3FE2" w:rsidR="00971E62" w:rsidRDefault="001F08E5" w:rsidP="0015509A">
      <w:pPr>
        <w:pStyle w:val="ListParagraph"/>
        <w:numPr>
          <w:ilvl w:val="0"/>
          <w:numId w:val="1"/>
        </w:numPr>
      </w:pPr>
      <w:r>
        <w:t xml:space="preserve">children </w:t>
      </w:r>
      <w:r w:rsidR="00F91749">
        <w:t xml:space="preserve">over 3 months and under 3 years where the diagnosis is not clear. </w:t>
      </w:r>
    </w:p>
    <w:p w14:paraId="1C90A705" w14:textId="00291DD0" w:rsidR="00F91749" w:rsidRDefault="00971E62" w:rsidP="0015509A">
      <w:pPr>
        <w:pStyle w:val="ListParagraph"/>
        <w:numPr>
          <w:ilvl w:val="0"/>
          <w:numId w:val="1"/>
        </w:numPr>
      </w:pPr>
      <w:r>
        <w:t>children</w:t>
      </w:r>
      <w:r w:rsidR="00F91749">
        <w:t xml:space="preserve"> over 3 years whose urine dipstick is not positive for nitrites.</w:t>
      </w:r>
    </w:p>
    <w:p w14:paraId="46969377" w14:textId="6A86C6A8" w:rsidR="006F2025" w:rsidRPr="009422FE" w:rsidRDefault="00F91749" w:rsidP="0015509A">
      <w:pPr>
        <w:pStyle w:val="ListParagraph"/>
        <w:numPr>
          <w:ilvl w:val="0"/>
          <w:numId w:val="1"/>
        </w:numPr>
        <w:spacing w:after="0"/>
        <w:outlineLvl w:val="9"/>
        <w:rPr>
          <w:rFonts w:eastAsia="Times New Roman" w:cs="Times New Roman"/>
          <w:b/>
          <w:bCs/>
          <w:szCs w:val="26"/>
        </w:rPr>
      </w:pPr>
      <w:r>
        <w:t>all patients who return to the clinic because their symptoms have not resolved with first line treatment.</w:t>
      </w:r>
    </w:p>
    <w:p w14:paraId="78A30C19" w14:textId="2ABD98AB" w:rsidR="00F91749" w:rsidRPr="009422FE" w:rsidRDefault="00F91749" w:rsidP="009422FE">
      <w:pPr>
        <w:pStyle w:val="Heading2"/>
        <w:rPr>
          <w:rFonts w:cs="Arial"/>
          <w:szCs w:val="22"/>
        </w:rPr>
      </w:pPr>
      <w:r w:rsidRPr="009422FE">
        <w:rPr>
          <w:rFonts w:cs="Arial"/>
          <w:szCs w:val="22"/>
        </w:rPr>
        <w:t>Management in OPD</w:t>
      </w:r>
    </w:p>
    <w:p w14:paraId="3E3061B6" w14:textId="77777777" w:rsidR="00F91749" w:rsidRPr="009422FE" w:rsidRDefault="00F91749" w:rsidP="00F91749">
      <w:pPr>
        <w:rPr>
          <w:b/>
          <w:u w:val="single"/>
        </w:rPr>
      </w:pPr>
      <w:r w:rsidRPr="009422FE">
        <w:rPr>
          <w:b/>
          <w:u w:val="single"/>
        </w:rPr>
        <w:t>Children between 3 months and 3 years:</w:t>
      </w:r>
    </w:p>
    <w:p w14:paraId="6931F1C9" w14:textId="68D49E9E" w:rsidR="00C52A42" w:rsidRPr="00F91749" w:rsidRDefault="00F91749" w:rsidP="00F91749">
      <w:pPr>
        <w:rPr>
          <w:lang w:val="en-GB"/>
        </w:rPr>
      </w:pPr>
      <w:r w:rsidRPr="00F91749">
        <w:rPr>
          <w:lang w:val="en-GB"/>
        </w:rPr>
        <w:t xml:space="preserve">Treat UTI if either nitrite or leucocyte esterase is positive. Review with urine </w:t>
      </w:r>
      <w:r w:rsidR="00307B0D">
        <w:rPr>
          <w:lang w:val="en-GB"/>
        </w:rPr>
        <w:t>MC&amp;S</w:t>
      </w:r>
      <w:r w:rsidR="00C52A42">
        <w:rPr>
          <w:lang w:val="en-GB"/>
        </w:rPr>
        <w:t>.</w:t>
      </w:r>
    </w:p>
    <w:p w14:paraId="11D7659C" w14:textId="77777777" w:rsidR="00F91749" w:rsidRPr="009422FE" w:rsidRDefault="00F91749" w:rsidP="00F91749">
      <w:pPr>
        <w:rPr>
          <w:b/>
          <w:u w:val="single"/>
        </w:rPr>
      </w:pPr>
      <w:r w:rsidRPr="009422FE">
        <w:rPr>
          <w:b/>
          <w:u w:val="single"/>
        </w:rPr>
        <w:t>Children over 3 years with negative nitrite on dipstick</w:t>
      </w:r>
    </w:p>
    <w:p w14:paraId="38C04758" w14:textId="1A9DFA89" w:rsidR="00F91749" w:rsidRPr="00F91749" w:rsidRDefault="00F91749" w:rsidP="00F91749">
      <w:pPr>
        <w:rPr>
          <w:lang w:val="en-GB"/>
        </w:rPr>
      </w:pPr>
      <w:r w:rsidRPr="00F91749">
        <w:rPr>
          <w:lang w:val="en-GB"/>
        </w:rPr>
        <w:t xml:space="preserve">If leucocyte esterase is also negative, do not treat as UTI and do not send sample for urine </w:t>
      </w:r>
      <w:r w:rsidR="00307B0D">
        <w:rPr>
          <w:lang w:val="en-GB"/>
        </w:rPr>
        <w:t>MC&amp;S</w:t>
      </w:r>
      <w:r w:rsidRPr="00F91749">
        <w:rPr>
          <w:lang w:val="en-GB"/>
        </w:rPr>
        <w:t>.</w:t>
      </w:r>
      <w:r w:rsidR="00971E62">
        <w:rPr>
          <w:lang w:val="en-GB"/>
        </w:rPr>
        <w:t xml:space="preserve"> </w:t>
      </w:r>
      <w:r w:rsidRPr="00F91749">
        <w:rPr>
          <w:lang w:val="en-GB"/>
        </w:rPr>
        <w:t xml:space="preserve">Explore alternative diagnoses. </w:t>
      </w:r>
    </w:p>
    <w:p w14:paraId="437DC18D" w14:textId="1C21483E" w:rsidR="00F91749" w:rsidRPr="00F91749" w:rsidRDefault="00F91749" w:rsidP="00F91749">
      <w:pPr>
        <w:rPr>
          <w:lang w:val="en-GB"/>
        </w:rPr>
      </w:pPr>
      <w:r w:rsidRPr="00F91749">
        <w:rPr>
          <w:lang w:val="en-GB"/>
        </w:rPr>
        <w:t xml:space="preserve">If leucocyte esterase is positive, send a sample for urine </w:t>
      </w:r>
      <w:r w:rsidR="00307B0D">
        <w:rPr>
          <w:lang w:val="en-GB"/>
        </w:rPr>
        <w:t>MC&amp;S</w:t>
      </w:r>
      <w:r w:rsidRPr="00F91749">
        <w:rPr>
          <w:lang w:val="en-GB"/>
        </w:rPr>
        <w:t>. Consider starting antibiotics only if the child also has definite and specific UTI symptoms.</w:t>
      </w:r>
    </w:p>
    <w:p w14:paraId="4A771C1C" w14:textId="77777777" w:rsidR="00F91749" w:rsidRPr="009422FE" w:rsidRDefault="00F91749" w:rsidP="00F91749">
      <w:pPr>
        <w:rPr>
          <w:b/>
          <w:u w:val="single"/>
        </w:rPr>
      </w:pPr>
      <w:r w:rsidRPr="009422FE">
        <w:rPr>
          <w:b/>
          <w:u w:val="single"/>
        </w:rPr>
        <w:t xml:space="preserve">Pyelonephritis: </w:t>
      </w:r>
    </w:p>
    <w:p w14:paraId="53F1DB21" w14:textId="169FF8D2" w:rsidR="00AA7C7F" w:rsidRDefault="00F91749" w:rsidP="00AA7C7F">
      <w:r w:rsidRPr="00F91749">
        <w:rPr>
          <w:lang w:val="en-GB"/>
        </w:rPr>
        <w:t xml:space="preserve">Commence antibiotics after sending samples for urine </w:t>
      </w:r>
      <w:r w:rsidR="00307B0D">
        <w:rPr>
          <w:lang w:val="en-GB"/>
        </w:rPr>
        <w:t>MC&amp;S</w:t>
      </w:r>
      <w:r w:rsidRPr="00F91749">
        <w:rPr>
          <w:lang w:val="en-GB"/>
        </w:rPr>
        <w:t xml:space="preserve">. Oral antibiotics are preferred unless the patient cannot tolerate them or is severely ill. </w:t>
      </w:r>
    </w:p>
    <w:p w14:paraId="567E2880" w14:textId="37DFA079" w:rsidR="00F91749" w:rsidRPr="00F91749" w:rsidRDefault="00F91749" w:rsidP="00F91749">
      <w:pPr>
        <w:rPr>
          <w:lang w:val="en-GB"/>
        </w:rPr>
      </w:pPr>
      <w:r w:rsidRPr="00F91749">
        <w:rPr>
          <w:lang w:val="en-GB"/>
        </w:rPr>
        <w:t>For non-pregnant women and men (16 years and older), give oral ciprofloxacin 500</w:t>
      </w:r>
      <w:r w:rsidR="008F5849">
        <w:rPr>
          <w:lang w:val="en-GB"/>
        </w:rPr>
        <w:t xml:space="preserve"> </w:t>
      </w:r>
      <w:r w:rsidRPr="00F91749">
        <w:rPr>
          <w:lang w:val="en-GB"/>
        </w:rPr>
        <w:t>mg BD for 7 days. Pregnant women should be admitted and given intravenous antibiotics initially.</w:t>
      </w:r>
    </w:p>
    <w:p w14:paraId="40E49788" w14:textId="77777777" w:rsidR="00F91749" w:rsidRPr="009422FE" w:rsidRDefault="00F91749" w:rsidP="00F91749">
      <w:pPr>
        <w:rPr>
          <w:b/>
          <w:u w:val="single"/>
        </w:rPr>
      </w:pPr>
      <w:r w:rsidRPr="009422FE">
        <w:rPr>
          <w:b/>
          <w:u w:val="single"/>
        </w:rPr>
        <w:t>Patients returning without improvement:</w:t>
      </w:r>
    </w:p>
    <w:p w14:paraId="1C961EDD" w14:textId="6FFB9458" w:rsidR="00F91749" w:rsidRDefault="00F91749" w:rsidP="00F91749">
      <w:pPr>
        <w:rPr>
          <w:lang w:val="en-GB"/>
        </w:rPr>
      </w:pPr>
      <w:r w:rsidRPr="00F91749">
        <w:rPr>
          <w:lang w:val="en-GB"/>
        </w:rPr>
        <w:t xml:space="preserve">Review results of urine </w:t>
      </w:r>
      <w:r w:rsidR="00307B0D">
        <w:rPr>
          <w:lang w:val="en-GB"/>
        </w:rPr>
        <w:t>MC&amp;S</w:t>
      </w:r>
      <w:r w:rsidRPr="00F91749">
        <w:rPr>
          <w:lang w:val="en-GB"/>
        </w:rPr>
        <w:t xml:space="preserve"> and alter antibiotic prescription accordingly if necessary. Consider alternative diagnosis if culture is negative.</w:t>
      </w:r>
    </w:p>
    <w:p w14:paraId="125E5BC5" w14:textId="16809897" w:rsidR="003D77CE" w:rsidRDefault="00F2450A" w:rsidP="003D77CE">
      <w:pPr>
        <w:rPr>
          <w:b/>
          <w:u w:val="single"/>
        </w:rPr>
      </w:pPr>
      <w:r>
        <w:rPr>
          <w:b/>
          <w:u w:val="single"/>
        </w:rPr>
        <w:t xml:space="preserve">Children with </w:t>
      </w:r>
      <w:r w:rsidR="003D77CE">
        <w:rPr>
          <w:b/>
          <w:u w:val="single"/>
        </w:rPr>
        <w:t>recurrent UTI</w:t>
      </w:r>
      <w:r w:rsidR="003D77CE" w:rsidRPr="009422FE">
        <w:rPr>
          <w:b/>
          <w:u w:val="single"/>
        </w:rPr>
        <w:t>:</w:t>
      </w:r>
    </w:p>
    <w:p w14:paraId="28666EA2" w14:textId="220364A4" w:rsidR="00EB739F" w:rsidRDefault="00F2450A" w:rsidP="00EB739F">
      <w:pPr>
        <w:rPr>
          <w:szCs w:val="22"/>
        </w:rPr>
      </w:pPr>
      <w:r>
        <w:t xml:space="preserve">A child is considered to have recurrent UTI if they have had 2 UTIs where at least one episode was acute pyelonephritis. Children with 3 </w:t>
      </w:r>
      <w:r w:rsidR="0014618A">
        <w:t xml:space="preserve">or more </w:t>
      </w:r>
      <w:r>
        <w:t xml:space="preserve">episodes of lower UTI are also considered as having recurrent UTI. Such patients should receive urinary tract ultrasonography within 6 weeks of resolution of last episode. </w:t>
      </w:r>
    </w:p>
    <w:p w14:paraId="2C1FA3B4" w14:textId="18E440E5" w:rsidR="00FE3A3E" w:rsidRPr="009422FE" w:rsidRDefault="00FE3A3E" w:rsidP="009422FE">
      <w:pPr>
        <w:pStyle w:val="Heading2"/>
        <w:rPr>
          <w:rFonts w:cs="Arial"/>
          <w:szCs w:val="22"/>
        </w:rPr>
      </w:pPr>
      <w:r w:rsidRPr="009422FE">
        <w:rPr>
          <w:rFonts w:cs="Arial"/>
          <w:szCs w:val="22"/>
        </w:rPr>
        <w:lastRenderedPageBreak/>
        <w:t>Management on the Ward</w:t>
      </w:r>
    </w:p>
    <w:p w14:paraId="7A9EC3BE" w14:textId="2E4203AD" w:rsidR="00C61F05" w:rsidRDefault="00C61F05" w:rsidP="00C61F05">
      <w:pPr>
        <w:rPr>
          <w:lang w:val="en-GB"/>
        </w:rPr>
      </w:pPr>
      <w:r>
        <w:rPr>
          <w:lang w:val="en-GB"/>
        </w:rPr>
        <w:t xml:space="preserve">Patients should be admitted to the ward if any of the following is </w:t>
      </w:r>
      <w:proofErr w:type="gramStart"/>
      <w:r>
        <w:rPr>
          <w:lang w:val="en-GB"/>
        </w:rPr>
        <w:t>present :</w:t>
      </w:r>
      <w:proofErr w:type="gramEnd"/>
      <w:r>
        <w:rPr>
          <w:lang w:val="en-GB"/>
        </w:rPr>
        <w:t xml:space="preserve"> </w:t>
      </w:r>
    </w:p>
    <w:p w14:paraId="14FB1B86" w14:textId="3043F112" w:rsidR="00C61F05" w:rsidRPr="00C61F05" w:rsidRDefault="009422FE" w:rsidP="0015509A">
      <w:pPr>
        <w:numPr>
          <w:ilvl w:val="0"/>
          <w:numId w:val="3"/>
        </w:numPr>
        <w:rPr>
          <w:lang w:val="en-GB"/>
        </w:rPr>
      </w:pPr>
      <w:r>
        <w:rPr>
          <w:lang w:val="en-GB"/>
        </w:rPr>
        <w:t>A</w:t>
      </w:r>
      <w:r w:rsidR="00C61F05">
        <w:rPr>
          <w:lang w:val="en-GB"/>
        </w:rPr>
        <w:t>cutely ill</w:t>
      </w:r>
      <w:r>
        <w:rPr>
          <w:lang w:val="en-GB"/>
        </w:rPr>
        <w:t xml:space="preserve"> patient</w:t>
      </w:r>
      <w:r w:rsidR="00C61F05">
        <w:rPr>
          <w:lang w:val="en-GB"/>
        </w:rPr>
        <w:t xml:space="preserve"> </w:t>
      </w:r>
      <w:r w:rsidR="00010E4A">
        <w:rPr>
          <w:lang w:val="en-GB"/>
        </w:rPr>
        <w:t xml:space="preserve">/ signs of </w:t>
      </w:r>
      <w:r w:rsidR="00C61F05">
        <w:rPr>
          <w:lang w:val="en-GB"/>
        </w:rPr>
        <w:t>sepsis</w:t>
      </w:r>
    </w:p>
    <w:p w14:paraId="005BA9D1" w14:textId="38EE92E5" w:rsidR="00C61F05" w:rsidRPr="00C61F05" w:rsidRDefault="00C61F05" w:rsidP="0015509A">
      <w:pPr>
        <w:numPr>
          <w:ilvl w:val="0"/>
          <w:numId w:val="3"/>
        </w:numPr>
        <w:rPr>
          <w:lang w:val="en-GB"/>
        </w:rPr>
      </w:pPr>
      <w:r>
        <w:rPr>
          <w:lang w:val="en-GB"/>
        </w:rPr>
        <w:t>S</w:t>
      </w:r>
      <w:r w:rsidRPr="00C61F05">
        <w:rPr>
          <w:lang w:val="en-GB"/>
        </w:rPr>
        <w:t>igns of urinary obstruction or significant underlying disease</w:t>
      </w:r>
      <w:r w:rsidR="004857DD">
        <w:rPr>
          <w:lang w:val="en-GB"/>
        </w:rPr>
        <w:t xml:space="preserve"> (such as diabetes, heart failure, chronic lung disease, severe </w:t>
      </w:r>
      <w:r w:rsidR="0014618A">
        <w:rPr>
          <w:lang w:val="en-GB"/>
        </w:rPr>
        <w:t>immunosuppression</w:t>
      </w:r>
      <w:r w:rsidR="004857DD">
        <w:rPr>
          <w:lang w:val="en-GB"/>
        </w:rPr>
        <w:t>)</w:t>
      </w:r>
    </w:p>
    <w:p w14:paraId="578E6B00" w14:textId="2456B932" w:rsidR="00C61F05" w:rsidRPr="00C61F05" w:rsidRDefault="00010E4A" w:rsidP="0015509A">
      <w:pPr>
        <w:numPr>
          <w:ilvl w:val="0"/>
          <w:numId w:val="3"/>
        </w:numPr>
        <w:rPr>
          <w:lang w:val="en-GB"/>
        </w:rPr>
      </w:pPr>
      <w:r>
        <w:rPr>
          <w:lang w:val="en-GB"/>
        </w:rPr>
        <w:t>Not tolerating</w:t>
      </w:r>
      <w:r w:rsidR="00C61F05" w:rsidRPr="00C61F05">
        <w:rPr>
          <w:lang w:val="en-GB"/>
        </w:rPr>
        <w:t xml:space="preserve"> oral fluids or medications</w:t>
      </w:r>
    </w:p>
    <w:p w14:paraId="0DABC20F" w14:textId="13D56177" w:rsidR="00C61F05" w:rsidRPr="00C61F05" w:rsidRDefault="00C61F05" w:rsidP="0015509A">
      <w:pPr>
        <w:numPr>
          <w:ilvl w:val="0"/>
          <w:numId w:val="3"/>
        </w:numPr>
        <w:rPr>
          <w:lang w:val="en-GB"/>
        </w:rPr>
      </w:pPr>
      <w:r>
        <w:rPr>
          <w:lang w:val="en-GB"/>
        </w:rPr>
        <w:t xml:space="preserve">Infants younger than 3 </w:t>
      </w:r>
      <w:r w:rsidR="00010E4A">
        <w:rPr>
          <w:lang w:val="en-GB"/>
        </w:rPr>
        <w:t xml:space="preserve">months with febrile UTI </w:t>
      </w:r>
    </w:p>
    <w:p w14:paraId="4CB9C0A7" w14:textId="77777777" w:rsidR="00AA7C7F" w:rsidRPr="00F91749" w:rsidRDefault="00AA7C7F" w:rsidP="00AA7C7F">
      <w:pPr>
        <w:rPr>
          <w:b/>
          <w:lang w:val="en-GB"/>
        </w:rPr>
      </w:pPr>
      <w:r w:rsidRPr="006F2025">
        <w:rPr>
          <w:b/>
          <w:u w:val="single"/>
          <w:lang w:val="en-GB"/>
        </w:rPr>
        <w:t>Children under 3 months of age</w:t>
      </w:r>
      <w:r w:rsidRPr="006F2025">
        <w:t>:</w:t>
      </w:r>
    </w:p>
    <w:p w14:paraId="549D9A2C" w14:textId="191C0E03" w:rsidR="00010E4A" w:rsidRPr="00F91749" w:rsidRDefault="006F2025" w:rsidP="00D53326">
      <w:pPr>
        <w:spacing w:after="0"/>
        <w:rPr>
          <w:lang w:val="en-GB"/>
        </w:rPr>
      </w:pPr>
      <w:r>
        <w:rPr>
          <w:lang w:val="en-GB"/>
        </w:rPr>
        <w:t>S</w:t>
      </w:r>
      <w:r w:rsidR="00AA7C7F">
        <w:rPr>
          <w:lang w:val="en-GB"/>
        </w:rPr>
        <w:t>amples should be sent for u</w:t>
      </w:r>
      <w:r w:rsidR="00AA7C7F" w:rsidRPr="00F91749">
        <w:rPr>
          <w:lang w:val="en-GB"/>
        </w:rPr>
        <w:t xml:space="preserve">rine </w:t>
      </w:r>
      <w:r w:rsidR="00307B0D">
        <w:rPr>
          <w:lang w:val="en-GB"/>
        </w:rPr>
        <w:t>MC&amp;S</w:t>
      </w:r>
      <w:r w:rsidR="00AA7C7F">
        <w:rPr>
          <w:lang w:val="en-GB"/>
        </w:rPr>
        <w:t xml:space="preserve"> and a </w:t>
      </w:r>
      <w:r w:rsidR="00AA7C7F" w:rsidRPr="00F91749">
        <w:rPr>
          <w:lang w:val="en-GB"/>
        </w:rPr>
        <w:t>full blood count</w:t>
      </w:r>
      <w:r w:rsidR="00AA7C7F">
        <w:rPr>
          <w:lang w:val="en-GB"/>
        </w:rPr>
        <w:t>. Blood culture and a</w:t>
      </w:r>
      <w:r w:rsidR="00AA7C7F" w:rsidRPr="00F91749">
        <w:rPr>
          <w:lang w:val="en-GB"/>
        </w:rPr>
        <w:t xml:space="preserve"> lumbar puncture </w:t>
      </w:r>
      <w:r w:rsidR="00FC54F5">
        <w:rPr>
          <w:lang w:val="en-GB"/>
        </w:rPr>
        <w:t>should be performed before starting on</w:t>
      </w:r>
      <w:r w:rsidR="00010E4A">
        <w:rPr>
          <w:lang w:val="en-GB"/>
        </w:rPr>
        <w:t xml:space="preserve"> IV</w:t>
      </w:r>
      <w:r w:rsidR="00984763">
        <w:rPr>
          <w:lang w:val="en-GB"/>
        </w:rPr>
        <w:t>/IM</w:t>
      </w:r>
      <w:r w:rsidR="00010E4A">
        <w:rPr>
          <w:lang w:val="en-GB"/>
        </w:rPr>
        <w:t xml:space="preserve"> Ampicillin and IV Gentamicin</w:t>
      </w:r>
      <w:r w:rsidR="00D53326">
        <w:rPr>
          <w:lang w:val="en-GB"/>
        </w:rPr>
        <w:t>. Tailor antibiotic therapy to microbiology</w:t>
      </w:r>
      <w:r w:rsidR="00D53326" w:rsidRPr="005E0680">
        <w:rPr>
          <w:lang w:val="en-GB"/>
        </w:rPr>
        <w:t xml:space="preserve"> </w:t>
      </w:r>
      <w:r w:rsidR="00D53326">
        <w:rPr>
          <w:lang w:val="en-GB"/>
        </w:rPr>
        <w:t xml:space="preserve">results. </w:t>
      </w:r>
      <w:r w:rsidR="00010E4A">
        <w:rPr>
          <w:lang w:val="en-GB"/>
        </w:rPr>
        <w:t xml:space="preserve">When </w:t>
      </w:r>
      <w:r w:rsidR="00D53326">
        <w:rPr>
          <w:lang w:val="en-GB"/>
        </w:rPr>
        <w:t xml:space="preserve">the child </w:t>
      </w:r>
      <w:r w:rsidR="00010E4A">
        <w:rPr>
          <w:lang w:val="en-GB"/>
        </w:rPr>
        <w:t xml:space="preserve">is afebrile for at least 24 hours, oral </w:t>
      </w:r>
      <w:r w:rsidR="005E0680">
        <w:rPr>
          <w:lang w:val="en-GB"/>
        </w:rPr>
        <w:t xml:space="preserve">antibiotics can then be given to complete 14 days of therapy. </w:t>
      </w:r>
    </w:p>
    <w:p w14:paraId="4C93CAE0" w14:textId="7A786A86" w:rsidR="00F91749" w:rsidRPr="00F91749" w:rsidRDefault="00F91749" w:rsidP="009422FE">
      <w:pPr>
        <w:spacing w:before="240"/>
        <w:outlineLvl w:val="9"/>
        <w:rPr>
          <w:b/>
          <w:u w:val="single"/>
          <w:lang w:val="en-GB"/>
        </w:rPr>
      </w:pPr>
      <w:r w:rsidRPr="00F91749">
        <w:rPr>
          <w:b/>
          <w:u w:val="single"/>
          <w:lang w:val="en-GB"/>
        </w:rPr>
        <w:t>Pyelonephritis</w:t>
      </w:r>
      <w:r w:rsidR="009422FE">
        <w:rPr>
          <w:b/>
          <w:u w:val="single"/>
          <w:lang w:val="en-GB"/>
        </w:rPr>
        <w:t>/ Complicated UTIs</w:t>
      </w:r>
      <w:r w:rsidRPr="00F91749">
        <w:rPr>
          <w:b/>
          <w:u w:val="single"/>
          <w:lang w:val="en-GB"/>
        </w:rPr>
        <w:t>:</w:t>
      </w:r>
    </w:p>
    <w:p w14:paraId="49158A6A" w14:textId="315F92D0" w:rsidR="00F91749" w:rsidRPr="00F91749" w:rsidRDefault="00F91749" w:rsidP="00F91749">
      <w:pPr>
        <w:spacing w:after="0"/>
        <w:outlineLvl w:val="9"/>
        <w:rPr>
          <w:lang w:val="en-GB"/>
        </w:rPr>
      </w:pPr>
      <w:r w:rsidRPr="00F91749">
        <w:rPr>
          <w:lang w:val="en-GB"/>
        </w:rPr>
        <w:t>Send samples for blood c</w:t>
      </w:r>
      <w:r w:rsidR="00007D03">
        <w:rPr>
          <w:lang w:val="en-GB"/>
        </w:rPr>
        <w:t xml:space="preserve">ulture, urine </w:t>
      </w:r>
      <w:r w:rsidR="00307B0D">
        <w:rPr>
          <w:lang w:val="en-GB"/>
        </w:rPr>
        <w:t>MC&amp;S</w:t>
      </w:r>
      <w:r w:rsidR="00007D03">
        <w:rPr>
          <w:lang w:val="en-GB"/>
        </w:rPr>
        <w:t xml:space="preserve"> and commence empirical parenteral antibiotics. </w:t>
      </w:r>
      <w:r w:rsidRPr="00F91749">
        <w:rPr>
          <w:lang w:val="en-GB"/>
        </w:rPr>
        <w:t>Pregnant patients should receive IV ceftriaxone 1 – 2</w:t>
      </w:r>
      <w:r w:rsidR="0085636C">
        <w:rPr>
          <w:lang w:val="en-GB"/>
        </w:rPr>
        <w:t xml:space="preserve"> </w:t>
      </w:r>
      <w:r w:rsidRPr="00F91749">
        <w:rPr>
          <w:lang w:val="en-GB"/>
        </w:rPr>
        <w:t>g daily.</w:t>
      </w:r>
      <w:r w:rsidR="00007D03">
        <w:rPr>
          <w:lang w:val="en-GB"/>
        </w:rPr>
        <w:t xml:space="preserve"> </w:t>
      </w:r>
      <w:r w:rsidR="00906671">
        <w:rPr>
          <w:lang w:val="en-GB"/>
        </w:rPr>
        <w:t>Older children,</w:t>
      </w:r>
      <w:r w:rsidR="00906671" w:rsidRPr="00906671">
        <w:rPr>
          <w:lang w:val="en-GB"/>
        </w:rPr>
        <w:t xml:space="preserve"> </w:t>
      </w:r>
      <w:r w:rsidR="00906671" w:rsidRPr="00F91749">
        <w:rPr>
          <w:lang w:val="en-GB"/>
        </w:rPr>
        <w:t>men</w:t>
      </w:r>
      <w:r w:rsidR="00906671">
        <w:rPr>
          <w:lang w:val="en-GB"/>
        </w:rPr>
        <w:t xml:space="preserve"> </w:t>
      </w:r>
      <w:r w:rsidR="00906671" w:rsidRPr="00F91749">
        <w:rPr>
          <w:lang w:val="en-GB"/>
        </w:rPr>
        <w:t xml:space="preserve">and </w:t>
      </w:r>
      <w:r w:rsidR="00906671">
        <w:rPr>
          <w:lang w:val="en-GB"/>
        </w:rPr>
        <w:t>n</w:t>
      </w:r>
      <w:r w:rsidRPr="00F91749">
        <w:rPr>
          <w:lang w:val="en-GB"/>
        </w:rPr>
        <w:t xml:space="preserve">on-pregnant women should be placed on IV </w:t>
      </w:r>
      <w:r w:rsidR="00D53326" w:rsidRPr="00D53326">
        <w:rPr>
          <w:lang w:val="en-GB"/>
        </w:rPr>
        <w:t xml:space="preserve">Ampicillin 1 g 8 hourly </w:t>
      </w:r>
      <w:r w:rsidR="00F94127">
        <w:rPr>
          <w:lang w:val="en-GB"/>
        </w:rPr>
        <w:t xml:space="preserve">plus IV </w:t>
      </w:r>
      <w:r w:rsidR="00D53326" w:rsidRPr="00D53326">
        <w:rPr>
          <w:lang w:val="en-GB"/>
        </w:rPr>
        <w:t>Gentamicin 5-7.5 mg/kg once daily</w:t>
      </w:r>
    </w:p>
    <w:p w14:paraId="49517EA8" w14:textId="343702B8" w:rsidR="004857DD" w:rsidRDefault="00F91749" w:rsidP="004857DD">
      <w:pPr>
        <w:spacing w:after="0"/>
        <w:outlineLvl w:val="9"/>
        <w:rPr>
          <w:lang w:val="en-GB"/>
        </w:rPr>
      </w:pPr>
      <w:r w:rsidRPr="00F91749">
        <w:rPr>
          <w:lang w:val="en-GB"/>
        </w:rPr>
        <w:t>Antibiotic regimens should be reviewed using microbiology results.</w:t>
      </w:r>
      <w:r w:rsidR="004857DD">
        <w:rPr>
          <w:lang w:val="en-GB"/>
        </w:rPr>
        <w:t xml:space="preserve"> </w:t>
      </w:r>
      <w:r w:rsidRPr="00F91749">
        <w:rPr>
          <w:lang w:val="en-GB"/>
        </w:rPr>
        <w:t xml:space="preserve">With clinical improvement, patients can </w:t>
      </w:r>
      <w:r w:rsidR="004857DD">
        <w:rPr>
          <w:lang w:val="en-GB"/>
        </w:rPr>
        <w:t>be stepped down to oral therapy. Total duration of antibiotic therapy should be 14 days</w:t>
      </w:r>
      <w:r w:rsidR="00FC54F5">
        <w:rPr>
          <w:lang w:val="en-GB"/>
        </w:rPr>
        <w:t xml:space="preserve"> unless other complications occur.</w:t>
      </w:r>
    </w:p>
    <w:p w14:paraId="7C886DAB" w14:textId="531F888E" w:rsidR="00EB739F" w:rsidRDefault="0014618A">
      <w:pPr>
        <w:spacing w:after="0"/>
        <w:outlineLvl w:val="9"/>
        <w:rPr>
          <w:b/>
          <w:sz w:val="24"/>
          <w:szCs w:val="22"/>
        </w:rPr>
      </w:pPr>
      <w:r>
        <w:rPr>
          <w:lang w:val="en-GB"/>
        </w:rPr>
        <w:t>Patients</w:t>
      </w:r>
      <w:r w:rsidR="00307B0D">
        <w:rPr>
          <w:lang w:val="en-GB"/>
        </w:rPr>
        <w:t xml:space="preserve"> who fail to improve after </w:t>
      </w:r>
      <w:r>
        <w:rPr>
          <w:lang w:val="en-GB"/>
        </w:rPr>
        <w:t xml:space="preserve">48 hours (children) or </w:t>
      </w:r>
      <w:r w:rsidR="00307B0D">
        <w:rPr>
          <w:lang w:val="en-GB"/>
        </w:rPr>
        <w:t>72 hours</w:t>
      </w:r>
      <w:r>
        <w:rPr>
          <w:lang w:val="en-GB"/>
        </w:rPr>
        <w:t xml:space="preserve"> (adults)</w:t>
      </w:r>
      <w:r w:rsidR="00307B0D">
        <w:rPr>
          <w:lang w:val="en-GB"/>
        </w:rPr>
        <w:t xml:space="preserve"> should receive </w:t>
      </w:r>
      <w:r w:rsidR="00F2450A">
        <w:rPr>
          <w:lang w:val="en-GB"/>
        </w:rPr>
        <w:t>a urinary tract</w:t>
      </w:r>
      <w:r w:rsidR="00307B0D">
        <w:rPr>
          <w:lang w:val="en-GB"/>
        </w:rPr>
        <w:t xml:space="preserve"> ultrasound scan. </w:t>
      </w:r>
    </w:p>
    <w:p w14:paraId="235A667C" w14:textId="4F7FFFE2" w:rsidR="00F03F25" w:rsidRPr="003C0800" w:rsidRDefault="00F03F25" w:rsidP="00AA7C7F">
      <w:pPr>
        <w:pStyle w:val="Heading2"/>
        <w:spacing w:after="0"/>
        <w:rPr>
          <w:rFonts w:cs="Arial"/>
          <w:szCs w:val="22"/>
        </w:rPr>
      </w:pPr>
      <w:r w:rsidRPr="003C0800">
        <w:rPr>
          <w:rFonts w:cs="Arial"/>
          <w:szCs w:val="22"/>
        </w:rPr>
        <w:t>Key Issues for Nursing care</w:t>
      </w:r>
    </w:p>
    <w:p w14:paraId="37605D00" w14:textId="73B9D2B5" w:rsidR="00906671" w:rsidRDefault="006F2025" w:rsidP="0015509A">
      <w:pPr>
        <w:pStyle w:val="ListParagraph"/>
        <w:numPr>
          <w:ilvl w:val="0"/>
          <w:numId w:val="2"/>
        </w:numPr>
      </w:pPr>
      <w:r>
        <w:t>Catheter specimen samples</w:t>
      </w:r>
      <w:r w:rsidR="00906671">
        <w:t xml:space="preserve"> are</w:t>
      </w:r>
      <w:r>
        <w:t xml:space="preserve"> </w:t>
      </w:r>
      <w:r w:rsidR="00906671">
        <w:t xml:space="preserve">the </w:t>
      </w:r>
      <w:r>
        <w:t xml:space="preserve">best for </w:t>
      </w:r>
      <w:r w:rsidR="00906671">
        <w:t xml:space="preserve">urine </w:t>
      </w:r>
      <w:r w:rsidR="00307B0D">
        <w:t>MC&amp;S</w:t>
      </w:r>
      <w:r>
        <w:t xml:space="preserve"> in</w:t>
      </w:r>
      <w:r w:rsidRPr="006F2025">
        <w:t xml:space="preserve"> </w:t>
      </w:r>
      <w:r>
        <w:t xml:space="preserve">children unable to understand instructions. </w:t>
      </w:r>
      <w:r w:rsidR="00307B0D">
        <w:t>However, where this is not feasible</w:t>
      </w:r>
      <w:r w:rsidR="0014618A">
        <w:t>,</w:t>
      </w:r>
      <w:r w:rsidR="00307B0D">
        <w:t xml:space="preserve"> sterile collection bags/pads can be used.</w:t>
      </w:r>
    </w:p>
    <w:p w14:paraId="546EA515" w14:textId="14E3128F" w:rsidR="00F91749" w:rsidRPr="00F91749" w:rsidDel="00ED5830" w:rsidRDefault="00984763" w:rsidP="0015509A">
      <w:pPr>
        <w:pStyle w:val="ListParagraph"/>
        <w:numPr>
          <w:ilvl w:val="0"/>
          <w:numId w:val="2"/>
        </w:numPr>
      </w:pPr>
      <w:r w:rsidRPr="00984763">
        <w:t xml:space="preserve">Dipstick testing </w:t>
      </w:r>
      <w:r w:rsidR="0014618A">
        <w:t xml:space="preserve">should not be used </w:t>
      </w:r>
      <w:r w:rsidRPr="00984763">
        <w:t xml:space="preserve">for detecting urinary tract infections in </w:t>
      </w:r>
      <w:r w:rsidR="0014618A" w:rsidRPr="00984763">
        <w:t>catheterized</w:t>
      </w:r>
      <w:r w:rsidRPr="00984763">
        <w:t xml:space="preserve"> adults.</w:t>
      </w:r>
    </w:p>
    <w:p w14:paraId="0E9DBDB7" w14:textId="77777777" w:rsidR="00EB739F" w:rsidRDefault="00EB739F">
      <w:pPr>
        <w:spacing w:after="0"/>
        <w:outlineLvl w:val="9"/>
        <w:rPr>
          <w:b/>
          <w:sz w:val="24"/>
          <w:szCs w:val="22"/>
        </w:rPr>
      </w:pPr>
      <w:r>
        <w:rPr>
          <w:szCs w:val="22"/>
        </w:rPr>
        <w:br w:type="page"/>
      </w:r>
    </w:p>
    <w:p w14:paraId="2E7300A6" w14:textId="7BC6A465" w:rsidR="00F03F25" w:rsidRPr="003C0800" w:rsidRDefault="00F03F25" w:rsidP="00F03F25">
      <w:pPr>
        <w:pStyle w:val="Heading2"/>
        <w:rPr>
          <w:rFonts w:cs="Arial"/>
          <w:szCs w:val="22"/>
        </w:rPr>
      </w:pPr>
      <w:r>
        <w:rPr>
          <w:rFonts w:cs="Arial"/>
          <w:szCs w:val="22"/>
        </w:rPr>
        <w:lastRenderedPageBreak/>
        <w:t>References</w:t>
      </w:r>
    </w:p>
    <w:p w14:paraId="6D52111B" w14:textId="5BC663B7" w:rsidR="00F91749" w:rsidRPr="00F91749" w:rsidRDefault="00F91749" w:rsidP="00984763">
      <w:pPr>
        <w:rPr>
          <w:sz w:val="20"/>
          <w:szCs w:val="20"/>
          <w:lang w:val="en-GB"/>
        </w:rPr>
      </w:pPr>
      <w:proofErr w:type="spellStart"/>
      <w:r w:rsidRPr="00F91749">
        <w:rPr>
          <w:sz w:val="20"/>
          <w:szCs w:val="20"/>
          <w:lang w:val="en-GB"/>
        </w:rPr>
        <w:t>Tullus</w:t>
      </w:r>
      <w:proofErr w:type="spellEnd"/>
      <w:r w:rsidRPr="00F91749">
        <w:rPr>
          <w:sz w:val="20"/>
          <w:szCs w:val="20"/>
          <w:lang w:val="en-GB"/>
        </w:rPr>
        <w:t xml:space="preserve"> K. Difficulties in diagnosing urinary tract infections in small children. </w:t>
      </w:r>
      <w:proofErr w:type="spellStart"/>
      <w:r w:rsidRPr="00F91749">
        <w:rPr>
          <w:sz w:val="20"/>
          <w:szCs w:val="20"/>
          <w:lang w:val="en-GB"/>
        </w:rPr>
        <w:t>Pediatr</w:t>
      </w:r>
      <w:proofErr w:type="spellEnd"/>
      <w:r w:rsidRPr="00F91749">
        <w:rPr>
          <w:sz w:val="20"/>
          <w:szCs w:val="20"/>
          <w:lang w:val="en-GB"/>
        </w:rPr>
        <w:t xml:space="preserve"> </w:t>
      </w:r>
      <w:proofErr w:type="spellStart"/>
      <w:r w:rsidRPr="00F91749">
        <w:rPr>
          <w:sz w:val="20"/>
          <w:szCs w:val="20"/>
          <w:lang w:val="en-GB"/>
        </w:rPr>
        <w:t>nephrol</w:t>
      </w:r>
      <w:proofErr w:type="spellEnd"/>
      <w:r w:rsidRPr="00F91749">
        <w:rPr>
          <w:sz w:val="20"/>
          <w:szCs w:val="20"/>
          <w:lang w:val="en-GB"/>
        </w:rPr>
        <w:t xml:space="preserve"> </w:t>
      </w:r>
      <w:proofErr w:type="gramStart"/>
      <w:r w:rsidRPr="00F91749">
        <w:rPr>
          <w:sz w:val="20"/>
          <w:szCs w:val="20"/>
          <w:lang w:val="en-GB"/>
        </w:rPr>
        <w:t>2011;26:1923</w:t>
      </w:r>
      <w:proofErr w:type="gramEnd"/>
      <w:r w:rsidRPr="00F91749">
        <w:rPr>
          <w:sz w:val="20"/>
          <w:szCs w:val="20"/>
          <w:lang w:val="en-GB"/>
        </w:rPr>
        <w:t xml:space="preserve">-6. </w:t>
      </w:r>
    </w:p>
    <w:p w14:paraId="12B55D42" w14:textId="097AA58A" w:rsidR="00F91749" w:rsidRDefault="00F91749" w:rsidP="00984763">
      <w:pPr>
        <w:rPr>
          <w:sz w:val="20"/>
          <w:szCs w:val="20"/>
        </w:rPr>
      </w:pPr>
      <w:proofErr w:type="spellStart"/>
      <w:r w:rsidRPr="00F91749">
        <w:rPr>
          <w:sz w:val="20"/>
          <w:szCs w:val="20"/>
        </w:rPr>
        <w:t>Salo</w:t>
      </w:r>
      <w:proofErr w:type="spellEnd"/>
      <w:r w:rsidRPr="00F91749">
        <w:rPr>
          <w:sz w:val="20"/>
          <w:szCs w:val="20"/>
        </w:rPr>
        <w:t xml:space="preserve"> J, </w:t>
      </w:r>
      <w:proofErr w:type="spellStart"/>
      <w:r w:rsidRPr="00F91749">
        <w:rPr>
          <w:sz w:val="20"/>
          <w:szCs w:val="20"/>
        </w:rPr>
        <w:t>Ikaheimo</w:t>
      </w:r>
      <w:proofErr w:type="spellEnd"/>
      <w:r w:rsidRPr="00F91749">
        <w:rPr>
          <w:sz w:val="20"/>
          <w:szCs w:val="20"/>
        </w:rPr>
        <w:t xml:space="preserve"> R, </w:t>
      </w:r>
      <w:proofErr w:type="spellStart"/>
      <w:r w:rsidRPr="00F91749">
        <w:rPr>
          <w:sz w:val="20"/>
          <w:szCs w:val="20"/>
        </w:rPr>
        <w:t>Tapiainen</w:t>
      </w:r>
      <w:proofErr w:type="spellEnd"/>
      <w:r w:rsidRPr="00F91749">
        <w:rPr>
          <w:sz w:val="20"/>
          <w:szCs w:val="20"/>
        </w:rPr>
        <w:t xml:space="preserve"> I </w:t>
      </w:r>
      <w:proofErr w:type="spellStart"/>
      <w:r w:rsidRPr="00F91749">
        <w:rPr>
          <w:sz w:val="20"/>
          <w:szCs w:val="20"/>
        </w:rPr>
        <w:t>Uhari</w:t>
      </w:r>
      <w:proofErr w:type="spellEnd"/>
      <w:r w:rsidRPr="00F91749">
        <w:rPr>
          <w:sz w:val="20"/>
          <w:szCs w:val="20"/>
        </w:rPr>
        <w:t xml:space="preserve"> M. Childhood urinary tract infection as a cause of chronic kidney disease. Pediatrics </w:t>
      </w:r>
      <w:proofErr w:type="gramStart"/>
      <w:r w:rsidRPr="00F91749">
        <w:rPr>
          <w:sz w:val="20"/>
          <w:szCs w:val="20"/>
        </w:rPr>
        <w:t>2011;128:840</w:t>
      </w:r>
      <w:proofErr w:type="gramEnd"/>
      <w:r w:rsidRPr="00F91749">
        <w:rPr>
          <w:sz w:val="20"/>
          <w:szCs w:val="20"/>
        </w:rPr>
        <w:t>-7.</w:t>
      </w:r>
    </w:p>
    <w:p w14:paraId="302DE8FE" w14:textId="00A617E3" w:rsidR="00984763" w:rsidRPr="00984763" w:rsidRDefault="00984763" w:rsidP="00984763">
      <w:pPr>
        <w:rPr>
          <w:sz w:val="20"/>
          <w:szCs w:val="20"/>
          <w:lang w:val="en-GB"/>
        </w:rPr>
      </w:pPr>
      <w:r w:rsidRPr="00984763">
        <w:rPr>
          <w:sz w:val="20"/>
          <w:szCs w:val="20"/>
        </w:rPr>
        <w:t xml:space="preserve">National Institute of Health and Care Excellence. Fever in under 5s: assessment and initial </w:t>
      </w:r>
      <w:r w:rsidRPr="00984763">
        <w:rPr>
          <w:sz w:val="20"/>
          <w:szCs w:val="20"/>
          <w:lang w:val="en-GB"/>
        </w:rPr>
        <w:t>management</w:t>
      </w:r>
      <w:r w:rsidR="00482347">
        <w:rPr>
          <w:sz w:val="20"/>
          <w:szCs w:val="20"/>
          <w:lang w:val="en-GB"/>
        </w:rPr>
        <w:t>. Available from:</w:t>
      </w:r>
      <w:r w:rsidR="00482347" w:rsidRPr="00482347">
        <w:t xml:space="preserve"> </w:t>
      </w:r>
      <w:hyperlink r:id="rId8" w:history="1">
        <w:r w:rsidR="00482347" w:rsidRPr="00A27DFB">
          <w:rPr>
            <w:rStyle w:val="Hyperlink"/>
            <w:sz w:val="20"/>
            <w:szCs w:val="20"/>
            <w:lang w:val="en-GB"/>
          </w:rPr>
          <w:t>https://www.nice.org.uk/guidance/cg160</w:t>
        </w:r>
      </w:hyperlink>
      <w:r w:rsidR="00482347">
        <w:rPr>
          <w:sz w:val="20"/>
          <w:szCs w:val="20"/>
          <w:lang w:val="en-GB"/>
        </w:rPr>
        <w:t xml:space="preserve">  Accessed:</w:t>
      </w:r>
      <w:r w:rsidRPr="00984763">
        <w:rPr>
          <w:sz w:val="20"/>
          <w:szCs w:val="20"/>
          <w:lang w:val="en-GB"/>
        </w:rPr>
        <w:t xml:space="preserve"> </w:t>
      </w:r>
      <w:r w:rsidR="00482347">
        <w:rPr>
          <w:sz w:val="20"/>
          <w:szCs w:val="20"/>
          <w:lang w:val="en-GB"/>
        </w:rPr>
        <w:t>1</w:t>
      </w:r>
      <w:r w:rsidR="00482347" w:rsidRPr="00482347">
        <w:rPr>
          <w:sz w:val="20"/>
          <w:szCs w:val="20"/>
          <w:vertAlign w:val="superscript"/>
          <w:lang w:val="en-GB"/>
        </w:rPr>
        <w:t>st</w:t>
      </w:r>
      <w:r w:rsidR="00482347">
        <w:rPr>
          <w:sz w:val="20"/>
          <w:szCs w:val="20"/>
          <w:lang w:val="en-GB"/>
        </w:rPr>
        <w:t xml:space="preserve"> May, 2019</w:t>
      </w:r>
    </w:p>
    <w:p w14:paraId="34CD0164" w14:textId="0489DC34" w:rsidR="00482347" w:rsidRDefault="00984763" w:rsidP="00984763">
      <w:r w:rsidRPr="00984763">
        <w:rPr>
          <w:sz w:val="20"/>
          <w:szCs w:val="20"/>
          <w:lang w:val="en-GB"/>
        </w:rPr>
        <w:t>National</w:t>
      </w:r>
      <w:r w:rsidRPr="00984763">
        <w:rPr>
          <w:sz w:val="20"/>
          <w:szCs w:val="20"/>
        </w:rPr>
        <w:t xml:space="preserve"> Institute of Health and Care Excellence. Urinary tract infection (lower): antimicrobial prescribing</w:t>
      </w:r>
      <w:r w:rsidR="00482347">
        <w:rPr>
          <w:sz w:val="20"/>
          <w:szCs w:val="20"/>
        </w:rPr>
        <w:t>.</w:t>
      </w:r>
      <w:r w:rsidR="00482347" w:rsidRPr="00482347">
        <w:t xml:space="preserve"> </w:t>
      </w:r>
      <w:r w:rsidR="00482347">
        <w:rPr>
          <w:sz w:val="20"/>
          <w:szCs w:val="20"/>
          <w:lang w:val="en-GB"/>
        </w:rPr>
        <w:t>Available from:</w:t>
      </w:r>
      <w:r w:rsidR="00482347" w:rsidRPr="00482347">
        <w:t xml:space="preserve"> </w:t>
      </w:r>
      <w:hyperlink r:id="rId9" w:history="1">
        <w:r w:rsidR="00482347" w:rsidRPr="00A27DFB">
          <w:rPr>
            <w:rStyle w:val="Hyperlink"/>
            <w:sz w:val="20"/>
            <w:szCs w:val="20"/>
            <w:lang w:val="en-GB"/>
          </w:rPr>
          <w:t>https://www.nice.org.uk/guidance/ng109</w:t>
        </w:r>
      </w:hyperlink>
      <w:r w:rsidR="00482347">
        <w:rPr>
          <w:sz w:val="20"/>
          <w:szCs w:val="20"/>
          <w:lang w:val="en-GB"/>
        </w:rPr>
        <w:t xml:space="preserve">  Accessed:</w:t>
      </w:r>
      <w:r w:rsidR="00482347" w:rsidRPr="00482347">
        <w:rPr>
          <w:sz w:val="20"/>
          <w:szCs w:val="20"/>
          <w:lang w:val="en-GB"/>
        </w:rPr>
        <w:t xml:space="preserve"> </w:t>
      </w:r>
      <w:r w:rsidR="00482347">
        <w:rPr>
          <w:sz w:val="20"/>
          <w:szCs w:val="20"/>
          <w:lang w:val="en-GB"/>
        </w:rPr>
        <w:t>1</w:t>
      </w:r>
      <w:r w:rsidR="00482347" w:rsidRPr="00482347">
        <w:rPr>
          <w:sz w:val="20"/>
          <w:szCs w:val="20"/>
          <w:vertAlign w:val="superscript"/>
          <w:lang w:val="en-GB"/>
        </w:rPr>
        <w:t>st</w:t>
      </w:r>
      <w:r w:rsidR="00482347">
        <w:rPr>
          <w:sz w:val="20"/>
          <w:szCs w:val="20"/>
          <w:lang w:val="en-GB"/>
        </w:rPr>
        <w:t xml:space="preserve"> May, 2019</w:t>
      </w:r>
    </w:p>
    <w:p w14:paraId="6212030A" w14:textId="64F87DB5" w:rsidR="00007D03" w:rsidRPr="00984763" w:rsidRDefault="00482347" w:rsidP="00984763">
      <w:pPr>
        <w:rPr>
          <w:sz w:val="20"/>
          <w:szCs w:val="20"/>
        </w:rPr>
      </w:pPr>
      <w:r w:rsidRPr="00984763">
        <w:rPr>
          <w:sz w:val="20"/>
          <w:szCs w:val="20"/>
          <w:lang w:val="en-GB"/>
        </w:rPr>
        <w:t>National</w:t>
      </w:r>
      <w:r w:rsidRPr="00984763">
        <w:rPr>
          <w:sz w:val="20"/>
          <w:szCs w:val="20"/>
        </w:rPr>
        <w:t xml:space="preserve"> Institute of Health and Care Excellence</w:t>
      </w:r>
      <w:r>
        <w:rPr>
          <w:sz w:val="20"/>
          <w:szCs w:val="20"/>
        </w:rPr>
        <w:t xml:space="preserve">. </w:t>
      </w:r>
      <w:r w:rsidRPr="00482347">
        <w:rPr>
          <w:sz w:val="20"/>
          <w:szCs w:val="20"/>
        </w:rPr>
        <w:t>Pyelonephritis (acute): antimicrobial prescribing</w:t>
      </w:r>
      <w:r>
        <w:rPr>
          <w:sz w:val="20"/>
          <w:szCs w:val="20"/>
          <w:lang w:val="en-GB"/>
        </w:rPr>
        <w:t xml:space="preserve"> Available from: </w:t>
      </w:r>
      <w:hyperlink r:id="rId10" w:history="1">
        <w:r w:rsidRPr="00A27DFB">
          <w:rPr>
            <w:rStyle w:val="Hyperlink"/>
            <w:sz w:val="20"/>
            <w:szCs w:val="20"/>
            <w:lang w:val="en-GB"/>
          </w:rPr>
          <w:t>https://www.nice.org.uk/guidance/ng111</w:t>
        </w:r>
      </w:hyperlink>
      <w:r>
        <w:rPr>
          <w:sz w:val="20"/>
          <w:szCs w:val="20"/>
          <w:lang w:val="en-GB"/>
        </w:rPr>
        <w:t xml:space="preserve"> Accessed: 1</w:t>
      </w:r>
      <w:r w:rsidRPr="00482347">
        <w:rPr>
          <w:sz w:val="20"/>
          <w:szCs w:val="20"/>
          <w:vertAlign w:val="superscript"/>
          <w:lang w:val="en-GB"/>
        </w:rPr>
        <w:t>st</w:t>
      </w:r>
      <w:r>
        <w:rPr>
          <w:sz w:val="20"/>
          <w:szCs w:val="20"/>
          <w:lang w:val="en-GB"/>
        </w:rPr>
        <w:t xml:space="preserve"> May, 2019</w:t>
      </w:r>
    </w:p>
    <w:p w14:paraId="0A20F7FE" w14:textId="31FAA36D" w:rsidR="00CF645C" w:rsidRDefault="00984763" w:rsidP="00984763">
      <w:pPr>
        <w:rPr>
          <w:sz w:val="20"/>
          <w:szCs w:val="20"/>
        </w:rPr>
      </w:pPr>
      <w:r w:rsidRPr="00984763">
        <w:rPr>
          <w:sz w:val="20"/>
          <w:szCs w:val="20"/>
        </w:rPr>
        <w:t>Ramakrishnan K, Scheid DC. Diagnosis and Management of Acute Pyelonephritis in Adults. Am Fam Physician. 2005 Mar 1;71(5):933-942.</w:t>
      </w:r>
    </w:p>
    <w:p w14:paraId="775C5773" w14:textId="75B9D2F9" w:rsidR="00984763" w:rsidRDefault="00984763" w:rsidP="00984763">
      <w:pPr>
        <w:rPr>
          <w:sz w:val="20"/>
          <w:szCs w:val="20"/>
        </w:rPr>
      </w:pPr>
      <w:r w:rsidRPr="00984763">
        <w:rPr>
          <w:sz w:val="20"/>
          <w:szCs w:val="20"/>
        </w:rPr>
        <w:t>Colgan R, Williams M. Diagnosis and Treatment of Acute Pyelonephritis in Women. Am Fam Physician. 2011 Sep 1;84(5):519-526.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4A6504CC" w14:textId="77777777" w:rsidTr="00515546">
        <w:trPr>
          <w:trHeight w:val="20"/>
        </w:trPr>
        <w:tc>
          <w:tcPr>
            <w:tcW w:w="2139" w:type="dxa"/>
            <w:shd w:val="clear" w:color="auto" w:fill="auto"/>
            <w:vAlign w:val="bottom"/>
          </w:tcPr>
          <w:p w14:paraId="2DD69049" w14:textId="77777777" w:rsidR="004C4442" w:rsidRPr="00515546" w:rsidRDefault="004C4442" w:rsidP="00BC0632">
            <w:pPr>
              <w:spacing w:after="0"/>
              <w:rPr>
                <w:b/>
                <w:szCs w:val="22"/>
              </w:rPr>
            </w:pPr>
            <w:r w:rsidRPr="00515546">
              <w:rPr>
                <w:b/>
                <w:szCs w:val="22"/>
              </w:rPr>
              <w:t>Written by:</w:t>
            </w:r>
          </w:p>
        </w:tc>
        <w:tc>
          <w:tcPr>
            <w:tcW w:w="3622" w:type="dxa"/>
            <w:shd w:val="clear" w:color="auto" w:fill="auto"/>
            <w:vAlign w:val="bottom"/>
          </w:tcPr>
          <w:p w14:paraId="1B69FF2A" w14:textId="6BFD820F" w:rsidR="004C4442" w:rsidRPr="00515546" w:rsidRDefault="004C4442" w:rsidP="00F91749">
            <w:pPr>
              <w:spacing w:after="0"/>
              <w:rPr>
                <w:szCs w:val="22"/>
              </w:rPr>
            </w:pPr>
            <w:r w:rsidRPr="00515546">
              <w:rPr>
                <w:szCs w:val="22"/>
              </w:rPr>
              <w:t>Name</w:t>
            </w:r>
            <w:r w:rsidR="005638D0">
              <w:rPr>
                <w:szCs w:val="22"/>
              </w:rPr>
              <w:t xml:space="preserve">: </w:t>
            </w:r>
            <w:r w:rsidR="00F91749">
              <w:rPr>
                <w:szCs w:val="22"/>
              </w:rPr>
              <w:t>Yorro Bah</w:t>
            </w:r>
          </w:p>
        </w:tc>
        <w:tc>
          <w:tcPr>
            <w:tcW w:w="2869" w:type="dxa"/>
            <w:shd w:val="clear" w:color="auto" w:fill="auto"/>
            <w:vAlign w:val="bottom"/>
          </w:tcPr>
          <w:p w14:paraId="4C6E9C0A" w14:textId="5F14F416" w:rsidR="004C4442" w:rsidRPr="00515546" w:rsidRDefault="004C4442" w:rsidP="00F91749">
            <w:pPr>
              <w:spacing w:after="0"/>
              <w:rPr>
                <w:szCs w:val="22"/>
              </w:rPr>
            </w:pPr>
            <w:r w:rsidRPr="00515546">
              <w:rPr>
                <w:szCs w:val="22"/>
              </w:rPr>
              <w:t xml:space="preserve">Date: </w:t>
            </w:r>
            <w:r w:rsidR="00482347">
              <w:rPr>
                <w:szCs w:val="22"/>
              </w:rPr>
              <w:t>1</w:t>
            </w:r>
            <w:r w:rsidR="00482347" w:rsidRPr="00482347">
              <w:rPr>
                <w:szCs w:val="22"/>
                <w:vertAlign w:val="superscript"/>
              </w:rPr>
              <w:t>st</w:t>
            </w:r>
            <w:r w:rsidR="00482347">
              <w:rPr>
                <w:szCs w:val="22"/>
              </w:rPr>
              <w:t xml:space="preserve"> May 2019</w:t>
            </w:r>
          </w:p>
        </w:tc>
      </w:tr>
      <w:tr w:rsidR="004C4442" w:rsidRPr="00515546" w14:paraId="09F9E32A" w14:textId="77777777" w:rsidTr="00515546">
        <w:trPr>
          <w:trHeight w:val="20"/>
        </w:trPr>
        <w:tc>
          <w:tcPr>
            <w:tcW w:w="2139" w:type="dxa"/>
            <w:shd w:val="clear" w:color="auto" w:fill="auto"/>
            <w:vAlign w:val="bottom"/>
          </w:tcPr>
          <w:p w14:paraId="2075E5CC" w14:textId="77777777" w:rsidR="004C4442" w:rsidRPr="00515546" w:rsidRDefault="004C4442" w:rsidP="00BC0632">
            <w:pPr>
              <w:spacing w:after="0"/>
              <w:rPr>
                <w:b/>
                <w:szCs w:val="22"/>
              </w:rPr>
            </w:pPr>
            <w:r w:rsidRPr="00515546">
              <w:rPr>
                <w:b/>
                <w:szCs w:val="22"/>
              </w:rPr>
              <w:t>Reviewed by:</w:t>
            </w:r>
          </w:p>
        </w:tc>
        <w:tc>
          <w:tcPr>
            <w:tcW w:w="3622" w:type="dxa"/>
            <w:shd w:val="clear" w:color="auto" w:fill="auto"/>
            <w:vAlign w:val="bottom"/>
          </w:tcPr>
          <w:p w14:paraId="65FD74DC" w14:textId="6D8A4171" w:rsidR="004C4442" w:rsidRPr="00515546" w:rsidRDefault="004C4442" w:rsidP="00BC0632">
            <w:pPr>
              <w:spacing w:after="0"/>
              <w:rPr>
                <w:szCs w:val="22"/>
              </w:rPr>
            </w:pPr>
            <w:r w:rsidRPr="00515546">
              <w:rPr>
                <w:szCs w:val="22"/>
              </w:rPr>
              <w:t xml:space="preserve">Name: </w:t>
            </w:r>
            <w:r w:rsidR="00F91749">
              <w:rPr>
                <w:szCs w:val="22"/>
              </w:rPr>
              <w:t>Fatai Akemokwe</w:t>
            </w:r>
          </w:p>
        </w:tc>
        <w:tc>
          <w:tcPr>
            <w:tcW w:w="2869" w:type="dxa"/>
            <w:shd w:val="clear" w:color="auto" w:fill="auto"/>
            <w:vAlign w:val="bottom"/>
          </w:tcPr>
          <w:p w14:paraId="47790D23" w14:textId="750A8AED" w:rsidR="004C4442" w:rsidRPr="00515546" w:rsidRDefault="004C4442" w:rsidP="00BC0632">
            <w:pPr>
              <w:spacing w:after="0"/>
              <w:rPr>
                <w:szCs w:val="22"/>
              </w:rPr>
            </w:pPr>
            <w:r w:rsidRPr="00515546">
              <w:rPr>
                <w:szCs w:val="22"/>
              </w:rPr>
              <w:t xml:space="preserve">Date: </w:t>
            </w:r>
            <w:r w:rsidR="00482347">
              <w:rPr>
                <w:szCs w:val="22"/>
              </w:rPr>
              <w:t>1</w:t>
            </w:r>
            <w:r w:rsidR="00482347" w:rsidRPr="00482347">
              <w:rPr>
                <w:szCs w:val="22"/>
                <w:vertAlign w:val="superscript"/>
              </w:rPr>
              <w:t>st</w:t>
            </w:r>
            <w:r w:rsidR="00482347">
              <w:rPr>
                <w:szCs w:val="22"/>
              </w:rPr>
              <w:t xml:space="preserve"> May 2019</w:t>
            </w:r>
          </w:p>
        </w:tc>
      </w:tr>
      <w:tr w:rsidR="004C4442" w:rsidRPr="00515546" w14:paraId="26FE396B" w14:textId="77777777" w:rsidTr="00515546">
        <w:trPr>
          <w:trHeight w:val="20"/>
        </w:trPr>
        <w:tc>
          <w:tcPr>
            <w:tcW w:w="2139" w:type="dxa"/>
            <w:shd w:val="clear" w:color="auto" w:fill="auto"/>
            <w:vAlign w:val="bottom"/>
          </w:tcPr>
          <w:p w14:paraId="528C87DE" w14:textId="77777777" w:rsidR="004C4442" w:rsidRPr="00515546" w:rsidRDefault="004C4442" w:rsidP="00BC0632">
            <w:pPr>
              <w:spacing w:after="0"/>
              <w:rPr>
                <w:szCs w:val="22"/>
              </w:rPr>
            </w:pPr>
            <w:r w:rsidRPr="00515546">
              <w:rPr>
                <w:b/>
                <w:szCs w:val="22"/>
              </w:rPr>
              <w:t>Version:</w:t>
            </w:r>
          </w:p>
        </w:tc>
        <w:tc>
          <w:tcPr>
            <w:tcW w:w="3622" w:type="dxa"/>
            <w:shd w:val="clear" w:color="auto" w:fill="auto"/>
            <w:vAlign w:val="bottom"/>
          </w:tcPr>
          <w:p w14:paraId="74451FAB" w14:textId="77777777" w:rsidR="004C4442" w:rsidRPr="00515546" w:rsidRDefault="004C4442" w:rsidP="00BC0632">
            <w:pPr>
              <w:spacing w:after="0"/>
              <w:rPr>
                <w:szCs w:val="22"/>
              </w:rPr>
            </w:pPr>
            <w:r w:rsidRPr="00515546">
              <w:rPr>
                <w:b/>
                <w:szCs w:val="22"/>
              </w:rPr>
              <w:t>Change history:</w:t>
            </w:r>
          </w:p>
        </w:tc>
        <w:tc>
          <w:tcPr>
            <w:tcW w:w="2869" w:type="dxa"/>
            <w:shd w:val="clear" w:color="auto" w:fill="auto"/>
            <w:vAlign w:val="bottom"/>
          </w:tcPr>
          <w:p w14:paraId="1ADCE307" w14:textId="77777777" w:rsidR="004C4442" w:rsidRPr="00515546" w:rsidRDefault="004C4442" w:rsidP="00BC0632">
            <w:pPr>
              <w:spacing w:after="0"/>
              <w:rPr>
                <w:b/>
                <w:szCs w:val="22"/>
              </w:rPr>
            </w:pPr>
            <w:r w:rsidRPr="00515546">
              <w:rPr>
                <w:b/>
                <w:szCs w:val="22"/>
              </w:rPr>
              <w:t>Review due date:</w:t>
            </w:r>
          </w:p>
        </w:tc>
      </w:tr>
      <w:tr w:rsidR="004C4442" w:rsidRPr="00515546" w14:paraId="6D3D3F97" w14:textId="77777777" w:rsidTr="00515546">
        <w:trPr>
          <w:trHeight w:val="20"/>
        </w:trPr>
        <w:tc>
          <w:tcPr>
            <w:tcW w:w="2139" w:type="dxa"/>
            <w:shd w:val="clear" w:color="auto" w:fill="auto"/>
            <w:vAlign w:val="bottom"/>
          </w:tcPr>
          <w:p w14:paraId="01ED885B" w14:textId="75FFE4D6" w:rsidR="004C4442" w:rsidRPr="00515546" w:rsidRDefault="0085636C" w:rsidP="00BC0632">
            <w:pPr>
              <w:spacing w:after="0"/>
              <w:rPr>
                <w:szCs w:val="22"/>
              </w:rPr>
            </w:pPr>
            <w:r>
              <w:rPr>
                <w:szCs w:val="22"/>
              </w:rPr>
              <w:t>1</w:t>
            </w:r>
            <w:r w:rsidR="004C4442" w:rsidRPr="00515546">
              <w:rPr>
                <w:szCs w:val="22"/>
              </w:rPr>
              <w:t>.0</w:t>
            </w:r>
          </w:p>
        </w:tc>
        <w:tc>
          <w:tcPr>
            <w:tcW w:w="3622" w:type="dxa"/>
            <w:shd w:val="clear" w:color="auto" w:fill="auto"/>
            <w:vAlign w:val="bottom"/>
          </w:tcPr>
          <w:p w14:paraId="1094AD4E" w14:textId="77777777" w:rsidR="004C4442" w:rsidRPr="00515546" w:rsidRDefault="004C4442" w:rsidP="00BC0632">
            <w:pPr>
              <w:spacing w:after="0"/>
              <w:rPr>
                <w:szCs w:val="22"/>
              </w:rPr>
            </w:pPr>
            <w:r w:rsidRPr="00515546">
              <w:rPr>
                <w:szCs w:val="22"/>
              </w:rPr>
              <w:t>New document</w:t>
            </w:r>
          </w:p>
        </w:tc>
        <w:tc>
          <w:tcPr>
            <w:tcW w:w="2869" w:type="dxa"/>
            <w:shd w:val="clear" w:color="auto" w:fill="auto"/>
            <w:vAlign w:val="bottom"/>
          </w:tcPr>
          <w:p w14:paraId="32C93D31" w14:textId="77777777" w:rsidR="004C4442" w:rsidRPr="00515546" w:rsidRDefault="004C4442" w:rsidP="00BC0632">
            <w:pPr>
              <w:spacing w:after="0"/>
              <w:rPr>
                <w:szCs w:val="22"/>
              </w:rPr>
            </w:pPr>
          </w:p>
        </w:tc>
      </w:tr>
      <w:tr w:rsidR="0085636C" w:rsidRPr="00515546" w14:paraId="17F787DD" w14:textId="77777777" w:rsidTr="00515546">
        <w:trPr>
          <w:trHeight w:val="20"/>
        </w:trPr>
        <w:tc>
          <w:tcPr>
            <w:tcW w:w="2139" w:type="dxa"/>
            <w:shd w:val="clear" w:color="auto" w:fill="auto"/>
            <w:vAlign w:val="bottom"/>
          </w:tcPr>
          <w:p w14:paraId="2DDCAB15" w14:textId="73CD2DD9" w:rsidR="0085636C" w:rsidRDefault="0085636C" w:rsidP="00BC0632">
            <w:pPr>
              <w:spacing w:after="0"/>
              <w:rPr>
                <w:szCs w:val="22"/>
              </w:rPr>
            </w:pPr>
            <w:r>
              <w:rPr>
                <w:szCs w:val="22"/>
              </w:rPr>
              <w:t>2.0</w:t>
            </w:r>
          </w:p>
        </w:tc>
        <w:tc>
          <w:tcPr>
            <w:tcW w:w="3622" w:type="dxa"/>
            <w:shd w:val="clear" w:color="auto" w:fill="auto"/>
            <w:vAlign w:val="bottom"/>
          </w:tcPr>
          <w:p w14:paraId="059C06A5" w14:textId="2EDB9E3A" w:rsidR="0085636C" w:rsidRPr="00515546" w:rsidRDefault="0085636C" w:rsidP="00BC0632">
            <w:pPr>
              <w:spacing w:after="0"/>
              <w:rPr>
                <w:szCs w:val="22"/>
              </w:rPr>
            </w:pPr>
            <w:r>
              <w:rPr>
                <w:szCs w:val="22"/>
              </w:rPr>
              <w:t>Updated, scope broadened and transferred to new template</w:t>
            </w:r>
          </w:p>
        </w:tc>
        <w:tc>
          <w:tcPr>
            <w:tcW w:w="2869" w:type="dxa"/>
            <w:shd w:val="clear" w:color="auto" w:fill="auto"/>
            <w:vAlign w:val="bottom"/>
          </w:tcPr>
          <w:p w14:paraId="4DB79C64" w14:textId="4FC6D732" w:rsidR="0085636C" w:rsidRPr="00515546" w:rsidRDefault="00D05249" w:rsidP="00BC0632">
            <w:pPr>
              <w:spacing w:after="0"/>
              <w:rPr>
                <w:szCs w:val="22"/>
              </w:rPr>
            </w:pPr>
            <w:r>
              <w:rPr>
                <w:szCs w:val="22"/>
              </w:rPr>
              <w:t>31 May 2021</w:t>
            </w:r>
          </w:p>
        </w:tc>
      </w:tr>
      <w:tr w:rsidR="005638D0" w:rsidRPr="00515546" w14:paraId="1ADA0046" w14:textId="77777777" w:rsidTr="00515546">
        <w:trPr>
          <w:trHeight w:val="20"/>
        </w:trPr>
        <w:tc>
          <w:tcPr>
            <w:tcW w:w="2139" w:type="dxa"/>
            <w:shd w:val="clear" w:color="auto" w:fill="auto"/>
            <w:vAlign w:val="bottom"/>
          </w:tcPr>
          <w:p w14:paraId="61BD65EF"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9FC7930" w14:textId="77777777" w:rsidR="005638D0" w:rsidRPr="00515546" w:rsidRDefault="005638D0" w:rsidP="005638D0">
            <w:pPr>
              <w:spacing w:after="0"/>
              <w:rPr>
                <w:szCs w:val="22"/>
              </w:rPr>
            </w:pPr>
          </w:p>
        </w:tc>
        <w:tc>
          <w:tcPr>
            <w:tcW w:w="2869" w:type="dxa"/>
            <w:shd w:val="clear" w:color="auto" w:fill="auto"/>
            <w:vAlign w:val="bottom"/>
          </w:tcPr>
          <w:p w14:paraId="25C1E77A" w14:textId="77777777" w:rsidR="005638D0" w:rsidRPr="00515546" w:rsidRDefault="005638D0" w:rsidP="005638D0">
            <w:pPr>
              <w:spacing w:after="0"/>
              <w:rPr>
                <w:b/>
                <w:szCs w:val="22"/>
              </w:rPr>
            </w:pPr>
          </w:p>
        </w:tc>
      </w:tr>
    </w:tbl>
    <w:p w14:paraId="384945D0" w14:textId="77777777" w:rsidR="00975A60" w:rsidRPr="00CC3CF5" w:rsidRDefault="00975A60" w:rsidP="00975A60">
      <w:pPr>
        <w:rPr>
          <w:szCs w:val="22"/>
        </w:rPr>
      </w:pPr>
    </w:p>
    <w:sectPr w:rsidR="00975A60" w:rsidRPr="00CC3CF5" w:rsidSect="00D13825">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110D" w14:textId="77777777" w:rsidR="004F27DD" w:rsidRDefault="004F27DD" w:rsidP="00975A60">
      <w:pPr>
        <w:spacing w:after="0"/>
      </w:pPr>
      <w:r>
        <w:separator/>
      </w:r>
    </w:p>
  </w:endnote>
  <w:endnote w:type="continuationSeparator" w:id="0">
    <w:p w14:paraId="30B646D0" w14:textId="77777777" w:rsidR="004F27DD" w:rsidRDefault="004F27D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F526F" w14:textId="77777777" w:rsidR="00F94127" w:rsidRDefault="00F9412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5A2DBC" w14:textId="77777777" w:rsidR="00F94127" w:rsidRDefault="00F94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CD7E" w14:textId="77777777" w:rsidR="00F94127" w:rsidRPr="003A02A5" w:rsidRDefault="00F9412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D966" w14:textId="77777777" w:rsidR="00F94127" w:rsidRDefault="00F94127"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171363">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171363">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ED557" w14:textId="77777777" w:rsidR="004F27DD" w:rsidRDefault="004F27DD" w:rsidP="00975A60">
      <w:pPr>
        <w:spacing w:after="0"/>
      </w:pPr>
      <w:r>
        <w:separator/>
      </w:r>
    </w:p>
  </w:footnote>
  <w:footnote w:type="continuationSeparator" w:id="0">
    <w:p w14:paraId="12AECFE9" w14:textId="77777777" w:rsidR="004F27DD" w:rsidRDefault="004F27D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A286" w14:textId="4E2425ED" w:rsidR="00F94127" w:rsidRPr="00F87812" w:rsidRDefault="00F94127" w:rsidP="00D13825">
    <w:pPr>
      <w:pStyle w:val="Header"/>
    </w:pPr>
    <w:r w:rsidRPr="00F87812">
      <w:t>Identification code: MeG-CLS-</w:t>
    </w:r>
    <w:r w:rsidR="000A643F">
      <w:t>019</w:t>
    </w:r>
    <w:r w:rsidRPr="00F87812">
      <w:tab/>
    </w:r>
  </w:p>
  <w:p w14:paraId="146DB69D" w14:textId="4CF2BB7B" w:rsidR="00F94127" w:rsidRPr="00D13825" w:rsidRDefault="00F94127" w:rsidP="00D13825">
    <w:pPr>
      <w:pStyle w:val="Header"/>
    </w:pPr>
    <w:r w:rsidRPr="00F87812">
      <w:t xml:space="preserve">Version: </w:t>
    </w:r>
    <w:r w:rsidR="0085636C">
      <w:t>2</w:t>
    </w:r>
    <w:r w:rsidRPr="0085636C">
      <w:t xml:space="preserve">.0 – </w:t>
    </w:r>
    <w:r w:rsidR="00D05249">
      <w:rPr>
        <w:szCs w:val="22"/>
      </w:rPr>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03AB1" w14:textId="77777777" w:rsidR="00F94127" w:rsidRDefault="00F94127"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1377670B" wp14:editId="66B8C81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AC88E62" w14:textId="77777777" w:rsidR="00F94127" w:rsidRDefault="00F94127"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B0B4FFE" w14:textId="77777777" w:rsidR="00F94127" w:rsidRPr="003C0800" w:rsidRDefault="00F94127" w:rsidP="00D13825">
    <w:pPr>
      <w:pStyle w:val="Header"/>
      <w:ind w:firstLine="2880"/>
      <w:rPr>
        <w:rFonts w:cs="Arial"/>
        <w:b/>
      </w:rPr>
    </w:pPr>
  </w:p>
  <w:p w14:paraId="7C08AFFE" w14:textId="2CAFC96D" w:rsidR="00F94127" w:rsidRPr="00F87812" w:rsidRDefault="00F94127" w:rsidP="00D13825">
    <w:pPr>
      <w:pStyle w:val="Header"/>
    </w:pPr>
    <w:r w:rsidRPr="00F87812">
      <w:t>Identification code: MeG-CLS-</w:t>
    </w:r>
    <w:r w:rsidR="000A643F">
      <w:t>019</w:t>
    </w:r>
    <w:r w:rsidRPr="00F87812">
      <w:tab/>
    </w:r>
  </w:p>
  <w:p w14:paraId="745492B0" w14:textId="04964D87" w:rsidR="00F94127" w:rsidRPr="000A643F" w:rsidRDefault="00F94127" w:rsidP="00D13825">
    <w:pPr>
      <w:pStyle w:val="Header"/>
    </w:pPr>
    <w:r w:rsidRPr="00F87812">
      <w:t>Version</w:t>
    </w:r>
    <w:r w:rsidRPr="000A643F">
      <w:t xml:space="preserve">: </w:t>
    </w:r>
    <w:r w:rsidR="000A643F" w:rsidRPr="000A643F">
      <w:t>2</w:t>
    </w:r>
    <w:r w:rsidRPr="000A643F">
      <w:t xml:space="preserve">.0 – </w:t>
    </w:r>
    <w:r w:rsidR="00D05249">
      <w:rPr>
        <w:szCs w:val="22"/>
      </w:rPr>
      <w:t>31 May 2019</w:t>
    </w:r>
  </w:p>
  <w:p w14:paraId="6B8C6E09" w14:textId="77777777" w:rsidR="00F94127" w:rsidRDefault="00F94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EAB"/>
    <w:multiLevelType w:val="hybridMultilevel"/>
    <w:tmpl w:val="6ED2D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B60CEF"/>
    <w:multiLevelType w:val="multilevel"/>
    <w:tmpl w:val="BF8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C2FD5"/>
    <w:multiLevelType w:val="hybridMultilevel"/>
    <w:tmpl w:val="91B2C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F252E4"/>
    <w:multiLevelType w:val="hybridMultilevel"/>
    <w:tmpl w:val="8A24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D6207"/>
    <w:multiLevelType w:val="hybridMultilevel"/>
    <w:tmpl w:val="C4AA6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F628F"/>
    <w:multiLevelType w:val="hybridMultilevel"/>
    <w:tmpl w:val="C4AE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C703AF"/>
    <w:multiLevelType w:val="hybridMultilevel"/>
    <w:tmpl w:val="EB28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9D7C9F"/>
    <w:multiLevelType w:val="hybridMultilevel"/>
    <w:tmpl w:val="5024E9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2467EA"/>
    <w:multiLevelType w:val="hybridMultilevel"/>
    <w:tmpl w:val="9D704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986C02"/>
    <w:multiLevelType w:val="hybridMultilevel"/>
    <w:tmpl w:val="9E8CD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5"/>
  </w:num>
  <w:num w:numId="6">
    <w:abstractNumId w:val="0"/>
  </w:num>
  <w:num w:numId="7">
    <w:abstractNumId w:val="4"/>
  </w:num>
  <w:num w:numId="8">
    <w:abstractNumId w:val="6"/>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DU0M7CwMDE0MDJV0lEKTi0uzszPAykwrgUAkfLU6SwAAAA="/>
  </w:docVars>
  <w:rsids>
    <w:rsidRoot w:val="002D4A87"/>
    <w:rsid w:val="000039D9"/>
    <w:rsid w:val="00007D03"/>
    <w:rsid w:val="00010E4A"/>
    <w:rsid w:val="00024576"/>
    <w:rsid w:val="00034E55"/>
    <w:rsid w:val="00052777"/>
    <w:rsid w:val="000627E6"/>
    <w:rsid w:val="00070646"/>
    <w:rsid w:val="0007147C"/>
    <w:rsid w:val="00081642"/>
    <w:rsid w:val="0008428E"/>
    <w:rsid w:val="000A643F"/>
    <w:rsid w:val="000C65CC"/>
    <w:rsid w:val="000D69C3"/>
    <w:rsid w:val="000E1902"/>
    <w:rsid w:val="000E327B"/>
    <w:rsid w:val="000F0C72"/>
    <w:rsid w:val="001032A6"/>
    <w:rsid w:val="00111671"/>
    <w:rsid w:val="00114AAF"/>
    <w:rsid w:val="001203AE"/>
    <w:rsid w:val="00123F20"/>
    <w:rsid w:val="001413B5"/>
    <w:rsid w:val="0014618A"/>
    <w:rsid w:val="0015509A"/>
    <w:rsid w:val="00164B3A"/>
    <w:rsid w:val="00171363"/>
    <w:rsid w:val="00175153"/>
    <w:rsid w:val="0017538A"/>
    <w:rsid w:val="0017728E"/>
    <w:rsid w:val="001975A4"/>
    <w:rsid w:val="001B68DF"/>
    <w:rsid w:val="001B7C35"/>
    <w:rsid w:val="001C1450"/>
    <w:rsid w:val="001C40F3"/>
    <w:rsid w:val="001C4514"/>
    <w:rsid w:val="001F08E5"/>
    <w:rsid w:val="00221C09"/>
    <w:rsid w:val="00223920"/>
    <w:rsid w:val="00223CD0"/>
    <w:rsid w:val="00241ACA"/>
    <w:rsid w:val="00252A11"/>
    <w:rsid w:val="00263BE6"/>
    <w:rsid w:val="0027285B"/>
    <w:rsid w:val="0028578B"/>
    <w:rsid w:val="0029357D"/>
    <w:rsid w:val="00297396"/>
    <w:rsid w:val="002A094C"/>
    <w:rsid w:val="002A2856"/>
    <w:rsid w:val="002A4D27"/>
    <w:rsid w:val="002A5909"/>
    <w:rsid w:val="002A6AD0"/>
    <w:rsid w:val="002D4A87"/>
    <w:rsid w:val="002E5405"/>
    <w:rsid w:val="003016FC"/>
    <w:rsid w:val="003020A2"/>
    <w:rsid w:val="003038D3"/>
    <w:rsid w:val="00307B0D"/>
    <w:rsid w:val="00313A20"/>
    <w:rsid w:val="00320323"/>
    <w:rsid w:val="003225CD"/>
    <w:rsid w:val="00325B55"/>
    <w:rsid w:val="00331340"/>
    <w:rsid w:val="00331A41"/>
    <w:rsid w:val="00366D83"/>
    <w:rsid w:val="003C0800"/>
    <w:rsid w:val="003C4E2E"/>
    <w:rsid w:val="003C52AA"/>
    <w:rsid w:val="003D093E"/>
    <w:rsid w:val="003D4ECE"/>
    <w:rsid w:val="003D77CE"/>
    <w:rsid w:val="003E15CA"/>
    <w:rsid w:val="003F3169"/>
    <w:rsid w:val="003F5EE4"/>
    <w:rsid w:val="003F70CA"/>
    <w:rsid w:val="00411062"/>
    <w:rsid w:val="00426AF5"/>
    <w:rsid w:val="00441875"/>
    <w:rsid w:val="00465066"/>
    <w:rsid w:val="00482347"/>
    <w:rsid w:val="004857DD"/>
    <w:rsid w:val="004A25F0"/>
    <w:rsid w:val="004A4C93"/>
    <w:rsid w:val="004B2FAB"/>
    <w:rsid w:val="004C4442"/>
    <w:rsid w:val="004F27DD"/>
    <w:rsid w:val="005151D8"/>
    <w:rsid w:val="00515546"/>
    <w:rsid w:val="00516869"/>
    <w:rsid w:val="005410F8"/>
    <w:rsid w:val="005517FE"/>
    <w:rsid w:val="005638D0"/>
    <w:rsid w:val="005767B9"/>
    <w:rsid w:val="00586244"/>
    <w:rsid w:val="005A1E72"/>
    <w:rsid w:val="005B1FAB"/>
    <w:rsid w:val="005C7EC8"/>
    <w:rsid w:val="005D1877"/>
    <w:rsid w:val="005E0680"/>
    <w:rsid w:val="00605963"/>
    <w:rsid w:val="00615A3F"/>
    <w:rsid w:val="006168B9"/>
    <w:rsid w:val="00633320"/>
    <w:rsid w:val="006357A3"/>
    <w:rsid w:val="0068168D"/>
    <w:rsid w:val="006A6D03"/>
    <w:rsid w:val="006E3827"/>
    <w:rsid w:val="006F2025"/>
    <w:rsid w:val="006F77D1"/>
    <w:rsid w:val="007067BE"/>
    <w:rsid w:val="00707BED"/>
    <w:rsid w:val="00725B26"/>
    <w:rsid w:val="0073606F"/>
    <w:rsid w:val="007408F0"/>
    <w:rsid w:val="00756101"/>
    <w:rsid w:val="007610AB"/>
    <w:rsid w:val="00772065"/>
    <w:rsid w:val="00783E39"/>
    <w:rsid w:val="007B26B1"/>
    <w:rsid w:val="007C7E7B"/>
    <w:rsid w:val="007E4975"/>
    <w:rsid w:val="007F6302"/>
    <w:rsid w:val="00846AFC"/>
    <w:rsid w:val="0085636C"/>
    <w:rsid w:val="00857027"/>
    <w:rsid w:val="00865EC2"/>
    <w:rsid w:val="00872890"/>
    <w:rsid w:val="008A4E95"/>
    <w:rsid w:val="008D03E5"/>
    <w:rsid w:val="008D6DA1"/>
    <w:rsid w:val="008E31ED"/>
    <w:rsid w:val="008F5849"/>
    <w:rsid w:val="00906671"/>
    <w:rsid w:val="009165E9"/>
    <w:rsid w:val="0092417A"/>
    <w:rsid w:val="00924F35"/>
    <w:rsid w:val="0092597C"/>
    <w:rsid w:val="009325A7"/>
    <w:rsid w:val="009422FE"/>
    <w:rsid w:val="00944715"/>
    <w:rsid w:val="00971E62"/>
    <w:rsid w:val="00975A60"/>
    <w:rsid w:val="00984763"/>
    <w:rsid w:val="00987A53"/>
    <w:rsid w:val="009956F9"/>
    <w:rsid w:val="009A1D94"/>
    <w:rsid w:val="009B44BE"/>
    <w:rsid w:val="009C12B4"/>
    <w:rsid w:val="009D4D28"/>
    <w:rsid w:val="009F5B1B"/>
    <w:rsid w:val="00A14EB9"/>
    <w:rsid w:val="00A312D8"/>
    <w:rsid w:val="00A41080"/>
    <w:rsid w:val="00A44CC3"/>
    <w:rsid w:val="00A5476D"/>
    <w:rsid w:val="00A5479D"/>
    <w:rsid w:val="00A618A8"/>
    <w:rsid w:val="00A64153"/>
    <w:rsid w:val="00A64391"/>
    <w:rsid w:val="00A80568"/>
    <w:rsid w:val="00A80A1C"/>
    <w:rsid w:val="00A9247F"/>
    <w:rsid w:val="00AA4780"/>
    <w:rsid w:val="00AA7C7F"/>
    <w:rsid w:val="00AB4C7C"/>
    <w:rsid w:val="00AB5E11"/>
    <w:rsid w:val="00AC38CA"/>
    <w:rsid w:val="00AC7215"/>
    <w:rsid w:val="00B31AC4"/>
    <w:rsid w:val="00B57975"/>
    <w:rsid w:val="00B844E8"/>
    <w:rsid w:val="00BA0926"/>
    <w:rsid w:val="00BA0A1F"/>
    <w:rsid w:val="00BA19FD"/>
    <w:rsid w:val="00BB06BE"/>
    <w:rsid w:val="00BB7ABF"/>
    <w:rsid w:val="00BC0632"/>
    <w:rsid w:val="00BC6DBA"/>
    <w:rsid w:val="00BD08AB"/>
    <w:rsid w:val="00BD2471"/>
    <w:rsid w:val="00C174CA"/>
    <w:rsid w:val="00C200F3"/>
    <w:rsid w:val="00C21DD4"/>
    <w:rsid w:val="00C52A42"/>
    <w:rsid w:val="00C541AE"/>
    <w:rsid w:val="00C55AB6"/>
    <w:rsid w:val="00C61F05"/>
    <w:rsid w:val="00C67021"/>
    <w:rsid w:val="00C87C78"/>
    <w:rsid w:val="00CB3DA4"/>
    <w:rsid w:val="00CB49D7"/>
    <w:rsid w:val="00CC3CF5"/>
    <w:rsid w:val="00CD4A1D"/>
    <w:rsid w:val="00CF645C"/>
    <w:rsid w:val="00D03AB2"/>
    <w:rsid w:val="00D05249"/>
    <w:rsid w:val="00D13825"/>
    <w:rsid w:val="00D16149"/>
    <w:rsid w:val="00D53326"/>
    <w:rsid w:val="00D84EDA"/>
    <w:rsid w:val="00DA20ED"/>
    <w:rsid w:val="00DB1207"/>
    <w:rsid w:val="00DC1CC5"/>
    <w:rsid w:val="00DC590C"/>
    <w:rsid w:val="00DE3D6D"/>
    <w:rsid w:val="00DF345F"/>
    <w:rsid w:val="00E10052"/>
    <w:rsid w:val="00E162DA"/>
    <w:rsid w:val="00E25DBF"/>
    <w:rsid w:val="00E83306"/>
    <w:rsid w:val="00E8488E"/>
    <w:rsid w:val="00E87EE4"/>
    <w:rsid w:val="00EB20F7"/>
    <w:rsid w:val="00EB57C0"/>
    <w:rsid w:val="00EB739F"/>
    <w:rsid w:val="00F014CB"/>
    <w:rsid w:val="00F03F25"/>
    <w:rsid w:val="00F050C0"/>
    <w:rsid w:val="00F079F6"/>
    <w:rsid w:val="00F23A8E"/>
    <w:rsid w:val="00F2450A"/>
    <w:rsid w:val="00F53968"/>
    <w:rsid w:val="00F71F11"/>
    <w:rsid w:val="00F823FF"/>
    <w:rsid w:val="00F8417F"/>
    <w:rsid w:val="00F91749"/>
    <w:rsid w:val="00F94127"/>
    <w:rsid w:val="00F96B0A"/>
    <w:rsid w:val="00FB1907"/>
    <w:rsid w:val="00FB20BD"/>
    <w:rsid w:val="00FC54F5"/>
    <w:rsid w:val="00FE3A3E"/>
    <w:rsid w:val="00FE6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FFA2"/>
  <w15:docId w15:val="{4C74D5F9-163C-4628-BDCF-2E88056D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EE4"/>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3F5EE4"/>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3F5EE4"/>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BB06BE"/>
    <w:rPr>
      <w:sz w:val="16"/>
      <w:szCs w:val="16"/>
    </w:rPr>
  </w:style>
  <w:style w:type="paragraph" w:styleId="CommentText">
    <w:name w:val="annotation text"/>
    <w:basedOn w:val="Normal"/>
    <w:link w:val="CommentTextChar"/>
    <w:unhideWhenUsed/>
    <w:rsid w:val="00BB06BE"/>
    <w:rPr>
      <w:sz w:val="20"/>
      <w:szCs w:val="20"/>
    </w:rPr>
  </w:style>
  <w:style w:type="character" w:customStyle="1" w:styleId="CommentTextChar">
    <w:name w:val="Comment Text Char"/>
    <w:basedOn w:val="DefaultParagraphFont"/>
    <w:link w:val="CommentText"/>
    <w:rsid w:val="00BB06BE"/>
    <w:rPr>
      <w:rFonts w:ascii="Arial" w:hAnsi="Arial"/>
      <w:lang w:val="en-US"/>
    </w:rPr>
  </w:style>
  <w:style w:type="paragraph" w:styleId="CommentSubject">
    <w:name w:val="annotation subject"/>
    <w:basedOn w:val="CommentText"/>
    <w:next w:val="CommentText"/>
    <w:link w:val="CommentSubjectChar"/>
    <w:semiHidden/>
    <w:unhideWhenUsed/>
    <w:rsid w:val="00BB06BE"/>
    <w:rPr>
      <w:b/>
      <w:bCs/>
    </w:rPr>
  </w:style>
  <w:style w:type="character" w:customStyle="1" w:styleId="CommentSubjectChar">
    <w:name w:val="Comment Subject Char"/>
    <w:basedOn w:val="CommentTextChar"/>
    <w:link w:val="CommentSubject"/>
    <w:semiHidden/>
    <w:rsid w:val="00BB06BE"/>
    <w:rPr>
      <w:rFonts w:ascii="Arial" w:hAnsi="Arial"/>
      <w:b/>
      <w:bCs/>
      <w:lang w:val="en-US"/>
    </w:rPr>
  </w:style>
  <w:style w:type="paragraph" w:customStyle="1" w:styleId="Default">
    <w:name w:val="Default"/>
    <w:rsid w:val="00F91749"/>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9936">
      <w:bodyDiv w:val="1"/>
      <w:marLeft w:val="0"/>
      <w:marRight w:val="0"/>
      <w:marTop w:val="0"/>
      <w:marBottom w:val="0"/>
      <w:divBdr>
        <w:top w:val="none" w:sz="0" w:space="0" w:color="auto"/>
        <w:left w:val="none" w:sz="0" w:space="0" w:color="auto"/>
        <w:bottom w:val="none" w:sz="0" w:space="0" w:color="auto"/>
        <w:right w:val="none" w:sz="0" w:space="0" w:color="auto"/>
      </w:divBdr>
      <w:divsChild>
        <w:div w:id="1043824420">
          <w:marLeft w:val="0"/>
          <w:marRight w:val="0"/>
          <w:marTop w:val="0"/>
          <w:marBottom w:val="0"/>
          <w:divBdr>
            <w:top w:val="none" w:sz="0" w:space="0" w:color="auto"/>
            <w:left w:val="none" w:sz="0" w:space="0" w:color="auto"/>
            <w:bottom w:val="none" w:sz="0" w:space="0" w:color="auto"/>
            <w:right w:val="none" w:sz="0" w:space="0" w:color="auto"/>
          </w:divBdr>
        </w:div>
        <w:div w:id="897860804">
          <w:marLeft w:val="0"/>
          <w:marRight w:val="0"/>
          <w:marTop w:val="0"/>
          <w:marBottom w:val="0"/>
          <w:divBdr>
            <w:top w:val="none" w:sz="0" w:space="0" w:color="auto"/>
            <w:left w:val="none" w:sz="0" w:space="0" w:color="auto"/>
            <w:bottom w:val="none" w:sz="0" w:space="0" w:color="auto"/>
            <w:right w:val="none" w:sz="0" w:space="0" w:color="auto"/>
          </w:divBdr>
        </w:div>
        <w:div w:id="939410220">
          <w:marLeft w:val="0"/>
          <w:marRight w:val="0"/>
          <w:marTop w:val="0"/>
          <w:marBottom w:val="0"/>
          <w:divBdr>
            <w:top w:val="none" w:sz="0" w:space="0" w:color="auto"/>
            <w:left w:val="none" w:sz="0" w:space="0" w:color="auto"/>
            <w:bottom w:val="none" w:sz="0" w:space="0" w:color="auto"/>
            <w:right w:val="none" w:sz="0" w:space="0" w:color="auto"/>
          </w:divBdr>
        </w:div>
        <w:div w:id="2015718458">
          <w:marLeft w:val="0"/>
          <w:marRight w:val="0"/>
          <w:marTop w:val="0"/>
          <w:marBottom w:val="0"/>
          <w:divBdr>
            <w:top w:val="none" w:sz="0" w:space="0" w:color="auto"/>
            <w:left w:val="none" w:sz="0" w:space="0" w:color="auto"/>
            <w:bottom w:val="none" w:sz="0" w:space="0" w:color="auto"/>
            <w:right w:val="none" w:sz="0" w:space="0" w:color="auto"/>
          </w:divBdr>
        </w:div>
        <w:div w:id="450785541">
          <w:marLeft w:val="0"/>
          <w:marRight w:val="0"/>
          <w:marTop w:val="0"/>
          <w:marBottom w:val="0"/>
          <w:divBdr>
            <w:top w:val="none" w:sz="0" w:space="0" w:color="auto"/>
            <w:left w:val="none" w:sz="0" w:space="0" w:color="auto"/>
            <w:bottom w:val="none" w:sz="0" w:space="0" w:color="auto"/>
            <w:right w:val="none" w:sz="0" w:space="0" w:color="auto"/>
          </w:divBdr>
        </w:div>
      </w:divsChild>
    </w:div>
    <w:div w:id="1421366381">
      <w:bodyDiv w:val="1"/>
      <w:marLeft w:val="0"/>
      <w:marRight w:val="0"/>
      <w:marTop w:val="0"/>
      <w:marBottom w:val="0"/>
      <w:divBdr>
        <w:top w:val="none" w:sz="0" w:space="0" w:color="auto"/>
        <w:left w:val="none" w:sz="0" w:space="0" w:color="auto"/>
        <w:bottom w:val="none" w:sz="0" w:space="0" w:color="auto"/>
        <w:right w:val="none" w:sz="0" w:space="0" w:color="auto"/>
      </w:divBdr>
    </w:div>
    <w:div w:id="1509490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cg16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nice.org.uk/guidance/ng111" TargetMode="External"/><Relationship Id="rId4" Type="http://schemas.openxmlformats.org/officeDocument/2006/relationships/settings" Target="settings.xml"/><Relationship Id="rId9" Type="http://schemas.openxmlformats.org/officeDocument/2006/relationships/hyperlink" Target="https://www.nice.org.uk/guidance/ng109"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18A5A-9EDB-4DC3-985A-DE9801D4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4</TotalTime>
  <Pages>6</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5</cp:revision>
  <cp:lastPrinted>2019-05-31T09:59:00Z</cp:lastPrinted>
  <dcterms:created xsi:type="dcterms:W3CDTF">2019-05-06T11:26:00Z</dcterms:created>
  <dcterms:modified xsi:type="dcterms:W3CDTF">2019-05-31T09:59:00Z</dcterms:modified>
</cp:coreProperties>
</file>