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E1D13" w14:textId="41F4DC2A" w:rsidR="001203AE" w:rsidRPr="003C0800" w:rsidRDefault="00233197" w:rsidP="00504405">
      <w:pPr>
        <w:pStyle w:val="Heading1"/>
      </w:pPr>
      <w:bookmarkStart w:id="0" w:name="_GoBack"/>
      <w:bookmarkEnd w:id="0"/>
      <w:r>
        <w:t>Upper respiratory tract infections</w:t>
      </w:r>
    </w:p>
    <w:p w14:paraId="18DE31DB" w14:textId="77777777" w:rsidR="00584E1E" w:rsidRPr="00F94418" w:rsidRDefault="00584E1E" w:rsidP="00584E1E">
      <w:pPr>
        <w:pStyle w:val="Heading2"/>
        <w:rPr>
          <w:rFonts w:cs="Arial"/>
          <w:i/>
          <w:szCs w:val="22"/>
        </w:rPr>
      </w:pPr>
      <w:r w:rsidRPr="00F94418">
        <w:rPr>
          <w:rFonts w:cs="Arial"/>
          <w:i/>
          <w:szCs w:val="22"/>
        </w:rPr>
        <w:t>Executive summary</w:t>
      </w:r>
    </w:p>
    <w:p w14:paraId="1F2B4AC5" w14:textId="77777777" w:rsidR="00584E1E" w:rsidRDefault="00584E1E" w:rsidP="00584E1E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Introduction</w:t>
      </w:r>
    </w:p>
    <w:p w14:paraId="319C5E8F" w14:textId="6089EB54" w:rsidR="00233197" w:rsidRDefault="00233197" w:rsidP="00116B40">
      <w:pPr>
        <w:rPr>
          <w:b/>
        </w:rPr>
      </w:pPr>
      <w:r w:rsidRPr="00A4731C">
        <w:t xml:space="preserve">Upper respiratory tract infections </w:t>
      </w:r>
      <w:r w:rsidR="00462C48">
        <w:t xml:space="preserve">(URTIs) </w:t>
      </w:r>
      <w:r w:rsidRPr="00A4731C">
        <w:t xml:space="preserve">are very common in both adults and children. Most URTIs are caused by viruses and are self-limiting. Antibiotic treatment is avoided or delayed. </w:t>
      </w:r>
      <w:r>
        <w:t xml:space="preserve">The common cold is the most common of these and affects the nasopharyngeal mucosa. </w:t>
      </w:r>
      <w:r w:rsidRPr="00A4731C">
        <w:t>It is contagious and is spread by airborne droplets.</w:t>
      </w:r>
    </w:p>
    <w:p w14:paraId="1F81B418" w14:textId="485B4BAA" w:rsidR="00233197" w:rsidRPr="00A4731C" w:rsidRDefault="00233197" w:rsidP="00116B40">
      <w:pPr>
        <w:rPr>
          <w:b/>
        </w:rPr>
      </w:pPr>
      <w:r w:rsidRPr="00A4731C">
        <w:t>In some cases, antibiotic treatment is required to avoid complications. The following subgroups can be considered for an immediate antibiotic prescribing strategy</w:t>
      </w:r>
      <w:r>
        <w:t>:</w:t>
      </w:r>
    </w:p>
    <w:p w14:paraId="4DE6B66A" w14:textId="3795BBC8" w:rsidR="00233197" w:rsidRPr="00116B40" w:rsidRDefault="00233197" w:rsidP="00116B40">
      <w:pPr>
        <w:pStyle w:val="ListParagraph"/>
        <w:numPr>
          <w:ilvl w:val="0"/>
          <w:numId w:val="38"/>
        </w:numPr>
        <w:rPr>
          <w:b/>
        </w:rPr>
      </w:pPr>
      <w:r w:rsidRPr="00A4731C">
        <w:t>bilateral acute otitis media in children younger than</w:t>
      </w:r>
      <w:r>
        <w:t xml:space="preserve"> </w:t>
      </w:r>
      <w:r w:rsidRPr="00A4731C">
        <w:t>2</w:t>
      </w:r>
      <w:r>
        <w:t xml:space="preserve"> </w:t>
      </w:r>
      <w:r w:rsidRPr="00A4731C">
        <w:t>years</w:t>
      </w:r>
    </w:p>
    <w:p w14:paraId="26F0D51B" w14:textId="77777777" w:rsidR="00233197" w:rsidRPr="00116B40" w:rsidRDefault="00233197" w:rsidP="00116B40">
      <w:pPr>
        <w:pStyle w:val="ListParagraph"/>
        <w:numPr>
          <w:ilvl w:val="0"/>
          <w:numId w:val="38"/>
        </w:numPr>
        <w:rPr>
          <w:b/>
        </w:rPr>
      </w:pPr>
      <w:r w:rsidRPr="00A4731C">
        <w:t xml:space="preserve">acute otitis media in children with </w:t>
      </w:r>
      <w:proofErr w:type="spellStart"/>
      <w:r w:rsidRPr="00A4731C">
        <w:t>otorrhoea</w:t>
      </w:r>
      <w:proofErr w:type="spellEnd"/>
      <w:r w:rsidRPr="00A4731C">
        <w:t xml:space="preserve"> </w:t>
      </w:r>
    </w:p>
    <w:p w14:paraId="002C2310" w14:textId="18A50598" w:rsidR="00233197" w:rsidRPr="00116B40" w:rsidRDefault="00233197" w:rsidP="00116B40">
      <w:pPr>
        <w:pStyle w:val="ListParagraph"/>
        <w:numPr>
          <w:ilvl w:val="0"/>
          <w:numId w:val="38"/>
        </w:numPr>
        <w:rPr>
          <w:b/>
        </w:rPr>
      </w:pPr>
      <w:r w:rsidRPr="00A4731C">
        <w:t xml:space="preserve">acute sore throat/acute pharyngitis/acute tonsillitis </w:t>
      </w:r>
      <w:r>
        <w:t>under certain circumstances</w:t>
      </w:r>
    </w:p>
    <w:p w14:paraId="3849BD68" w14:textId="2DCCD5EA" w:rsidR="00233197" w:rsidRPr="00116B40" w:rsidRDefault="00233197" w:rsidP="00116B40">
      <w:pPr>
        <w:pStyle w:val="ListParagraph"/>
        <w:numPr>
          <w:ilvl w:val="0"/>
          <w:numId w:val="38"/>
        </w:numPr>
        <w:rPr>
          <w:b/>
        </w:rPr>
      </w:pPr>
      <w:r>
        <w:t>e</w:t>
      </w:r>
      <w:r w:rsidRPr="00BF23C2">
        <w:t>piglottitis</w:t>
      </w:r>
    </w:p>
    <w:p w14:paraId="7FF41925" w14:textId="73F351C0" w:rsidR="00233197" w:rsidRDefault="00233197" w:rsidP="00233197">
      <w:r>
        <w:t xml:space="preserve">The routine practice of prescribing antihistamines and steroids (except in croup) in URTIs is not found to change the disease cause and thus should be avoided. </w:t>
      </w:r>
    </w:p>
    <w:p w14:paraId="63717B8B" w14:textId="77777777" w:rsidR="00584E1E" w:rsidRDefault="00584E1E" w:rsidP="00504405">
      <w:pPr>
        <w:pStyle w:val="Heading2"/>
        <w:rPr>
          <w:bCs/>
        </w:rPr>
      </w:pPr>
      <w:r w:rsidRPr="00612AEE">
        <w:t xml:space="preserve">Target </w:t>
      </w:r>
      <w:r>
        <w:t>u</w:t>
      </w:r>
      <w:r w:rsidRPr="00612AEE">
        <w:t>ser</w:t>
      </w:r>
      <w:r>
        <w:t>s</w:t>
      </w:r>
    </w:p>
    <w:p w14:paraId="6C5B75CE" w14:textId="5BA6DE72" w:rsidR="00233197" w:rsidRDefault="00233197" w:rsidP="00233197">
      <w:pPr>
        <w:pStyle w:val="ListParagraph"/>
        <w:numPr>
          <w:ilvl w:val="0"/>
          <w:numId w:val="29"/>
        </w:numPr>
      </w:pPr>
      <w:r>
        <w:t>Nurses</w:t>
      </w:r>
    </w:p>
    <w:p w14:paraId="1B624C41" w14:textId="47F9A44D" w:rsidR="00584E1E" w:rsidRPr="00584E1E" w:rsidRDefault="00233197" w:rsidP="00584E1E">
      <w:pPr>
        <w:pStyle w:val="ListParagraph"/>
        <w:numPr>
          <w:ilvl w:val="0"/>
          <w:numId w:val="29"/>
        </w:numPr>
      </w:pPr>
      <w:r>
        <w:t>Doctors</w:t>
      </w:r>
    </w:p>
    <w:p w14:paraId="2514296A" w14:textId="77777777" w:rsidR="00584E1E" w:rsidRDefault="00584E1E" w:rsidP="00504405">
      <w:pPr>
        <w:pStyle w:val="Heading2"/>
        <w:rPr>
          <w:bCs/>
        </w:rPr>
      </w:pPr>
      <w:r w:rsidRPr="00612AEE">
        <w:t xml:space="preserve">Target area of use </w:t>
      </w:r>
    </w:p>
    <w:p w14:paraId="11858C25" w14:textId="07162259" w:rsidR="00584E1E" w:rsidRDefault="00233197" w:rsidP="00584E1E">
      <w:pPr>
        <w:pStyle w:val="ListParagraph"/>
        <w:numPr>
          <w:ilvl w:val="0"/>
          <w:numId w:val="29"/>
        </w:numPr>
      </w:pPr>
      <w:r>
        <w:t>Gate clinic</w:t>
      </w:r>
    </w:p>
    <w:p w14:paraId="77305DBC" w14:textId="6C4C8769" w:rsidR="00233197" w:rsidRDefault="00233197" w:rsidP="00584E1E">
      <w:pPr>
        <w:pStyle w:val="ListParagraph"/>
        <w:numPr>
          <w:ilvl w:val="0"/>
          <w:numId w:val="29"/>
        </w:numPr>
      </w:pPr>
      <w:r>
        <w:t>Outpatient department</w:t>
      </w:r>
    </w:p>
    <w:p w14:paraId="4B5E299A" w14:textId="08CC53EE" w:rsidR="00584E1E" w:rsidRPr="00584E1E" w:rsidRDefault="00233197" w:rsidP="00584E1E">
      <w:pPr>
        <w:pStyle w:val="ListParagraph"/>
        <w:numPr>
          <w:ilvl w:val="0"/>
          <w:numId w:val="29"/>
        </w:numPr>
      </w:pPr>
      <w:r>
        <w:t>Ward</w:t>
      </w:r>
    </w:p>
    <w:p w14:paraId="766EE1B1" w14:textId="77777777" w:rsidR="00584E1E" w:rsidRDefault="00584E1E" w:rsidP="00504405">
      <w:pPr>
        <w:pStyle w:val="Heading2"/>
        <w:rPr>
          <w:bCs/>
        </w:rPr>
      </w:pPr>
      <w:r>
        <w:t xml:space="preserve">Key areas of focus / </w:t>
      </w:r>
      <w:r w:rsidRPr="00612AEE">
        <w:t xml:space="preserve">New additions / </w:t>
      </w:r>
      <w:r>
        <w:t>C</w:t>
      </w:r>
      <w:r w:rsidRPr="00612AEE">
        <w:t xml:space="preserve">hanges </w:t>
      </w:r>
    </w:p>
    <w:p w14:paraId="16D540F5" w14:textId="3A3B5993" w:rsidR="00584E1E" w:rsidRDefault="00233197" w:rsidP="00504405">
      <w:r>
        <w:t>This guideline primarily addresses the diagnosis of the common cold and other viral URTIs. The following topics are addressed in the following guidelines:</w:t>
      </w:r>
    </w:p>
    <w:p w14:paraId="2384248C" w14:textId="49B4287D" w:rsidR="00233197" w:rsidRPr="00233197" w:rsidRDefault="00233197" w:rsidP="00233197">
      <w:pPr>
        <w:pStyle w:val="ListParagraph"/>
        <w:numPr>
          <w:ilvl w:val="0"/>
          <w:numId w:val="31"/>
        </w:numPr>
        <w:jc w:val="both"/>
        <w:rPr>
          <w:szCs w:val="22"/>
        </w:rPr>
      </w:pPr>
      <w:r w:rsidRPr="00233197">
        <w:rPr>
          <w:szCs w:val="22"/>
        </w:rPr>
        <w:t>Sinusitis</w:t>
      </w:r>
      <w:r>
        <w:rPr>
          <w:szCs w:val="22"/>
        </w:rPr>
        <w:t xml:space="preserve"> </w:t>
      </w:r>
      <w:r w:rsidR="00B83705">
        <w:rPr>
          <w:szCs w:val="22"/>
        </w:rPr>
        <w:t>MeG-CLS-</w:t>
      </w:r>
      <w:r w:rsidR="00811604">
        <w:rPr>
          <w:szCs w:val="22"/>
        </w:rPr>
        <w:t>062</w:t>
      </w:r>
    </w:p>
    <w:p w14:paraId="1F7ADC56" w14:textId="05AABB9A" w:rsidR="00233197" w:rsidRPr="00233197" w:rsidRDefault="002D3139" w:rsidP="00233197">
      <w:pPr>
        <w:pStyle w:val="ListParagraph"/>
        <w:numPr>
          <w:ilvl w:val="0"/>
          <w:numId w:val="31"/>
        </w:numPr>
        <w:jc w:val="both"/>
        <w:rPr>
          <w:szCs w:val="22"/>
        </w:rPr>
      </w:pPr>
      <w:r>
        <w:rPr>
          <w:szCs w:val="22"/>
        </w:rPr>
        <w:t>Tonsillitis and p</w:t>
      </w:r>
      <w:r w:rsidR="00233197" w:rsidRPr="00233197">
        <w:rPr>
          <w:szCs w:val="22"/>
        </w:rPr>
        <w:t>haryngitis</w:t>
      </w:r>
      <w:r w:rsidR="00B83705">
        <w:rPr>
          <w:szCs w:val="22"/>
        </w:rPr>
        <w:t xml:space="preserve"> MeG-CLS-</w:t>
      </w:r>
      <w:r>
        <w:rPr>
          <w:szCs w:val="22"/>
        </w:rPr>
        <w:t>024</w:t>
      </w:r>
    </w:p>
    <w:p w14:paraId="4763A20A" w14:textId="194728FB" w:rsidR="00233197" w:rsidRPr="00233197" w:rsidRDefault="00233197" w:rsidP="00233197">
      <w:pPr>
        <w:pStyle w:val="ListParagraph"/>
        <w:numPr>
          <w:ilvl w:val="0"/>
          <w:numId w:val="31"/>
        </w:numPr>
        <w:jc w:val="both"/>
        <w:rPr>
          <w:szCs w:val="22"/>
        </w:rPr>
      </w:pPr>
      <w:r w:rsidRPr="00233197">
        <w:rPr>
          <w:szCs w:val="22"/>
        </w:rPr>
        <w:t>Acute otitis media</w:t>
      </w:r>
      <w:r w:rsidR="00811604">
        <w:rPr>
          <w:szCs w:val="22"/>
        </w:rPr>
        <w:t xml:space="preserve"> MeG-CLS-023</w:t>
      </w:r>
    </w:p>
    <w:p w14:paraId="544C2875" w14:textId="7812DD97" w:rsidR="00233197" w:rsidRPr="00233197" w:rsidRDefault="00233197" w:rsidP="00233197">
      <w:pPr>
        <w:pStyle w:val="ListParagraph"/>
        <w:numPr>
          <w:ilvl w:val="0"/>
          <w:numId w:val="31"/>
        </w:numPr>
        <w:jc w:val="both"/>
        <w:rPr>
          <w:szCs w:val="22"/>
        </w:rPr>
      </w:pPr>
      <w:r w:rsidRPr="00233197">
        <w:rPr>
          <w:szCs w:val="22"/>
        </w:rPr>
        <w:t>Laryngotracheobronchitis (croup)</w:t>
      </w:r>
      <w:r w:rsidR="00811604">
        <w:rPr>
          <w:szCs w:val="22"/>
        </w:rPr>
        <w:t xml:space="preserve"> MeG-CLS-</w:t>
      </w:r>
      <w:r w:rsidR="006E15F5">
        <w:rPr>
          <w:szCs w:val="22"/>
        </w:rPr>
        <w:t>059</w:t>
      </w:r>
    </w:p>
    <w:p w14:paraId="08B8EDA5" w14:textId="46236670" w:rsidR="00233197" w:rsidRPr="00233197" w:rsidRDefault="00233197" w:rsidP="00233197">
      <w:pPr>
        <w:pStyle w:val="ListParagraph"/>
        <w:numPr>
          <w:ilvl w:val="0"/>
          <w:numId w:val="31"/>
        </w:numPr>
        <w:jc w:val="both"/>
        <w:rPr>
          <w:szCs w:val="22"/>
        </w:rPr>
      </w:pPr>
      <w:r w:rsidRPr="00233197">
        <w:rPr>
          <w:szCs w:val="22"/>
        </w:rPr>
        <w:t>Epiglottis</w:t>
      </w:r>
      <w:r w:rsidR="006E15F5">
        <w:rPr>
          <w:szCs w:val="22"/>
        </w:rPr>
        <w:t xml:space="preserve"> MeG-CLS-063</w:t>
      </w:r>
    </w:p>
    <w:p w14:paraId="3C0D1F67" w14:textId="51970A08" w:rsidR="00233197" w:rsidRPr="00233197" w:rsidRDefault="00233197" w:rsidP="00233197">
      <w:pPr>
        <w:pStyle w:val="ListParagraph"/>
        <w:numPr>
          <w:ilvl w:val="0"/>
          <w:numId w:val="31"/>
        </w:numPr>
        <w:jc w:val="both"/>
        <w:rPr>
          <w:szCs w:val="22"/>
        </w:rPr>
      </w:pPr>
      <w:r w:rsidRPr="00233197">
        <w:rPr>
          <w:szCs w:val="22"/>
        </w:rPr>
        <w:t>Bronchiolitis</w:t>
      </w:r>
      <w:r w:rsidR="006E15F5">
        <w:rPr>
          <w:szCs w:val="22"/>
        </w:rPr>
        <w:t xml:space="preserve"> </w:t>
      </w:r>
    </w:p>
    <w:p w14:paraId="0E29C203" w14:textId="77777777" w:rsidR="00584E1E" w:rsidRDefault="00584E1E" w:rsidP="00504405">
      <w:pPr>
        <w:pStyle w:val="Heading2"/>
      </w:pPr>
      <w:r w:rsidRPr="00504405">
        <w:t>Limitations</w:t>
      </w:r>
    </w:p>
    <w:p w14:paraId="730499BF" w14:textId="4CAC0440" w:rsidR="00584E1E" w:rsidRPr="00504405" w:rsidRDefault="00233197" w:rsidP="00584E1E">
      <w:pPr>
        <w:rPr>
          <w:b/>
        </w:rPr>
      </w:pPr>
      <w:r>
        <w:t>None</w:t>
      </w:r>
    </w:p>
    <w:p w14:paraId="128B181F" w14:textId="77777777" w:rsidR="00584E1E" w:rsidRDefault="00584E1E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7D2907BE" w14:textId="5DED21BE" w:rsidR="00975A60" w:rsidRDefault="00975A60" w:rsidP="00975A60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lastRenderedPageBreak/>
        <w:t>Presenting symptoms and signs</w:t>
      </w:r>
    </w:p>
    <w:p w14:paraId="3A99E7EA" w14:textId="4FAA1DEC" w:rsidR="00233197" w:rsidRPr="00A4731C" w:rsidRDefault="00233197" w:rsidP="00233197">
      <w:pPr>
        <w:pStyle w:val="ListParagraph"/>
        <w:numPr>
          <w:ilvl w:val="0"/>
          <w:numId w:val="33"/>
        </w:numPr>
        <w:rPr>
          <w:b/>
        </w:rPr>
      </w:pPr>
      <w:r>
        <w:t>N</w:t>
      </w:r>
      <w:r w:rsidRPr="00A4731C">
        <w:t>asal discharge</w:t>
      </w:r>
    </w:p>
    <w:p w14:paraId="3D62DDA4" w14:textId="6DDB55C4" w:rsidR="00233197" w:rsidRPr="00A4731C" w:rsidRDefault="00233197" w:rsidP="00233197">
      <w:pPr>
        <w:pStyle w:val="ListParagraph"/>
        <w:numPr>
          <w:ilvl w:val="0"/>
          <w:numId w:val="33"/>
        </w:numPr>
        <w:rPr>
          <w:b/>
        </w:rPr>
      </w:pPr>
      <w:r>
        <w:t>N</w:t>
      </w:r>
      <w:r w:rsidRPr="00A4731C">
        <w:t>asal obstruction</w:t>
      </w:r>
    </w:p>
    <w:p w14:paraId="14DDAA0F" w14:textId="5BA05DFA" w:rsidR="00233197" w:rsidRPr="00A4731C" w:rsidRDefault="00233197" w:rsidP="00233197">
      <w:pPr>
        <w:pStyle w:val="ListParagraph"/>
        <w:numPr>
          <w:ilvl w:val="0"/>
          <w:numId w:val="33"/>
        </w:numPr>
        <w:rPr>
          <w:b/>
        </w:rPr>
      </w:pPr>
      <w:r>
        <w:t>S</w:t>
      </w:r>
      <w:r w:rsidRPr="00A4731C">
        <w:t>neezing</w:t>
      </w:r>
    </w:p>
    <w:p w14:paraId="16D1ADE2" w14:textId="2C805E56" w:rsidR="00233197" w:rsidRPr="00A4731C" w:rsidRDefault="00233197" w:rsidP="00233197">
      <w:pPr>
        <w:pStyle w:val="ListParagraph"/>
        <w:numPr>
          <w:ilvl w:val="0"/>
          <w:numId w:val="33"/>
        </w:numPr>
        <w:rPr>
          <w:b/>
        </w:rPr>
      </w:pPr>
      <w:r>
        <w:t>S</w:t>
      </w:r>
      <w:r w:rsidRPr="00A4731C">
        <w:t>ore throat</w:t>
      </w:r>
    </w:p>
    <w:p w14:paraId="050885EE" w14:textId="1AF86D36" w:rsidR="00233197" w:rsidRPr="00A4731C" w:rsidRDefault="00233197" w:rsidP="00233197">
      <w:pPr>
        <w:pStyle w:val="ListParagraph"/>
        <w:numPr>
          <w:ilvl w:val="0"/>
          <w:numId w:val="33"/>
        </w:numPr>
        <w:rPr>
          <w:b/>
        </w:rPr>
      </w:pPr>
      <w:r>
        <w:t>C</w:t>
      </w:r>
      <w:r w:rsidRPr="00A4731C">
        <w:t xml:space="preserve">ough </w:t>
      </w:r>
    </w:p>
    <w:p w14:paraId="4A7AE2A4" w14:textId="7415328C" w:rsidR="00233197" w:rsidRPr="00233197" w:rsidRDefault="00233197" w:rsidP="00233197">
      <w:pPr>
        <w:pStyle w:val="ListParagraph"/>
        <w:numPr>
          <w:ilvl w:val="0"/>
          <w:numId w:val="33"/>
        </w:numPr>
      </w:pPr>
      <w:r>
        <w:t>S</w:t>
      </w:r>
      <w:r w:rsidRPr="00A4731C">
        <w:t>light fever</w:t>
      </w:r>
    </w:p>
    <w:p w14:paraId="22F0792C" w14:textId="17C224CF" w:rsidR="00233197" w:rsidRPr="00233197" w:rsidRDefault="00233197" w:rsidP="00233197">
      <w:pPr>
        <w:pStyle w:val="ListParagraph"/>
        <w:numPr>
          <w:ilvl w:val="0"/>
          <w:numId w:val="33"/>
        </w:numPr>
      </w:pPr>
      <w:r>
        <w:t>M</w:t>
      </w:r>
      <w:r w:rsidRPr="00A4731C">
        <w:t xml:space="preserve">yalgia and headache may be present </w:t>
      </w:r>
    </w:p>
    <w:p w14:paraId="79155EB3" w14:textId="77777777" w:rsidR="00975A60" w:rsidRPr="00DC590C" w:rsidRDefault="00975A60" w:rsidP="00233197">
      <w:pPr>
        <w:pStyle w:val="Heading2"/>
      </w:pPr>
      <w:r w:rsidRPr="00DC590C">
        <w:t>Examination findings</w:t>
      </w:r>
    </w:p>
    <w:p w14:paraId="561792C0" w14:textId="77777777" w:rsidR="00233197" w:rsidRPr="00A4731C" w:rsidRDefault="00233197" w:rsidP="00233197">
      <w:pPr>
        <w:pStyle w:val="Heading2"/>
        <w:numPr>
          <w:ilvl w:val="0"/>
          <w:numId w:val="34"/>
        </w:numPr>
        <w:spacing w:before="0" w:after="0"/>
        <w:jc w:val="both"/>
        <w:rPr>
          <w:rFonts w:cs="Arial"/>
          <w:b w:val="0"/>
          <w:sz w:val="22"/>
          <w:szCs w:val="24"/>
        </w:rPr>
      </w:pPr>
      <w:r w:rsidRPr="00A4731C">
        <w:rPr>
          <w:rFonts w:cs="Arial"/>
          <w:b w:val="0"/>
          <w:sz w:val="22"/>
          <w:szCs w:val="24"/>
        </w:rPr>
        <w:t>Low grade fever</w:t>
      </w:r>
    </w:p>
    <w:p w14:paraId="6165BCFE" w14:textId="77777777" w:rsidR="00233197" w:rsidRPr="00A4731C" w:rsidRDefault="00233197" w:rsidP="00233197">
      <w:pPr>
        <w:pStyle w:val="Heading2"/>
        <w:numPr>
          <w:ilvl w:val="0"/>
          <w:numId w:val="34"/>
        </w:numPr>
        <w:spacing w:before="0" w:after="0"/>
        <w:jc w:val="both"/>
        <w:rPr>
          <w:rFonts w:cs="Arial"/>
          <w:b w:val="0"/>
          <w:sz w:val="22"/>
          <w:szCs w:val="24"/>
        </w:rPr>
      </w:pPr>
      <w:r w:rsidRPr="00A4731C">
        <w:rPr>
          <w:rFonts w:cs="Arial"/>
          <w:b w:val="0"/>
          <w:sz w:val="22"/>
          <w:szCs w:val="24"/>
        </w:rPr>
        <w:t>Runny nose</w:t>
      </w:r>
    </w:p>
    <w:p w14:paraId="17105609" w14:textId="77777777" w:rsidR="00233197" w:rsidRDefault="00233197" w:rsidP="00233197">
      <w:pPr>
        <w:pStyle w:val="Heading2"/>
        <w:numPr>
          <w:ilvl w:val="0"/>
          <w:numId w:val="34"/>
        </w:numPr>
        <w:spacing w:before="0" w:after="0"/>
        <w:jc w:val="both"/>
        <w:rPr>
          <w:rFonts w:cs="Arial"/>
          <w:b w:val="0"/>
          <w:sz w:val="22"/>
          <w:szCs w:val="24"/>
        </w:rPr>
      </w:pPr>
      <w:r w:rsidRPr="00A4731C">
        <w:rPr>
          <w:rFonts w:cs="Arial"/>
          <w:b w:val="0"/>
          <w:sz w:val="22"/>
          <w:szCs w:val="24"/>
        </w:rPr>
        <w:t xml:space="preserve">Cervical lymph nodes may be mildly inflamed </w:t>
      </w:r>
    </w:p>
    <w:p w14:paraId="58CA83AF" w14:textId="77777777" w:rsidR="00F03F25" w:rsidRPr="002A2856" w:rsidRDefault="001203AE" w:rsidP="002A2856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t>Management</w:t>
      </w:r>
      <w:r>
        <w:rPr>
          <w:rFonts w:cs="Arial"/>
          <w:szCs w:val="22"/>
        </w:rPr>
        <w:t xml:space="preserve"> </w:t>
      </w:r>
    </w:p>
    <w:p w14:paraId="7014BA31" w14:textId="77777777" w:rsidR="00233197" w:rsidRDefault="00233197" w:rsidP="00233197">
      <w:pPr>
        <w:pStyle w:val="ListParagraph"/>
        <w:numPr>
          <w:ilvl w:val="0"/>
          <w:numId w:val="35"/>
        </w:numPr>
        <w:jc w:val="both"/>
      </w:pPr>
      <w:r>
        <w:t>Encourage lots of oral fluids and bed rest usually suffice.</w:t>
      </w:r>
    </w:p>
    <w:p w14:paraId="6637D88B" w14:textId="77777777" w:rsidR="00233197" w:rsidRDefault="00233197" w:rsidP="00233197">
      <w:pPr>
        <w:pStyle w:val="ListParagraph"/>
        <w:numPr>
          <w:ilvl w:val="0"/>
          <w:numId w:val="35"/>
        </w:numPr>
        <w:jc w:val="both"/>
      </w:pPr>
      <w:r>
        <w:t xml:space="preserve">Paracetamol oral </w:t>
      </w:r>
    </w:p>
    <w:p w14:paraId="077B3852" w14:textId="00BB1E07" w:rsidR="00233197" w:rsidRDefault="00233197" w:rsidP="00233197">
      <w:pPr>
        <w:pStyle w:val="ListParagraph"/>
        <w:numPr>
          <w:ilvl w:val="1"/>
          <w:numId w:val="35"/>
        </w:numPr>
        <w:jc w:val="both"/>
      </w:pPr>
      <w:r>
        <w:t>Adults: 1 g QDS</w:t>
      </w:r>
    </w:p>
    <w:p w14:paraId="1D2C63E1" w14:textId="77777777" w:rsidR="00233197" w:rsidRDefault="00233197" w:rsidP="00233197">
      <w:pPr>
        <w:pStyle w:val="ListParagraph"/>
        <w:numPr>
          <w:ilvl w:val="1"/>
          <w:numId w:val="35"/>
        </w:numPr>
        <w:jc w:val="both"/>
      </w:pPr>
      <w:r>
        <w:t>Children: 10-15 mg/kg/dose TDS/QDS</w:t>
      </w:r>
    </w:p>
    <w:p w14:paraId="4B006A28" w14:textId="77777777" w:rsidR="00233197" w:rsidRDefault="00233197" w:rsidP="00233197">
      <w:pPr>
        <w:pStyle w:val="ListParagraph"/>
        <w:numPr>
          <w:ilvl w:val="0"/>
          <w:numId w:val="35"/>
        </w:numPr>
        <w:jc w:val="both"/>
      </w:pPr>
      <w:r>
        <w:t>Ibuprofen, oral,</w:t>
      </w:r>
    </w:p>
    <w:p w14:paraId="69F55BF1" w14:textId="77777777" w:rsidR="00233197" w:rsidRDefault="00233197" w:rsidP="00233197">
      <w:pPr>
        <w:pStyle w:val="ListParagraph"/>
        <w:numPr>
          <w:ilvl w:val="1"/>
          <w:numId w:val="35"/>
        </w:numPr>
        <w:jc w:val="both"/>
      </w:pPr>
      <w:r>
        <w:t>Adults: 200-400 mg TDS</w:t>
      </w:r>
    </w:p>
    <w:p w14:paraId="04D51D79" w14:textId="77777777" w:rsidR="00233197" w:rsidRDefault="00233197" w:rsidP="00233197">
      <w:pPr>
        <w:pStyle w:val="ListParagraph"/>
        <w:numPr>
          <w:ilvl w:val="1"/>
          <w:numId w:val="35"/>
        </w:numPr>
        <w:jc w:val="both"/>
      </w:pPr>
      <w:r>
        <w:t>Children: 50-100 mg TDS</w:t>
      </w:r>
    </w:p>
    <w:p w14:paraId="7ED8542A" w14:textId="77777777" w:rsidR="00233197" w:rsidRDefault="00233197" w:rsidP="00233197">
      <w:pPr>
        <w:pStyle w:val="ListParagraph"/>
        <w:numPr>
          <w:ilvl w:val="0"/>
          <w:numId w:val="35"/>
        </w:numPr>
        <w:jc w:val="both"/>
      </w:pPr>
      <w:r>
        <w:t xml:space="preserve">Saline nasal drops: 2 drops into each nostril, to relieve congestion as required </w:t>
      </w:r>
    </w:p>
    <w:p w14:paraId="46D315AE" w14:textId="4C8AD128" w:rsidR="00233197" w:rsidRPr="00A4731C" w:rsidRDefault="00233197" w:rsidP="00233197">
      <w:r>
        <w:t>Note: symptoms resolve without antibiotic treatment within 2 weeks. If the “cold” lasts longer and there is persistent fever and cough associated with offensive nasal discharge, there is a possibility of secondary bacterial infection of the respiratory tract o</w:t>
      </w:r>
      <w:r w:rsidR="00E24DA2">
        <w:t>r</w:t>
      </w:r>
      <w:r>
        <w:t xml:space="preserve"> influenza. In children, the common cold </w:t>
      </w:r>
      <w:r w:rsidR="00E24DA2">
        <w:t xml:space="preserve">may be </w:t>
      </w:r>
      <w:r>
        <w:t xml:space="preserve">complicated by </w:t>
      </w:r>
      <w:r w:rsidR="00E24DA2">
        <w:t xml:space="preserve">suppurative </w:t>
      </w:r>
      <w:r>
        <w:t xml:space="preserve">otitis media </w:t>
      </w:r>
      <w:r w:rsidR="00E24DA2">
        <w:t>or acute bacterial rhinosinusitis</w:t>
      </w:r>
      <w:r>
        <w:t>.</w:t>
      </w:r>
    </w:p>
    <w:p w14:paraId="0648AB1D" w14:textId="77777777" w:rsidR="00F03F25" w:rsidRPr="003C0800" w:rsidRDefault="00F03F25" w:rsidP="00F03F25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t>Key Issues for Nursing care</w:t>
      </w:r>
    </w:p>
    <w:p w14:paraId="3569521F" w14:textId="35CCA9A1" w:rsidR="004F48F7" w:rsidRPr="00755502" w:rsidRDefault="00233197" w:rsidP="00233197">
      <w:r w:rsidRPr="00A4731C">
        <w:t>Restriction of activities to avoid infecting others, along with good hand washing, are the best measures to prevent spread of the disease.</w:t>
      </w:r>
    </w:p>
    <w:p w14:paraId="1CA78E05" w14:textId="248038C5" w:rsidR="004F48F7" w:rsidRDefault="004F48F7" w:rsidP="009E61D6">
      <w:pPr>
        <w:pStyle w:val="Heading3"/>
      </w:pPr>
      <w:r w:rsidRPr="004F48F7">
        <w:t>When to refer to a Doctor</w:t>
      </w:r>
    </w:p>
    <w:p w14:paraId="660E984F" w14:textId="1BE17466" w:rsidR="004F48F7" w:rsidRPr="00755502" w:rsidRDefault="004F48F7" w:rsidP="009E61D6">
      <w:r w:rsidRPr="004F48F7">
        <w:t>Refer patients with:</w:t>
      </w:r>
    </w:p>
    <w:p w14:paraId="435042CE" w14:textId="1296889E" w:rsidR="004F48F7" w:rsidRPr="00755502" w:rsidRDefault="009E61D6" w:rsidP="009E61D6">
      <w:pPr>
        <w:pStyle w:val="ListParagraph"/>
        <w:numPr>
          <w:ilvl w:val="0"/>
          <w:numId w:val="37"/>
        </w:numPr>
      </w:pPr>
      <w:r>
        <w:t>S</w:t>
      </w:r>
      <w:r w:rsidR="004F48F7" w:rsidRPr="00755502">
        <w:t xml:space="preserve">ymptoms persisting beyond </w:t>
      </w:r>
      <w:r w:rsidR="003068C2" w:rsidRPr="00755502">
        <w:t>2 weeks</w:t>
      </w:r>
    </w:p>
    <w:p w14:paraId="054B4C5B" w14:textId="13D021ED" w:rsidR="004F48F7" w:rsidRPr="00755502" w:rsidRDefault="009E61D6" w:rsidP="009E61D6">
      <w:pPr>
        <w:pStyle w:val="ListParagraph"/>
        <w:numPr>
          <w:ilvl w:val="0"/>
          <w:numId w:val="37"/>
        </w:numPr>
      </w:pPr>
      <w:r>
        <w:t>S</w:t>
      </w:r>
      <w:r w:rsidR="004F48F7" w:rsidRPr="00755502">
        <w:t>ymptoms not resolving with treatment</w:t>
      </w:r>
    </w:p>
    <w:p w14:paraId="35F5AC48" w14:textId="2D5C12A0" w:rsidR="003068C2" w:rsidRPr="00755502" w:rsidRDefault="003068C2" w:rsidP="009E61D6">
      <w:pPr>
        <w:pStyle w:val="ListParagraph"/>
        <w:numPr>
          <w:ilvl w:val="0"/>
          <w:numId w:val="37"/>
        </w:numPr>
      </w:pPr>
      <w:r w:rsidRPr="00755502">
        <w:t>Bilateral ear discharge</w:t>
      </w:r>
    </w:p>
    <w:p w14:paraId="40435C3E" w14:textId="333B33F0" w:rsidR="003068C2" w:rsidRPr="00755502" w:rsidRDefault="003068C2" w:rsidP="009E61D6">
      <w:pPr>
        <w:pStyle w:val="ListParagraph"/>
        <w:numPr>
          <w:ilvl w:val="0"/>
          <w:numId w:val="37"/>
        </w:numPr>
      </w:pPr>
      <w:r w:rsidRPr="00755502">
        <w:t>Drooling of saliva and unable to swallow food or drinks</w:t>
      </w:r>
    </w:p>
    <w:p w14:paraId="06937CB1" w14:textId="789AC874" w:rsidR="00755502" w:rsidRPr="00755502" w:rsidRDefault="009E61D6" w:rsidP="009E61D6">
      <w:pPr>
        <w:pStyle w:val="ListParagraph"/>
        <w:numPr>
          <w:ilvl w:val="0"/>
          <w:numId w:val="37"/>
        </w:numPr>
      </w:pPr>
      <w:r>
        <w:t>F</w:t>
      </w:r>
      <w:r w:rsidR="00755502" w:rsidRPr="00755502">
        <w:t>ast breathing</w:t>
      </w:r>
    </w:p>
    <w:p w14:paraId="632355E2" w14:textId="23A888B4" w:rsidR="00755502" w:rsidRPr="00755502" w:rsidRDefault="009E61D6" w:rsidP="009E61D6">
      <w:pPr>
        <w:pStyle w:val="ListParagraph"/>
        <w:numPr>
          <w:ilvl w:val="0"/>
          <w:numId w:val="37"/>
        </w:numPr>
      </w:pPr>
      <w:r>
        <w:t>C</w:t>
      </w:r>
      <w:r w:rsidR="00755502" w:rsidRPr="00755502">
        <w:t>hest indrawing</w:t>
      </w:r>
    </w:p>
    <w:p w14:paraId="5DA2B929" w14:textId="44FBFF38" w:rsidR="00755502" w:rsidRPr="00755502" w:rsidRDefault="009E61D6" w:rsidP="009E61D6">
      <w:pPr>
        <w:pStyle w:val="ListParagraph"/>
        <w:numPr>
          <w:ilvl w:val="0"/>
          <w:numId w:val="37"/>
        </w:numPr>
      </w:pPr>
      <w:r>
        <w:t>P</w:t>
      </w:r>
      <w:r w:rsidR="00755502" w:rsidRPr="00755502">
        <w:t>ersistent cough beyond 2 weeks</w:t>
      </w:r>
    </w:p>
    <w:p w14:paraId="46A62F9D" w14:textId="0E85409B" w:rsidR="00755502" w:rsidRPr="00755502" w:rsidRDefault="009E61D6" w:rsidP="009E61D6">
      <w:pPr>
        <w:pStyle w:val="ListParagraph"/>
        <w:numPr>
          <w:ilvl w:val="0"/>
          <w:numId w:val="37"/>
        </w:numPr>
      </w:pPr>
      <w:r>
        <w:t>C</w:t>
      </w:r>
      <w:r w:rsidR="00755502" w:rsidRPr="00755502">
        <w:t>oughing up blood (hemoptysis)</w:t>
      </w:r>
    </w:p>
    <w:p w14:paraId="01445196" w14:textId="5170BEC5" w:rsidR="00755502" w:rsidRPr="00755502" w:rsidRDefault="009E61D6" w:rsidP="009E61D6">
      <w:pPr>
        <w:pStyle w:val="ListParagraph"/>
        <w:numPr>
          <w:ilvl w:val="0"/>
          <w:numId w:val="37"/>
        </w:numPr>
      </w:pPr>
      <w:r>
        <w:t>S</w:t>
      </w:r>
      <w:r w:rsidR="00755502" w:rsidRPr="00755502">
        <w:t>tridor at rest</w:t>
      </w:r>
    </w:p>
    <w:p w14:paraId="7E2AC90B" w14:textId="06279B61" w:rsidR="003068C2" w:rsidRPr="00755502" w:rsidRDefault="003068C2" w:rsidP="009E61D6">
      <w:pPr>
        <w:pStyle w:val="ListParagraph"/>
        <w:numPr>
          <w:ilvl w:val="0"/>
          <w:numId w:val="37"/>
        </w:numPr>
      </w:pPr>
      <w:r w:rsidRPr="00755502">
        <w:t>Immunocompromised state</w:t>
      </w:r>
    </w:p>
    <w:p w14:paraId="661874D6" w14:textId="71A3462B" w:rsidR="003068C2" w:rsidRPr="00755502" w:rsidRDefault="00755502" w:rsidP="009E61D6">
      <w:pPr>
        <w:pStyle w:val="ListParagraph"/>
        <w:numPr>
          <w:ilvl w:val="0"/>
          <w:numId w:val="37"/>
        </w:numPr>
      </w:pPr>
      <w:r w:rsidRPr="00755502">
        <w:t xml:space="preserve">Neonates </w:t>
      </w:r>
    </w:p>
    <w:p w14:paraId="251FA390" w14:textId="22E7F4D4" w:rsidR="00F03F25" w:rsidRPr="003C0800" w:rsidRDefault="00F03F25" w:rsidP="00F03F25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lastRenderedPageBreak/>
        <w:t>References</w:t>
      </w:r>
    </w:p>
    <w:p w14:paraId="2C6BD06D" w14:textId="77777777" w:rsidR="009D175D" w:rsidRPr="002D3139" w:rsidRDefault="009D175D" w:rsidP="009D175D">
      <w:pPr>
        <w:spacing w:before="240"/>
        <w:rPr>
          <w:sz w:val="20"/>
          <w:szCs w:val="20"/>
        </w:rPr>
      </w:pPr>
      <w:proofErr w:type="spellStart"/>
      <w:r w:rsidRPr="002D3139">
        <w:rPr>
          <w:sz w:val="20"/>
          <w:szCs w:val="20"/>
        </w:rPr>
        <w:t>Colledge</w:t>
      </w:r>
      <w:proofErr w:type="spellEnd"/>
      <w:r w:rsidRPr="002D3139">
        <w:rPr>
          <w:sz w:val="20"/>
          <w:szCs w:val="20"/>
        </w:rPr>
        <w:t>, Nicki R., Brian R. Walker, Stuart Ralston, and Stanley Davidson. 2010. Davidson's principles and practice of medicine. Edinburgh: Churchill Livingstone/Elsevier.</w:t>
      </w:r>
    </w:p>
    <w:p w14:paraId="30D7C1C0" w14:textId="6E7C05C9" w:rsidR="009D175D" w:rsidRPr="002D3139" w:rsidRDefault="009D175D" w:rsidP="009D175D">
      <w:pPr>
        <w:spacing w:before="240"/>
        <w:rPr>
          <w:sz w:val="20"/>
          <w:szCs w:val="20"/>
        </w:rPr>
      </w:pPr>
      <w:proofErr w:type="spellStart"/>
      <w:r w:rsidRPr="002D3139">
        <w:rPr>
          <w:sz w:val="20"/>
          <w:szCs w:val="20"/>
        </w:rPr>
        <w:t>Kliegman</w:t>
      </w:r>
      <w:proofErr w:type="spellEnd"/>
      <w:r w:rsidRPr="002D3139">
        <w:rPr>
          <w:sz w:val="20"/>
          <w:szCs w:val="20"/>
        </w:rPr>
        <w:t>, Robert., et al. Nelson Textbook of Pediatrics. Edition 20. Phi</w:t>
      </w:r>
      <w:r w:rsidR="003F2305">
        <w:rPr>
          <w:sz w:val="20"/>
          <w:szCs w:val="20"/>
        </w:rPr>
        <w:t>la</w:t>
      </w:r>
      <w:r w:rsidRPr="002D3139">
        <w:rPr>
          <w:sz w:val="20"/>
          <w:szCs w:val="20"/>
        </w:rPr>
        <w:t>delphia, PA: Elsevier, 2016.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4C4442" w:rsidRPr="00515546" w14:paraId="0AC5D382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3A401C07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48800E7C" w14:textId="1FBE8D69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Name</w:t>
            </w:r>
            <w:r w:rsidR="005638D0">
              <w:rPr>
                <w:szCs w:val="22"/>
              </w:rPr>
              <w:t xml:space="preserve">: </w:t>
            </w:r>
            <w:r w:rsidR="009D175D">
              <w:rPr>
                <w:szCs w:val="22"/>
              </w:rPr>
              <w:t>Fatoumata Sawaneh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73B891FF" w14:textId="65093413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9D175D">
              <w:rPr>
                <w:szCs w:val="22"/>
              </w:rPr>
              <w:t>27 February 2019</w:t>
            </w:r>
          </w:p>
        </w:tc>
      </w:tr>
      <w:tr w:rsidR="004C4442" w:rsidRPr="00515546" w14:paraId="7743BBFC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624FDD0B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2CDFDF64" w14:textId="174B3CA5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 w:rsidR="00803FC2">
              <w:rPr>
                <w:szCs w:val="22"/>
              </w:rPr>
              <w:t>Baderinwa Abatan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389C47D" w14:textId="69597199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9D175D">
              <w:rPr>
                <w:szCs w:val="22"/>
              </w:rPr>
              <w:t>29 April 2019</w:t>
            </w:r>
          </w:p>
        </w:tc>
      </w:tr>
      <w:tr w:rsidR="004C4442" w:rsidRPr="00515546" w14:paraId="65B8BD65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7C8FA4CF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2DB2998E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7B995E8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 due date:</w:t>
            </w:r>
          </w:p>
        </w:tc>
      </w:tr>
      <w:tr w:rsidR="004C4442" w:rsidRPr="00515546" w14:paraId="44003643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7B46BCE8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63C9FBBA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56CAFAB1" w14:textId="34B59124" w:rsidR="004C4442" w:rsidRPr="00515546" w:rsidRDefault="004C4442" w:rsidP="00522C6C">
            <w:pPr>
              <w:spacing w:after="0"/>
              <w:rPr>
                <w:szCs w:val="22"/>
              </w:rPr>
            </w:pPr>
          </w:p>
        </w:tc>
      </w:tr>
      <w:tr w:rsidR="009E61D6" w:rsidRPr="00515546" w14:paraId="1FF5E0F5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4BDEA9A7" w14:textId="3570829D" w:rsidR="009E61D6" w:rsidRPr="00515546" w:rsidRDefault="009E61D6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2.0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381F3C97" w14:textId="089C1EF0" w:rsidR="009E61D6" w:rsidRPr="00515546" w:rsidRDefault="009E61D6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Updated and transferred to new template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1644D4A" w14:textId="54935F22" w:rsidR="009E61D6" w:rsidRPr="00515546" w:rsidRDefault="00FB5BA6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May 2021</w:t>
            </w:r>
          </w:p>
        </w:tc>
      </w:tr>
      <w:tr w:rsidR="005638D0" w:rsidRPr="00515546" w14:paraId="5BB7FF62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72E79A3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Review Comments (</w:t>
            </w:r>
            <w:r w:rsidRPr="00515546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2CFD3F21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14:paraId="0A6B9176" w14:textId="77777777" w:rsidR="005638D0" w:rsidRPr="00515546" w:rsidRDefault="005638D0" w:rsidP="005638D0">
            <w:pPr>
              <w:spacing w:after="0"/>
              <w:rPr>
                <w:b/>
                <w:szCs w:val="22"/>
              </w:rPr>
            </w:pPr>
          </w:p>
        </w:tc>
      </w:tr>
    </w:tbl>
    <w:p w14:paraId="3CCD3030" w14:textId="77777777" w:rsidR="00975A60" w:rsidRPr="00CC3CF5" w:rsidRDefault="00975A60" w:rsidP="00975A60">
      <w:pPr>
        <w:rPr>
          <w:szCs w:val="22"/>
        </w:rPr>
      </w:pPr>
    </w:p>
    <w:sectPr w:rsidR="00975A60" w:rsidRPr="00CC3CF5" w:rsidSect="00D1382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4EFF9" w14:textId="77777777" w:rsidR="00430A9B" w:rsidRDefault="00430A9B" w:rsidP="00975A60">
      <w:pPr>
        <w:spacing w:after="0"/>
      </w:pPr>
      <w:r>
        <w:separator/>
      </w:r>
    </w:p>
  </w:endnote>
  <w:endnote w:type="continuationSeparator" w:id="0">
    <w:p w14:paraId="6599DD12" w14:textId="77777777" w:rsidR="00430A9B" w:rsidRDefault="00430A9B" w:rsidP="00975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56CBD" w14:textId="77777777" w:rsidR="005D1877" w:rsidRDefault="005D1877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6976CF" w14:textId="77777777" w:rsidR="005D1877" w:rsidRDefault="005D1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F01A8" w14:textId="77777777" w:rsidR="005D1877" w:rsidRPr="003A02A5" w:rsidRDefault="005D1877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E24DA2">
      <w:rPr>
        <w:rStyle w:val="PageNumber"/>
        <w:noProof/>
      </w:rPr>
      <w:t>2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E24DA2">
      <w:rPr>
        <w:rStyle w:val="PageNumber"/>
        <w:noProof/>
      </w:rPr>
      <w:t>3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24E49" w14:textId="77777777" w:rsidR="00D13825" w:rsidRDefault="00D13825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E24DA2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E24DA2">
      <w:rPr>
        <w:rStyle w:val="PageNumber"/>
        <w:noProof/>
      </w:rPr>
      <w:t>3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0B331" w14:textId="77777777" w:rsidR="00430A9B" w:rsidRDefault="00430A9B" w:rsidP="00975A60">
      <w:pPr>
        <w:spacing w:after="0"/>
      </w:pPr>
      <w:r>
        <w:separator/>
      </w:r>
    </w:p>
  </w:footnote>
  <w:footnote w:type="continuationSeparator" w:id="0">
    <w:p w14:paraId="20C6B0AB" w14:textId="77777777" w:rsidR="00430A9B" w:rsidRDefault="00430A9B" w:rsidP="00975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BD434" w14:textId="7716193B" w:rsidR="00D13825" w:rsidRPr="00F87812" w:rsidRDefault="00D13825" w:rsidP="00D13825">
    <w:pPr>
      <w:pStyle w:val="Header"/>
    </w:pPr>
    <w:r w:rsidRPr="00F87812">
      <w:t>Identification code: MeG-CLS-</w:t>
    </w:r>
    <w:r w:rsidR="009E61D6">
      <w:t>018</w:t>
    </w:r>
    <w:r w:rsidRPr="00F87812">
      <w:tab/>
    </w:r>
  </w:p>
  <w:p w14:paraId="2EB8BD43" w14:textId="5A2F5070" w:rsidR="005D1877" w:rsidRPr="0095050B" w:rsidRDefault="00D13825" w:rsidP="00D13825">
    <w:pPr>
      <w:pStyle w:val="Header"/>
    </w:pPr>
    <w:r w:rsidRPr="0095050B">
      <w:t xml:space="preserve">Version: </w:t>
    </w:r>
    <w:r w:rsidR="008020BC">
      <w:t>2</w:t>
    </w:r>
    <w:r w:rsidRPr="0095050B">
      <w:t xml:space="preserve">.0 – </w:t>
    </w:r>
    <w:r w:rsidR="00FB5BA6">
      <w:t>31 May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AF59B" w14:textId="77777777" w:rsidR="00D13825" w:rsidRDefault="00D13825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331BB50E" wp14:editId="48FD97FA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9D257B" w14:textId="77777777" w:rsidR="00D13825" w:rsidRDefault="00D13825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3FB3C849" w14:textId="77777777" w:rsidR="00D13825" w:rsidRPr="003C0800" w:rsidRDefault="00D13825" w:rsidP="00D13825">
    <w:pPr>
      <w:pStyle w:val="Header"/>
      <w:ind w:firstLine="2880"/>
      <w:rPr>
        <w:rFonts w:cs="Arial"/>
        <w:b/>
      </w:rPr>
    </w:pPr>
  </w:p>
  <w:p w14:paraId="6F1761DF" w14:textId="5DC63A35" w:rsidR="00D13825" w:rsidRPr="00F87812" w:rsidRDefault="00D13825" w:rsidP="00D13825">
    <w:pPr>
      <w:pStyle w:val="Header"/>
    </w:pPr>
    <w:r w:rsidRPr="00F87812">
      <w:t>Identification code: MeG-CLS-</w:t>
    </w:r>
    <w:r w:rsidR="009E61D6">
      <w:t>018</w:t>
    </w:r>
    <w:r w:rsidRPr="00F87812">
      <w:tab/>
    </w:r>
  </w:p>
  <w:p w14:paraId="6F12A18B" w14:textId="75A9E854" w:rsidR="00D13825" w:rsidRPr="00F87812" w:rsidRDefault="00D13825" w:rsidP="00D13825">
    <w:pPr>
      <w:pStyle w:val="Header"/>
    </w:pPr>
    <w:r w:rsidRPr="00F87812">
      <w:t xml:space="preserve">Version: </w:t>
    </w:r>
    <w:r w:rsidR="008020BC">
      <w:t>2</w:t>
    </w:r>
    <w:r w:rsidRPr="0095050B">
      <w:t xml:space="preserve">.0 – </w:t>
    </w:r>
    <w:r w:rsidR="00FB5BA6">
      <w:t>31 May 2019</w:t>
    </w:r>
  </w:p>
  <w:p w14:paraId="38CC4350" w14:textId="77777777" w:rsidR="00D13825" w:rsidRDefault="00D13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702F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922C36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B6C43"/>
    <w:multiLevelType w:val="hybridMultilevel"/>
    <w:tmpl w:val="0F5E0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094BB0"/>
    <w:multiLevelType w:val="hybridMultilevel"/>
    <w:tmpl w:val="D99A7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B7867"/>
    <w:multiLevelType w:val="hybridMultilevel"/>
    <w:tmpl w:val="A4FCD63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17699"/>
    <w:multiLevelType w:val="hybridMultilevel"/>
    <w:tmpl w:val="2AA8B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04BD4"/>
    <w:multiLevelType w:val="hybridMultilevel"/>
    <w:tmpl w:val="AE72C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B7DEA"/>
    <w:multiLevelType w:val="hybridMultilevel"/>
    <w:tmpl w:val="BE205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C36B6"/>
    <w:multiLevelType w:val="hybridMultilevel"/>
    <w:tmpl w:val="1F3EF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F61B9"/>
    <w:multiLevelType w:val="hybridMultilevel"/>
    <w:tmpl w:val="92F6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3D4E37"/>
    <w:multiLevelType w:val="hybridMultilevel"/>
    <w:tmpl w:val="66D0AC3A"/>
    <w:lvl w:ilvl="0" w:tplc="A0FEB37C">
      <w:numFmt w:val="bullet"/>
      <w:lvlText w:val="•"/>
      <w:lvlJc w:val="left"/>
      <w:pPr>
        <w:ind w:left="1080" w:hanging="72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F6128"/>
    <w:multiLevelType w:val="hybridMultilevel"/>
    <w:tmpl w:val="EF1CC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F6AE6"/>
    <w:multiLevelType w:val="hybridMultilevel"/>
    <w:tmpl w:val="72AA595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29957AE"/>
    <w:multiLevelType w:val="hybridMultilevel"/>
    <w:tmpl w:val="8EFE3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7E42C5"/>
    <w:multiLevelType w:val="hybridMultilevel"/>
    <w:tmpl w:val="832CA27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08399A"/>
    <w:multiLevelType w:val="hybridMultilevel"/>
    <w:tmpl w:val="2F761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11"/>
  </w:num>
  <w:num w:numId="4">
    <w:abstractNumId w:val="1"/>
  </w:num>
  <w:num w:numId="5">
    <w:abstractNumId w:val="0"/>
  </w:num>
  <w:num w:numId="6">
    <w:abstractNumId w:val="5"/>
  </w:num>
  <w:num w:numId="7">
    <w:abstractNumId w:val="20"/>
  </w:num>
  <w:num w:numId="8">
    <w:abstractNumId w:val="2"/>
  </w:num>
  <w:num w:numId="9">
    <w:abstractNumId w:val="37"/>
  </w:num>
  <w:num w:numId="10">
    <w:abstractNumId w:val="3"/>
  </w:num>
  <w:num w:numId="11">
    <w:abstractNumId w:val="12"/>
  </w:num>
  <w:num w:numId="12">
    <w:abstractNumId w:val="27"/>
  </w:num>
  <w:num w:numId="13">
    <w:abstractNumId w:val="32"/>
  </w:num>
  <w:num w:numId="14">
    <w:abstractNumId w:val="30"/>
  </w:num>
  <w:num w:numId="15">
    <w:abstractNumId w:val="36"/>
  </w:num>
  <w:num w:numId="16">
    <w:abstractNumId w:val="14"/>
  </w:num>
  <w:num w:numId="17">
    <w:abstractNumId w:val="8"/>
  </w:num>
  <w:num w:numId="18">
    <w:abstractNumId w:val="31"/>
  </w:num>
  <w:num w:numId="19">
    <w:abstractNumId w:val="17"/>
  </w:num>
  <w:num w:numId="20">
    <w:abstractNumId w:val="34"/>
  </w:num>
  <w:num w:numId="21">
    <w:abstractNumId w:val="19"/>
  </w:num>
  <w:num w:numId="22">
    <w:abstractNumId w:val="10"/>
  </w:num>
  <w:num w:numId="23">
    <w:abstractNumId w:val="26"/>
  </w:num>
  <w:num w:numId="24">
    <w:abstractNumId w:val="29"/>
  </w:num>
  <w:num w:numId="25">
    <w:abstractNumId w:val="22"/>
  </w:num>
  <w:num w:numId="26">
    <w:abstractNumId w:val="13"/>
  </w:num>
  <w:num w:numId="27">
    <w:abstractNumId w:val="7"/>
  </w:num>
  <w:num w:numId="28">
    <w:abstractNumId w:val="33"/>
  </w:num>
  <w:num w:numId="29">
    <w:abstractNumId w:val="24"/>
  </w:num>
  <w:num w:numId="30">
    <w:abstractNumId w:val="16"/>
  </w:num>
  <w:num w:numId="31">
    <w:abstractNumId w:val="9"/>
  </w:num>
  <w:num w:numId="32">
    <w:abstractNumId w:val="4"/>
  </w:num>
  <w:num w:numId="33">
    <w:abstractNumId w:val="6"/>
  </w:num>
  <w:num w:numId="34">
    <w:abstractNumId w:val="23"/>
  </w:num>
  <w:num w:numId="35">
    <w:abstractNumId w:val="35"/>
  </w:num>
  <w:num w:numId="36">
    <w:abstractNumId w:val="21"/>
  </w:num>
  <w:num w:numId="37">
    <w:abstractNumId w:val="25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wMrcwN7UwMjIyMzJQ0lEKTi0uzszPAykwqwUApkdtgiwAAAA="/>
  </w:docVars>
  <w:rsids>
    <w:rsidRoot w:val="00233197"/>
    <w:rsid w:val="000039D9"/>
    <w:rsid w:val="00015FA0"/>
    <w:rsid w:val="0007147C"/>
    <w:rsid w:val="00081642"/>
    <w:rsid w:val="00114AAF"/>
    <w:rsid w:val="00116B40"/>
    <w:rsid w:val="001203AE"/>
    <w:rsid w:val="00175153"/>
    <w:rsid w:val="001C1450"/>
    <w:rsid w:val="00223920"/>
    <w:rsid w:val="00233197"/>
    <w:rsid w:val="00252A11"/>
    <w:rsid w:val="0029357D"/>
    <w:rsid w:val="002A2856"/>
    <w:rsid w:val="002D3139"/>
    <w:rsid w:val="003020A2"/>
    <w:rsid w:val="003038D3"/>
    <w:rsid w:val="003068C2"/>
    <w:rsid w:val="003225CD"/>
    <w:rsid w:val="003C0800"/>
    <w:rsid w:val="003F2305"/>
    <w:rsid w:val="003F70CA"/>
    <w:rsid w:val="00430A9B"/>
    <w:rsid w:val="00462C48"/>
    <w:rsid w:val="004A25F0"/>
    <w:rsid w:val="004A4C93"/>
    <w:rsid w:val="004C4442"/>
    <w:rsid w:val="004F48F7"/>
    <w:rsid w:val="00504405"/>
    <w:rsid w:val="005151D8"/>
    <w:rsid w:val="00515546"/>
    <w:rsid w:val="005638D0"/>
    <w:rsid w:val="00584E1E"/>
    <w:rsid w:val="005D1877"/>
    <w:rsid w:val="00633320"/>
    <w:rsid w:val="006E15F5"/>
    <w:rsid w:val="007067BE"/>
    <w:rsid w:val="00755502"/>
    <w:rsid w:val="007B26B1"/>
    <w:rsid w:val="008020BC"/>
    <w:rsid w:val="00803FC2"/>
    <w:rsid w:val="00811604"/>
    <w:rsid w:val="00857027"/>
    <w:rsid w:val="009165E9"/>
    <w:rsid w:val="009325A7"/>
    <w:rsid w:val="0095050B"/>
    <w:rsid w:val="009747D5"/>
    <w:rsid w:val="00975A60"/>
    <w:rsid w:val="009956F9"/>
    <w:rsid w:val="009B44BE"/>
    <w:rsid w:val="009D175D"/>
    <w:rsid w:val="009E61D6"/>
    <w:rsid w:val="009F5B1B"/>
    <w:rsid w:val="00A078BC"/>
    <w:rsid w:val="00A312D8"/>
    <w:rsid w:val="00A41080"/>
    <w:rsid w:val="00A57064"/>
    <w:rsid w:val="00B31AC4"/>
    <w:rsid w:val="00B83705"/>
    <w:rsid w:val="00B844E8"/>
    <w:rsid w:val="00BD08AB"/>
    <w:rsid w:val="00C67021"/>
    <w:rsid w:val="00CC3CF5"/>
    <w:rsid w:val="00CD4A1D"/>
    <w:rsid w:val="00D03AB2"/>
    <w:rsid w:val="00D13825"/>
    <w:rsid w:val="00DA20ED"/>
    <w:rsid w:val="00DC1CC5"/>
    <w:rsid w:val="00DC590C"/>
    <w:rsid w:val="00DE3D6D"/>
    <w:rsid w:val="00DF345F"/>
    <w:rsid w:val="00E162DA"/>
    <w:rsid w:val="00E24DA2"/>
    <w:rsid w:val="00EC17A5"/>
    <w:rsid w:val="00F03F25"/>
    <w:rsid w:val="00F53968"/>
    <w:rsid w:val="00F71F11"/>
    <w:rsid w:val="00FB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781BE"/>
  <w15:docId w15:val="{8924253F-D866-4AED-9618-FA2D7C78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 w:unhideWhenUsed="1" w:qFormat="1"/>
    <w:lsdException w:name="heading 3" w:unhideWhenUsed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uiPriority w:val="34"/>
    <w:qFormat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rsid w:val="001203AE"/>
    <w:rPr>
      <w:color w:val="605E5C"/>
      <w:shd w:val="clear" w:color="auto" w:fill="E1DFDD"/>
    </w:rPr>
  </w:style>
  <w:style w:type="paragraph" w:styleId="Revision">
    <w:name w:val="Revision"/>
    <w:hidden/>
    <w:semiHidden/>
    <w:rsid w:val="00A078BC"/>
    <w:rPr>
      <w:rFonts w:ascii="Arial" w:hAnsi="Arial"/>
      <w:sz w:val="2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orrest\Documents\Custom%20Office%20Templates\Clinical%20guideline%20template%202019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Clinical guideline template 2019a</Template>
  <TotalTime>0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Forrest Karen</dc:creator>
  <cp:lastModifiedBy>Karen Forrest</cp:lastModifiedBy>
  <cp:revision>3</cp:revision>
  <cp:lastPrinted>2019-05-31T09:58:00Z</cp:lastPrinted>
  <dcterms:created xsi:type="dcterms:W3CDTF">2019-05-27T15:03:00Z</dcterms:created>
  <dcterms:modified xsi:type="dcterms:W3CDTF">2019-05-31T09:58:00Z</dcterms:modified>
</cp:coreProperties>
</file>