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ABDD8" w14:textId="77777777" w:rsidR="00977BA0" w:rsidRPr="00977BA0" w:rsidRDefault="00977BA0" w:rsidP="00977BA0">
      <w:pPr>
        <w:pStyle w:val="Heading1"/>
        <w:rPr>
          <w:rFonts w:ascii="Times New Roman" w:hAnsi="Times New Roman" w:cs="Times New Roman"/>
          <w:sz w:val="24"/>
          <w:szCs w:val="24"/>
        </w:rPr>
      </w:pPr>
      <w:r w:rsidRPr="00977BA0">
        <w:rPr>
          <w:rFonts w:ascii="Times New Roman" w:eastAsia="Arial" w:hAnsi="Times New Roman" w:cs="Times New Roman"/>
          <w:b/>
          <w:bCs/>
          <w:color w:val="1B3A6B"/>
          <w:sz w:val="24"/>
          <w:szCs w:val="24"/>
        </w:rPr>
        <w:t>1. Introduction</w:t>
      </w:r>
    </w:p>
    <w:p w14:paraId="3E1F106C" w14:textId="7D2365FA" w:rsidR="00977BA0" w:rsidRPr="00977BA0" w:rsidRDefault="001C3635" w:rsidP="00977BA0">
      <w:pPr>
        <w:spacing w:before="60" w:after="60"/>
        <w:rPr>
          <w:rFonts w:ascii="Times New Roman" w:hAnsi="Times New Roman" w:cs="Times New Roman"/>
          <w:sz w:val="24"/>
          <w:szCs w:val="24"/>
        </w:rPr>
      </w:pPr>
      <w:r w:rsidRPr="001C3635">
        <w:rPr>
          <w:rFonts w:ascii="Times New Roman" w:hAnsi="Times New Roman" w:cs="Times New Roman"/>
          <w:sz w:val="24"/>
          <w:szCs w:val="24"/>
        </w:rPr>
        <w:t>The effective DR plan is an essential element of business continuity management, especially in the field of banking where failure of the system – even momentarily – can lead to losses that can be financially and legally costly and may cause permanent damage to reputation. This part of the project highlights a work breakdown structure and the related Gantt chart for implementing the IT Disaster Recovery Plan for the banking system. The project involves five stages: Assessment, Planning, Implementation, Testing, and Maintenance. Each stage entails several activities that have identified responsible parties, estimated duration, and dependency among themselves.</w:t>
      </w:r>
    </w:p>
    <w:p w14:paraId="48C5C930" w14:textId="77777777" w:rsidR="00977BA0" w:rsidRPr="00977BA0" w:rsidRDefault="00977BA0" w:rsidP="00977BA0">
      <w:pPr>
        <w:pStyle w:val="Heading1"/>
        <w:rPr>
          <w:rFonts w:ascii="Times New Roman" w:hAnsi="Times New Roman" w:cs="Times New Roman"/>
          <w:sz w:val="24"/>
          <w:szCs w:val="24"/>
        </w:rPr>
      </w:pPr>
      <w:r w:rsidRPr="00977BA0">
        <w:rPr>
          <w:rFonts w:ascii="Times New Roman" w:eastAsia="Arial" w:hAnsi="Times New Roman" w:cs="Times New Roman"/>
          <w:b/>
          <w:bCs/>
          <w:color w:val="1B3A6B"/>
          <w:sz w:val="24"/>
          <w:szCs w:val="24"/>
        </w:rPr>
        <w:t>2. Work Breakdown Structure (WBS)</w:t>
      </w:r>
    </w:p>
    <w:p w14:paraId="0C4C52FA" w14:textId="32D07AC4" w:rsidR="00977BA0" w:rsidRPr="00977BA0" w:rsidRDefault="007A378E" w:rsidP="00977BA0">
      <w:pPr>
        <w:spacing w:before="60" w:after="60"/>
        <w:rPr>
          <w:rFonts w:ascii="Times New Roman" w:hAnsi="Times New Roman" w:cs="Times New Roman"/>
          <w:sz w:val="24"/>
          <w:szCs w:val="24"/>
        </w:rPr>
      </w:pPr>
      <w:r w:rsidRPr="007A378E">
        <w:rPr>
          <w:rFonts w:ascii="Times New Roman" w:hAnsi="Times New Roman" w:cs="Times New Roman"/>
          <w:sz w:val="24"/>
          <w:szCs w:val="24"/>
        </w:rPr>
        <w:t xml:space="preserve">In this regard, the WBS breaks down the IT Disaster Recovery Project into </w:t>
      </w:r>
      <w:r w:rsidRPr="007A378E">
        <w:rPr>
          <w:rFonts w:ascii="Times New Roman" w:hAnsi="Times New Roman" w:cs="Times New Roman"/>
          <w:sz w:val="24"/>
          <w:szCs w:val="24"/>
        </w:rPr>
        <w:t>a</w:t>
      </w:r>
      <w:r w:rsidRPr="007A378E">
        <w:rPr>
          <w:rFonts w:ascii="Times New Roman" w:hAnsi="Times New Roman" w:cs="Times New Roman"/>
          <w:sz w:val="24"/>
          <w:szCs w:val="24"/>
        </w:rPr>
        <w:t xml:space="preserve"> hierarchical breakdown of manageable work packages. Every one of the five phases stands out as one distinct phase of the DR process cycle; these phases are further divided into individual, actionable items within that particular phase.</w:t>
      </w:r>
    </w:p>
    <w:tbl>
      <w:tblPr>
        <w:tblStyle w:val="TableGrid"/>
        <w:tblW w:w="9360" w:type="dxa"/>
        <w:tblLook w:val="0000" w:firstRow="0" w:lastRow="0" w:firstColumn="0" w:lastColumn="0" w:noHBand="0" w:noVBand="0"/>
      </w:tblPr>
      <w:tblGrid>
        <w:gridCol w:w="2000"/>
        <w:gridCol w:w="1000"/>
        <w:gridCol w:w="2760"/>
        <w:gridCol w:w="2000"/>
        <w:gridCol w:w="1600"/>
      </w:tblGrid>
      <w:tr w:rsidR="00977BA0" w:rsidRPr="00977BA0" w14:paraId="394FE41B" w14:textId="77777777" w:rsidTr="00977BA0">
        <w:tc>
          <w:tcPr>
            <w:tcW w:w="2000" w:type="dxa"/>
          </w:tcPr>
          <w:p w14:paraId="6717E5FC" w14:textId="77777777" w:rsidR="00977BA0" w:rsidRPr="00977BA0" w:rsidRDefault="00977BA0" w:rsidP="00340763">
            <w:pPr>
              <w:rPr>
                <w:rFonts w:ascii="Times New Roman" w:hAnsi="Times New Roman" w:cs="Times New Roman"/>
                <w:color w:val="000000" w:themeColor="text1"/>
                <w:sz w:val="24"/>
                <w:szCs w:val="24"/>
              </w:rPr>
            </w:pPr>
            <w:r w:rsidRPr="00977BA0">
              <w:rPr>
                <w:rFonts w:ascii="Times New Roman" w:hAnsi="Times New Roman" w:cs="Times New Roman"/>
                <w:b/>
                <w:bCs/>
                <w:color w:val="000000" w:themeColor="text1"/>
                <w:sz w:val="24"/>
                <w:szCs w:val="24"/>
              </w:rPr>
              <w:t>Phase</w:t>
            </w:r>
          </w:p>
        </w:tc>
        <w:tc>
          <w:tcPr>
            <w:tcW w:w="1000" w:type="dxa"/>
          </w:tcPr>
          <w:p w14:paraId="1ADED1FC" w14:textId="77777777" w:rsidR="00977BA0" w:rsidRPr="00977BA0" w:rsidRDefault="00977BA0" w:rsidP="00340763">
            <w:pPr>
              <w:rPr>
                <w:rFonts w:ascii="Times New Roman" w:hAnsi="Times New Roman" w:cs="Times New Roman"/>
                <w:color w:val="000000" w:themeColor="text1"/>
                <w:sz w:val="24"/>
                <w:szCs w:val="24"/>
              </w:rPr>
            </w:pPr>
            <w:r w:rsidRPr="00977BA0">
              <w:rPr>
                <w:rFonts w:ascii="Times New Roman" w:hAnsi="Times New Roman" w:cs="Times New Roman"/>
                <w:b/>
                <w:bCs/>
                <w:color w:val="000000" w:themeColor="text1"/>
                <w:sz w:val="24"/>
                <w:szCs w:val="24"/>
              </w:rPr>
              <w:t>Task ID</w:t>
            </w:r>
          </w:p>
        </w:tc>
        <w:tc>
          <w:tcPr>
            <w:tcW w:w="2760" w:type="dxa"/>
          </w:tcPr>
          <w:p w14:paraId="712A776D" w14:textId="77777777" w:rsidR="00977BA0" w:rsidRPr="00977BA0" w:rsidRDefault="00977BA0" w:rsidP="00340763">
            <w:pPr>
              <w:rPr>
                <w:rFonts w:ascii="Times New Roman" w:hAnsi="Times New Roman" w:cs="Times New Roman"/>
                <w:color w:val="000000" w:themeColor="text1"/>
                <w:sz w:val="24"/>
                <w:szCs w:val="24"/>
              </w:rPr>
            </w:pPr>
            <w:r w:rsidRPr="00977BA0">
              <w:rPr>
                <w:rFonts w:ascii="Times New Roman" w:hAnsi="Times New Roman" w:cs="Times New Roman"/>
                <w:b/>
                <w:bCs/>
                <w:color w:val="000000" w:themeColor="text1"/>
                <w:sz w:val="24"/>
                <w:szCs w:val="24"/>
              </w:rPr>
              <w:t>Task Name</w:t>
            </w:r>
          </w:p>
        </w:tc>
        <w:tc>
          <w:tcPr>
            <w:tcW w:w="2000" w:type="dxa"/>
          </w:tcPr>
          <w:p w14:paraId="05348A5C" w14:textId="77777777" w:rsidR="00977BA0" w:rsidRPr="00977BA0" w:rsidRDefault="00977BA0" w:rsidP="00340763">
            <w:pPr>
              <w:rPr>
                <w:rFonts w:ascii="Times New Roman" w:hAnsi="Times New Roman" w:cs="Times New Roman"/>
                <w:color w:val="000000" w:themeColor="text1"/>
                <w:sz w:val="24"/>
                <w:szCs w:val="24"/>
              </w:rPr>
            </w:pPr>
            <w:r w:rsidRPr="00977BA0">
              <w:rPr>
                <w:rFonts w:ascii="Times New Roman" w:hAnsi="Times New Roman" w:cs="Times New Roman"/>
                <w:b/>
                <w:bCs/>
                <w:color w:val="000000" w:themeColor="text1"/>
                <w:sz w:val="24"/>
                <w:szCs w:val="24"/>
              </w:rPr>
              <w:t>Owner</w:t>
            </w:r>
          </w:p>
        </w:tc>
        <w:tc>
          <w:tcPr>
            <w:tcW w:w="1600" w:type="dxa"/>
          </w:tcPr>
          <w:p w14:paraId="4BACA557" w14:textId="77777777" w:rsidR="00977BA0" w:rsidRPr="00977BA0" w:rsidRDefault="00977BA0" w:rsidP="00340763">
            <w:pPr>
              <w:rPr>
                <w:rFonts w:ascii="Times New Roman" w:hAnsi="Times New Roman" w:cs="Times New Roman"/>
                <w:color w:val="000000" w:themeColor="text1"/>
                <w:sz w:val="24"/>
                <w:szCs w:val="24"/>
              </w:rPr>
            </w:pPr>
            <w:r w:rsidRPr="00977BA0">
              <w:rPr>
                <w:rFonts w:ascii="Times New Roman" w:hAnsi="Times New Roman" w:cs="Times New Roman"/>
                <w:b/>
                <w:bCs/>
                <w:color w:val="000000" w:themeColor="text1"/>
                <w:sz w:val="24"/>
                <w:szCs w:val="24"/>
              </w:rPr>
              <w:t>Duration</w:t>
            </w:r>
          </w:p>
        </w:tc>
      </w:tr>
      <w:tr w:rsidR="00977BA0" w:rsidRPr="00977BA0" w14:paraId="546647A9" w14:textId="77777777" w:rsidTr="00977BA0">
        <w:tc>
          <w:tcPr>
            <w:tcW w:w="2000" w:type="dxa"/>
          </w:tcPr>
          <w:p w14:paraId="48EEB00E"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Assessment</w:t>
            </w:r>
          </w:p>
        </w:tc>
        <w:tc>
          <w:tcPr>
            <w:tcW w:w="1000" w:type="dxa"/>
          </w:tcPr>
          <w:p w14:paraId="07E4F789"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A1</w:t>
            </w:r>
          </w:p>
        </w:tc>
        <w:tc>
          <w:tcPr>
            <w:tcW w:w="2760" w:type="dxa"/>
          </w:tcPr>
          <w:p w14:paraId="75F8EC34"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Risk &amp; Threat Assessment</w:t>
            </w:r>
          </w:p>
        </w:tc>
        <w:tc>
          <w:tcPr>
            <w:tcW w:w="2000" w:type="dxa"/>
          </w:tcPr>
          <w:p w14:paraId="698A71E3"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Risk Manager</w:t>
            </w:r>
          </w:p>
        </w:tc>
        <w:tc>
          <w:tcPr>
            <w:tcW w:w="1600" w:type="dxa"/>
          </w:tcPr>
          <w:p w14:paraId="7F3FF9FC"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5 days</w:t>
            </w:r>
          </w:p>
        </w:tc>
      </w:tr>
      <w:tr w:rsidR="00977BA0" w:rsidRPr="00977BA0" w14:paraId="383117F4" w14:textId="77777777" w:rsidTr="00977BA0">
        <w:tc>
          <w:tcPr>
            <w:tcW w:w="2000" w:type="dxa"/>
          </w:tcPr>
          <w:p w14:paraId="72D7F5D5"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Assessment</w:t>
            </w:r>
          </w:p>
        </w:tc>
        <w:tc>
          <w:tcPr>
            <w:tcW w:w="1000" w:type="dxa"/>
          </w:tcPr>
          <w:p w14:paraId="61FEEB9B"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A2</w:t>
            </w:r>
          </w:p>
        </w:tc>
        <w:tc>
          <w:tcPr>
            <w:tcW w:w="2760" w:type="dxa"/>
          </w:tcPr>
          <w:p w14:paraId="0BA183A3"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BIA – Critical Systems Mapping</w:t>
            </w:r>
          </w:p>
        </w:tc>
        <w:tc>
          <w:tcPr>
            <w:tcW w:w="2000" w:type="dxa"/>
          </w:tcPr>
          <w:p w14:paraId="4E43AE06"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IT Director</w:t>
            </w:r>
          </w:p>
        </w:tc>
        <w:tc>
          <w:tcPr>
            <w:tcW w:w="1600" w:type="dxa"/>
          </w:tcPr>
          <w:p w14:paraId="157803A9"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5 days</w:t>
            </w:r>
          </w:p>
        </w:tc>
      </w:tr>
      <w:tr w:rsidR="00977BA0" w:rsidRPr="00977BA0" w14:paraId="4E57D6D2" w14:textId="77777777" w:rsidTr="00977BA0">
        <w:tc>
          <w:tcPr>
            <w:tcW w:w="2000" w:type="dxa"/>
          </w:tcPr>
          <w:p w14:paraId="4E70AFE6"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Assessment</w:t>
            </w:r>
          </w:p>
        </w:tc>
        <w:tc>
          <w:tcPr>
            <w:tcW w:w="1000" w:type="dxa"/>
          </w:tcPr>
          <w:p w14:paraId="5418F69A"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A3</w:t>
            </w:r>
          </w:p>
        </w:tc>
        <w:tc>
          <w:tcPr>
            <w:tcW w:w="2760" w:type="dxa"/>
          </w:tcPr>
          <w:p w14:paraId="5CB948F0"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RTO / RPO Target Setting</w:t>
            </w:r>
          </w:p>
        </w:tc>
        <w:tc>
          <w:tcPr>
            <w:tcW w:w="2000" w:type="dxa"/>
          </w:tcPr>
          <w:p w14:paraId="4B2FF49B"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CTO</w:t>
            </w:r>
          </w:p>
        </w:tc>
        <w:tc>
          <w:tcPr>
            <w:tcW w:w="1600" w:type="dxa"/>
          </w:tcPr>
          <w:p w14:paraId="09C7BAD9"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3 days</w:t>
            </w:r>
          </w:p>
        </w:tc>
      </w:tr>
      <w:tr w:rsidR="00977BA0" w:rsidRPr="00977BA0" w14:paraId="005A53C2" w14:textId="77777777" w:rsidTr="00977BA0">
        <w:tc>
          <w:tcPr>
            <w:tcW w:w="2000" w:type="dxa"/>
          </w:tcPr>
          <w:p w14:paraId="1AD914C7"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Planning</w:t>
            </w:r>
          </w:p>
        </w:tc>
        <w:tc>
          <w:tcPr>
            <w:tcW w:w="1000" w:type="dxa"/>
          </w:tcPr>
          <w:p w14:paraId="14FECBA5"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P1</w:t>
            </w:r>
          </w:p>
        </w:tc>
        <w:tc>
          <w:tcPr>
            <w:tcW w:w="2760" w:type="dxa"/>
          </w:tcPr>
          <w:p w14:paraId="0DD73902"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DR Strategy Design</w:t>
            </w:r>
          </w:p>
        </w:tc>
        <w:tc>
          <w:tcPr>
            <w:tcW w:w="2000" w:type="dxa"/>
          </w:tcPr>
          <w:p w14:paraId="14B2C0D2"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IT Director</w:t>
            </w:r>
          </w:p>
        </w:tc>
        <w:tc>
          <w:tcPr>
            <w:tcW w:w="1600" w:type="dxa"/>
          </w:tcPr>
          <w:p w14:paraId="289BE985"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6 days</w:t>
            </w:r>
          </w:p>
        </w:tc>
      </w:tr>
      <w:tr w:rsidR="00977BA0" w:rsidRPr="00977BA0" w14:paraId="3FE1E3B9" w14:textId="77777777" w:rsidTr="00977BA0">
        <w:tc>
          <w:tcPr>
            <w:tcW w:w="2000" w:type="dxa"/>
          </w:tcPr>
          <w:p w14:paraId="244BF50C"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Planning</w:t>
            </w:r>
          </w:p>
        </w:tc>
        <w:tc>
          <w:tcPr>
            <w:tcW w:w="1000" w:type="dxa"/>
          </w:tcPr>
          <w:p w14:paraId="1104905A"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P2</w:t>
            </w:r>
          </w:p>
        </w:tc>
        <w:tc>
          <w:tcPr>
            <w:tcW w:w="2760" w:type="dxa"/>
          </w:tcPr>
          <w:p w14:paraId="77227707"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Resource &amp; Budget Planning</w:t>
            </w:r>
          </w:p>
        </w:tc>
        <w:tc>
          <w:tcPr>
            <w:tcW w:w="2000" w:type="dxa"/>
          </w:tcPr>
          <w:p w14:paraId="003D3970"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Project Manager</w:t>
            </w:r>
          </w:p>
        </w:tc>
        <w:tc>
          <w:tcPr>
            <w:tcW w:w="1600" w:type="dxa"/>
          </w:tcPr>
          <w:p w14:paraId="47D134C2"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4 days</w:t>
            </w:r>
          </w:p>
        </w:tc>
      </w:tr>
      <w:tr w:rsidR="00977BA0" w:rsidRPr="00977BA0" w14:paraId="7AE7C632" w14:textId="77777777" w:rsidTr="00977BA0">
        <w:tc>
          <w:tcPr>
            <w:tcW w:w="2000" w:type="dxa"/>
          </w:tcPr>
          <w:p w14:paraId="57EA11FD"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Planning</w:t>
            </w:r>
          </w:p>
        </w:tc>
        <w:tc>
          <w:tcPr>
            <w:tcW w:w="1000" w:type="dxa"/>
          </w:tcPr>
          <w:p w14:paraId="49C0F253"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P3</w:t>
            </w:r>
          </w:p>
        </w:tc>
        <w:tc>
          <w:tcPr>
            <w:tcW w:w="2760" w:type="dxa"/>
          </w:tcPr>
          <w:p w14:paraId="0A1D24B6"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Vendor &amp; SLA Negotiations</w:t>
            </w:r>
          </w:p>
        </w:tc>
        <w:tc>
          <w:tcPr>
            <w:tcW w:w="2000" w:type="dxa"/>
          </w:tcPr>
          <w:p w14:paraId="1B160355"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Procurement Lead</w:t>
            </w:r>
          </w:p>
        </w:tc>
        <w:tc>
          <w:tcPr>
            <w:tcW w:w="1600" w:type="dxa"/>
          </w:tcPr>
          <w:p w14:paraId="368A839C"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5 days</w:t>
            </w:r>
          </w:p>
        </w:tc>
      </w:tr>
      <w:tr w:rsidR="00977BA0" w:rsidRPr="00977BA0" w14:paraId="31236E16" w14:textId="77777777" w:rsidTr="00977BA0">
        <w:tc>
          <w:tcPr>
            <w:tcW w:w="2000" w:type="dxa"/>
          </w:tcPr>
          <w:p w14:paraId="28AB53CB"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Planning</w:t>
            </w:r>
          </w:p>
        </w:tc>
        <w:tc>
          <w:tcPr>
            <w:tcW w:w="1000" w:type="dxa"/>
          </w:tcPr>
          <w:p w14:paraId="4FBA4E50"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P4</w:t>
            </w:r>
          </w:p>
        </w:tc>
        <w:tc>
          <w:tcPr>
            <w:tcW w:w="2760" w:type="dxa"/>
          </w:tcPr>
          <w:p w14:paraId="395B3C6A"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DR Policy &amp; Procedure Drafting</w:t>
            </w:r>
          </w:p>
        </w:tc>
        <w:tc>
          <w:tcPr>
            <w:tcW w:w="2000" w:type="dxa"/>
          </w:tcPr>
          <w:p w14:paraId="7C2970D1"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Compliance Officer</w:t>
            </w:r>
          </w:p>
        </w:tc>
        <w:tc>
          <w:tcPr>
            <w:tcW w:w="1600" w:type="dxa"/>
          </w:tcPr>
          <w:p w14:paraId="5CD9F89C"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4 days</w:t>
            </w:r>
          </w:p>
        </w:tc>
      </w:tr>
      <w:tr w:rsidR="00977BA0" w:rsidRPr="00977BA0" w14:paraId="5B33BFE1" w14:textId="77777777" w:rsidTr="00977BA0">
        <w:tc>
          <w:tcPr>
            <w:tcW w:w="2000" w:type="dxa"/>
          </w:tcPr>
          <w:p w14:paraId="37430DAC"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Implementation</w:t>
            </w:r>
          </w:p>
        </w:tc>
        <w:tc>
          <w:tcPr>
            <w:tcW w:w="1000" w:type="dxa"/>
          </w:tcPr>
          <w:p w14:paraId="2270447F"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I1</w:t>
            </w:r>
          </w:p>
        </w:tc>
        <w:tc>
          <w:tcPr>
            <w:tcW w:w="2760" w:type="dxa"/>
          </w:tcPr>
          <w:p w14:paraId="48007AC7"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Backup Infrastructure Setup</w:t>
            </w:r>
          </w:p>
        </w:tc>
        <w:tc>
          <w:tcPr>
            <w:tcW w:w="2000" w:type="dxa"/>
          </w:tcPr>
          <w:p w14:paraId="5572F870"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Systems Engineer</w:t>
            </w:r>
          </w:p>
        </w:tc>
        <w:tc>
          <w:tcPr>
            <w:tcW w:w="1600" w:type="dxa"/>
          </w:tcPr>
          <w:p w14:paraId="36B1B9DA"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7 days</w:t>
            </w:r>
          </w:p>
        </w:tc>
      </w:tr>
      <w:tr w:rsidR="00977BA0" w:rsidRPr="00977BA0" w14:paraId="71535F5F" w14:textId="77777777" w:rsidTr="00977BA0">
        <w:tc>
          <w:tcPr>
            <w:tcW w:w="2000" w:type="dxa"/>
          </w:tcPr>
          <w:p w14:paraId="6B54F2DA"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Implementation</w:t>
            </w:r>
          </w:p>
        </w:tc>
        <w:tc>
          <w:tcPr>
            <w:tcW w:w="1000" w:type="dxa"/>
          </w:tcPr>
          <w:p w14:paraId="34F5866A"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I2</w:t>
            </w:r>
          </w:p>
        </w:tc>
        <w:tc>
          <w:tcPr>
            <w:tcW w:w="2760" w:type="dxa"/>
          </w:tcPr>
          <w:p w14:paraId="4A3255AB"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Failover Systems Configuration</w:t>
            </w:r>
          </w:p>
        </w:tc>
        <w:tc>
          <w:tcPr>
            <w:tcW w:w="2000" w:type="dxa"/>
          </w:tcPr>
          <w:p w14:paraId="080D4DB4"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Network Engineer</w:t>
            </w:r>
          </w:p>
        </w:tc>
        <w:tc>
          <w:tcPr>
            <w:tcW w:w="1600" w:type="dxa"/>
          </w:tcPr>
          <w:p w14:paraId="016A97EF"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6 days</w:t>
            </w:r>
          </w:p>
        </w:tc>
      </w:tr>
      <w:tr w:rsidR="00977BA0" w:rsidRPr="00977BA0" w14:paraId="57DE0D1D" w14:textId="77777777" w:rsidTr="00977BA0">
        <w:tc>
          <w:tcPr>
            <w:tcW w:w="2000" w:type="dxa"/>
          </w:tcPr>
          <w:p w14:paraId="267EBE85"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Implementation</w:t>
            </w:r>
          </w:p>
        </w:tc>
        <w:tc>
          <w:tcPr>
            <w:tcW w:w="1000" w:type="dxa"/>
          </w:tcPr>
          <w:p w14:paraId="675FAED5"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I3</w:t>
            </w:r>
          </w:p>
        </w:tc>
        <w:tc>
          <w:tcPr>
            <w:tcW w:w="2760" w:type="dxa"/>
          </w:tcPr>
          <w:p w14:paraId="5CC31C43"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Data Replication Deployment</w:t>
            </w:r>
          </w:p>
        </w:tc>
        <w:tc>
          <w:tcPr>
            <w:tcW w:w="2000" w:type="dxa"/>
          </w:tcPr>
          <w:p w14:paraId="44200BFC"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Database Admin</w:t>
            </w:r>
          </w:p>
        </w:tc>
        <w:tc>
          <w:tcPr>
            <w:tcW w:w="1600" w:type="dxa"/>
          </w:tcPr>
          <w:p w14:paraId="1C788DA1"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5 days</w:t>
            </w:r>
          </w:p>
        </w:tc>
      </w:tr>
      <w:tr w:rsidR="00977BA0" w:rsidRPr="00977BA0" w14:paraId="34D3CCE1" w14:textId="77777777" w:rsidTr="00977BA0">
        <w:tc>
          <w:tcPr>
            <w:tcW w:w="2000" w:type="dxa"/>
          </w:tcPr>
          <w:p w14:paraId="7CA9F124"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Implementation</w:t>
            </w:r>
          </w:p>
        </w:tc>
        <w:tc>
          <w:tcPr>
            <w:tcW w:w="1000" w:type="dxa"/>
          </w:tcPr>
          <w:p w14:paraId="1E94E997"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I4</w:t>
            </w:r>
          </w:p>
        </w:tc>
        <w:tc>
          <w:tcPr>
            <w:tcW w:w="2760" w:type="dxa"/>
          </w:tcPr>
          <w:p w14:paraId="51D214E7"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 xml:space="preserve">Staff DR Training </w:t>
            </w:r>
            <w:proofErr w:type="spellStart"/>
            <w:r w:rsidRPr="00977BA0">
              <w:rPr>
                <w:rFonts w:ascii="Times New Roman" w:hAnsi="Times New Roman" w:cs="Times New Roman"/>
                <w:color w:val="000000"/>
                <w:sz w:val="24"/>
                <w:szCs w:val="24"/>
              </w:rPr>
              <w:t>Programme</w:t>
            </w:r>
            <w:proofErr w:type="spellEnd"/>
          </w:p>
        </w:tc>
        <w:tc>
          <w:tcPr>
            <w:tcW w:w="2000" w:type="dxa"/>
          </w:tcPr>
          <w:p w14:paraId="0378D3F6"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Training Lead</w:t>
            </w:r>
          </w:p>
        </w:tc>
        <w:tc>
          <w:tcPr>
            <w:tcW w:w="1600" w:type="dxa"/>
          </w:tcPr>
          <w:p w14:paraId="4D684960"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4 days</w:t>
            </w:r>
          </w:p>
        </w:tc>
      </w:tr>
      <w:tr w:rsidR="00977BA0" w:rsidRPr="00977BA0" w14:paraId="6B55C3E4" w14:textId="77777777" w:rsidTr="00977BA0">
        <w:tc>
          <w:tcPr>
            <w:tcW w:w="2000" w:type="dxa"/>
          </w:tcPr>
          <w:p w14:paraId="3C67A7E2"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Testing</w:t>
            </w:r>
          </w:p>
        </w:tc>
        <w:tc>
          <w:tcPr>
            <w:tcW w:w="1000" w:type="dxa"/>
          </w:tcPr>
          <w:p w14:paraId="6FA06243"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T1</w:t>
            </w:r>
          </w:p>
        </w:tc>
        <w:tc>
          <w:tcPr>
            <w:tcW w:w="2760" w:type="dxa"/>
          </w:tcPr>
          <w:p w14:paraId="76E6AA62"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Tabletop Exercise</w:t>
            </w:r>
          </w:p>
        </w:tc>
        <w:tc>
          <w:tcPr>
            <w:tcW w:w="2000" w:type="dxa"/>
          </w:tcPr>
          <w:p w14:paraId="0A237029"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DR Coordinator</w:t>
            </w:r>
          </w:p>
        </w:tc>
        <w:tc>
          <w:tcPr>
            <w:tcW w:w="1600" w:type="dxa"/>
          </w:tcPr>
          <w:p w14:paraId="0C92806E"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3 days</w:t>
            </w:r>
          </w:p>
        </w:tc>
      </w:tr>
      <w:tr w:rsidR="00977BA0" w:rsidRPr="00977BA0" w14:paraId="72ADEBB7" w14:textId="77777777" w:rsidTr="00977BA0">
        <w:tc>
          <w:tcPr>
            <w:tcW w:w="2000" w:type="dxa"/>
          </w:tcPr>
          <w:p w14:paraId="5448EA0D"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Testing</w:t>
            </w:r>
          </w:p>
        </w:tc>
        <w:tc>
          <w:tcPr>
            <w:tcW w:w="1000" w:type="dxa"/>
          </w:tcPr>
          <w:p w14:paraId="0C47E80A"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T2</w:t>
            </w:r>
          </w:p>
        </w:tc>
        <w:tc>
          <w:tcPr>
            <w:tcW w:w="2760" w:type="dxa"/>
          </w:tcPr>
          <w:p w14:paraId="3D9D9004"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Partial Failover Simulation</w:t>
            </w:r>
          </w:p>
        </w:tc>
        <w:tc>
          <w:tcPr>
            <w:tcW w:w="2000" w:type="dxa"/>
          </w:tcPr>
          <w:p w14:paraId="60AAAEC3"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Systems Engineer</w:t>
            </w:r>
          </w:p>
        </w:tc>
        <w:tc>
          <w:tcPr>
            <w:tcW w:w="1600" w:type="dxa"/>
          </w:tcPr>
          <w:p w14:paraId="0EFF495B"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5 days</w:t>
            </w:r>
          </w:p>
        </w:tc>
      </w:tr>
      <w:tr w:rsidR="00977BA0" w:rsidRPr="00977BA0" w14:paraId="421D98BA" w14:textId="77777777" w:rsidTr="00977BA0">
        <w:tc>
          <w:tcPr>
            <w:tcW w:w="2000" w:type="dxa"/>
          </w:tcPr>
          <w:p w14:paraId="1538CC83"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Testing</w:t>
            </w:r>
          </w:p>
        </w:tc>
        <w:tc>
          <w:tcPr>
            <w:tcW w:w="1000" w:type="dxa"/>
          </w:tcPr>
          <w:p w14:paraId="3F0A68F9"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T3</w:t>
            </w:r>
          </w:p>
        </w:tc>
        <w:tc>
          <w:tcPr>
            <w:tcW w:w="2760" w:type="dxa"/>
          </w:tcPr>
          <w:p w14:paraId="0D69F8D1"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Full DR Drill</w:t>
            </w:r>
          </w:p>
        </w:tc>
        <w:tc>
          <w:tcPr>
            <w:tcW w:w="2000" w:type="dxa"/>
          </w:tcPr>
          <w:p w14:paraId="357B3408"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IT Director</w:t>
            </w:r>
          </w:p>
        </w:tc>
        <w:tc>
          <w:tcPr>
            <w:tcW w:w="1600" w:type="dxa"/>
          </w:tcPr>
          <w:p w14:paraId="5287E308"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5 days</w:t>
            </w:r>
          </w:p>
        </w:tc>
      </w:tr>
      <w:tr w:rsidR="00977BA0" w:rsidRPr="00977BA0" w14:paraId="60AD414B" w14:textId="77777777" w:rsidTr="00977BA0">
        <w:tc>
          <w:tcPr>
            <w:tcW w:w="2000" w:type="dxa"/>
          </w:tcPr>
          <w:p w14:paraId="0478E3DA"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Testing</w:t>
            </w:r>
          </w:p>
        </w:tc>
        <w:tc>
          <w:tcPr>
            <w:tcW w:w="1000" w:type="dxa"/>
          </w:tcPr>
          <w:p w14:paraId="2CC9D23A"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T4</w:t>
            </w:r>
          </w:p>
        </w:tc>
        <w:tc>
          <w:tcPr>
            <w:tcW w:w="2760" w:type="dxa"/>
          </w:tcPr>
          <w:p w14:paraId="5592BF1B"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Gap Analysis &amp; Remediation</w:t>
            </w:r>
          </w:p>
        </w:tc>
        <w:tc>
          <w:tcPr>
            <w:tcW w:w="2000" w:type="dxa"/>
          </w:tcPr>
          <w:p w14:paraId="79BA45F2"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Risk Manager</w:t>
            </w:r>
          </w:p>
        </w:tc>
        <w:tc>
          <w:tcPr>
            <w:tcW w:w="1600" w:type="dxa"/>
          </w:tcPr>
          <w:p w14:paraId="7A1A5EA1"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4 days</w:t>
            </w:r>
          </w:p>
        </w:tc>
      </w:tr>
      <w:tr w:rsidR="00977BA0" w:rsidRPr="00977BA0" w14:paraId="5D4C97B8" w14:textId="77777777" w:rsidTr="00977BA0">
        <w:tc>
          <w:tcPr>
            <w:tcW w:w="2000" w:type="dxa"/>
          </w:tcPr>
          <w:p w14:paraId="71AECF5B"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Maintenance</w:t>
            </w:r>
          </w:p>
        </w:tc>
        <w:tc>
          <w:tcPr>
            <w:tcW w:w="1000" w:type="dxa"/>
          </w:tcPr>
          <w:p w14:paraId="5A55D297"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M1</w:t>
            </w:r>
          </w:p>
        </w:tc>
        <w:tc>
          <w:tcPr>
            <w:tcW w:w="2760" w:type="dxa"/>
          </w:tcPr>
          <w:p w14:paraId="297CC080"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DR Plan Documentation</w:t>
            </w:r>
          </w:p>
        </w:tc>
        <w:tc>
          <w:tcPr>
            <w:tcW w:w="2000" w:type="dxa"/>
          </w:tcPr>
          <w:p w14:paraId="31F1B994"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Compliance Officer</w:t>
            </w:r>
          </w:p>
        </w:tc>
        <w:tc>
          <w:tcPr>
            <w:tcW w:w="1600" w:type="dxa"/>
          </w:tcPr>
          <w:p w14:paraId="21693CC2"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4 days</w:t>
            </w:r>
          </w:p>
        </w:tc>
      </w:tr>
      <w:tr w:rsidR="00977BA0" w:rsidRPr="00977BA0" w14:paraId="362BBEDC" w14:textId="77777777" w:rsidTr="00977BA0">
        <w:tc>
          <w:tcPr>
            <w:tcW w:w="2000" w:type="dxa"/>
          </w:tcPr>
          <w:p w14:paraId="5E65655A"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lastRenderedPageBreak/>
              <w:t>Maintenance</w:t>
            </w:r>
          </w:p>
        </w:tc>
        <w:tc>
          <w:tcPr>
            <w:tcW w:w="1000" w:type="dxa"/>
          </w:tcPr>
          <w:p w14:paraId="72EE2308"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M2</w:t>
            </w:r>
          </w:p>
        </w:tc>
        <w:tc>
          <w:tcPr>
            <w:tcW w:w="2760" w:type="dxa"/>
          </w:tcPr>
          <w:p w14:paraId="34C2D4FB"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Monitoring &amp; Alert Setup</w:t>
            </w:r>
          </w:p>
        </w:tc>
        <w:tc>
          <w:tcPr>
            <w:tcW w:w="2000" w:type="dxa"/>
          </w:tcPr>
          <w:p w14:paraId="31716A64"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Network Engineer</w:t>
            </w:r>
          </w:p>
        </w:tc>
        <w:tc>
          <w:tcPr>
            <w:tcW w:w="1600" w:type="dxa"/>
          </w:tcPr>
          <w:p w14:paraId="670B438F"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5 days</w:t>
            </w:r>
          </w:p>
        </w:tc>
      </w:tr>
      <w:tr w:rsidR="00977BA0" w:rsidRPr="00977BA0" w14:paraId="24BCEC15" w14:textId="77777777" w:rsidTr="00977BA0">
        <w:tc>
          <w:tcPr>
            <w:tcW w:w="2000" w:type="dxa"/>
          </w:tcPr>
          <w:p w14:paraId="4745C5B4"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Maintenance</w:t>
            </w:r>
          </w:p>
        </w:tc>
        <w:tc>
          <w:tcPr>
            <w:tcW w:w="1000" w:type="dxa"/>
          </w:tcPr>
          <w:p w14:paraId="5ABE64AE"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M3</w:t>
            </w:r>
          </w:p>
        </w:tc>
        <w:tc>
          <w:tcPr>
            <w:tcW w:w="2760" w:type="dxa"/>
          </w:tcPr>
          <w:p w14:paraId="55293C54"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Scheduled Annual Review</w:t>
            </w:r>
          </w:p>
        </w:tc>
        <w:tc>
          <w:tcPr>
            <w:tcW w:w="2000" w:type="dxa"/>
          </w:tcPr>
          <w:p w14:paraId="29FC498B"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IT Director</w:t>
            </w:r>
          </w:p>
        </w:tc>
        <w:tc>
          <w:tcPr>
            <w:tcW w:w="1600" w:type="dxa"/>
          </w:tcPr>
          <w:p w14:paraId="4E9E29F8" w14:textId="77777777" w:rsidR="00977BA0" w:rsidRPr="00977BA0" w:rsidRDefault="00977BA0" w:rsidP="00340763">
            <w:pPr>
              <w:rPr>
                <w:rFonts w:ascii="Times New Roman" w:hAnsi="Times New Roman" w:cs="Times New Roman"/>
                <w:sz w:val="24"/>
                <w:szCs w:val="24"/>
              </w:rPr>
            </w:pPr>
            <w:r w:rsidRPr="00977BA0">
              <w:rPr>
                <w:rFonts w:ascii="Times New Roman" w:hAnsi="Times New Roman" w:cs="Times New Roman"/>
                <w:color w:val="000000"/>
                <w:sz w:val="24"/>
                <w:szCs w:val="24"/>
              </w:rPr>
              <w:t>3 days</w:t>
            </w:r>
          </w:p>
        </w:tc>
      </w:tr>
    </w:tbl>
    <w:p w14:paraId="7EB9A510" w14:textId="77777777" w:rsidR="00977BA0" w:rsidRPr="00977BA0" w:rsidRDefault="00977BA0" w:rsidP="00977BA0">
      <w:pPr>
        <w:spacing w:before="60" w:after="60"/>
        <w:rPr>
          <w:rFonts w:ascii="Times New Roman" w:hAnsi="Times New Roman" w:cs="Times New Roman"/>
          <w:sz w:val="24"/>
          <w:szCs w:val="24"/>
        </w:rPr>
      </w:pPr>
    </w:p>
    <w:p w14:paraId="32FE42EF" w14:textId="77777777" w:rsidR="00977BA0" w:rsidRPr="00977BA0" w:rsidRDefault="00977BA0" w:rsidP="00977BA0">
      <w:pPr>
        <w:spacing w:before="120" w:after="60"/>
        <w:jc w:val="center"/>
        <w:rPr>
          <w:rFonts w:ascii="Times New Roman" w:hAnsi="Times New Roman" w:cs="Times New Roman"/>
          <w:sz w:val="24"/>
          <w:szCs w:val="24"/>
        </w:rPr>
      </w:pPr>
      <w:r w:rsidRPr="00977BA0">
        <w:rPr>
          <w:rFonts w:ascii="Times New Roman" w:hAnsi="Times New Roman" w:cs="Times New Roman"/>
          <w:noProof/>
          <w:sz w:val="24"/>
          <w:szCs w:val="24"/>
        </w:rPr>
        <w:drawing>
          <wp:inline distT="0" distB="0" distL="0" distR="0" wp14:anchorId="1BA14E0E" wp14:editId="163C33DF">
            <wp:extent cx="5905500" cy="2714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714625"/>
                    </a:xfrm>
                    <a:prstGeom prst="rect">
                      <a:avLst/>
                    </a:prstGeom>
                  </pic:spPr>
                </pic:pic>
              </a:graphicData>
            </a:graphic>
          </wp:inline>
        </w:drawing>
      </w:r>
    </w:p>
    <w:p w14:paraId="5F5AA8DC" w14:textId="77777777" w:rsidR="00977BA0" w:rsidRPr="00977BA0" w:rsidRDefault="00977BA0" w:rsidP="00977BA0">
      <w:pPr>
        <w:spacing w:before="60" w:after="160"/>
        <w:jc w:val="center"/>
        <w:rPr>
          <w:rFonts w:ascii="Times New Roman" w:hAnsi="Times New Roman" w:cs="Times New Roman"/>
          <w:sz w:val="24"/>
          <w:szCs w:val="24"/>
        </w:rPr>
      </w:pPr>
      <w:r w:rsidRPr="00977BA0">
        <w:rPr>
          <w:rFonts w:ascii="Times New Roman" w:hAnsi="Times New Roman" w:cs="Times New Roman"/>
          <w:i/>
          <w:iCs/>
          <w:color w:val="555555"/>
          <w:sz w:val="24"/>
          <w:szCs w:val="24"/>
        </w:rPr>
        <w:t>Figure 1: Work Breakdown Structure (WBS) — IT Disaster Recovery Project (Banking System)</w:t>
      </w:r>
    </w:p>
    <w:p w14:paraId="340CD830" w14:textId="77777777" w:rsidR="00977BA0" w:rsidRPr="00977BA0" w:rsidRDefault="00977BA0" w:rsidP="00977BA0">
      <w:pPr>
        <w:spacing w:before="60" w:after="60"/>
        <w:rPr>
          <w:rFonts w:ascii="Times New Roman" w:hAnsi="Times New Roman" w:cs="Times New Roman"/>
          <w:sz w:val="24"/>
          <w:szCs w:val="24"/>
        </w:rPr>
      </w:pPr>
    </w:p>
    <w:p w14:paraId="6BCE823A" w14:textId="77777777" w:rsidR="00977BA0" w:rsidRPr="00977BA0" w:rsidRDefault="00977BA0" w:rsidP="00977BA0">
      <w:pPr>
        <w:pStyle w:val="Heading1"/>
        <w:rPr>
          <w:rFonts w:ascii="Times New Roman" w:hAnsi="Times New Roman" w:cs="Times New Roman"/>
          <w:sz w:val="24"/>
          <w:szCs w:val="24"/>
        </w:rPr>
      </w:pPr>
      <w:r w:rsidRPr="00977BA0">
        <w:rPr>
          <w:rFonts w:ascii="Times New Roman" w:eastAsia="Arial" w:hAnsi="Times New Roman" w:cs="Times New Roman"/>
          <w:b/>
          <w:bCs/>
          <w:color w:val="1B3A6B"/>
          <w:sz w:val="24"/>
          <w:szCs w:val="24"/>
        </w:rPr>
        <w:t>3. Gantt Chart &amp; Task Interdependencies</w:t>
      </w:r>
    </w:p>
    <w:p w14:paraId="7F32F5FC" w14:textId="30C22C36" w:rsidR="00A75D72" w:rsidRPr="00A75D72" w:rsidRDefault="00A75D72" w:rsidP="00A75D72">
      <w:pPr>
        <w:spacing w:before="60" w:after="60"/>
        <w:rPr>
          <w:rFonts w:ascii="Times New Roman" w:hAnsi="Times New Roman" w:cs="Times New Roman"/>
          <w:sz w:val="24"/>
          <w:szCs w:val="24"/>
        </w:rPr>
      </w:pPr>
      <w:r w:rsidRPr="00A75D72">
        <w:rPr>
          <w:rFonts w:ascii="Times New Roman" w:hAnsi="Times New Roman" w:cs="Times New Roman"/>
          <w:sz w:val="24"/>
          <w:szCs w:val="24"/>
        </w:rPr>
        <w:t xml:space="preserve">This is a Gantt chart for all eighteen tasks in five different phases in relation to the timeline consisting of 60 working days, which translates to about 12 weeks. Tasks have been </w:t>
      </w:r>
      <w:r w:rsidRPr="00A75D72">
        <w:rPr>
          <w:rFonts w:ascii="Times New Roman" w:hAnsi="Times New Roman" w:cs="Times New Roman"/>
          <w:sz w:val="24"/>
          <w:szCs w:val="24"/>
        </w:rPr>
        <w:t>color</w:t>
      </w:r>
      <w:r w:rsidRPr="00A75D72">
        <w:rPr>
          <w:rFonts w:ascii="Times New Roman" w:hAnsi="Times New Roman" w:cs="Times New Roman"/>
          <w:sz w:val="24"/>
          <w:szCs w:val="24"/>
        </w:rPr>
        <w:t xml:space="preserve"> coded according to their phase, and there are dependency arrows to show the dependence relationship of tasks. This makes it easier for project managers to determine the critical path, resource constraints, and progress in relation to benchmark dates.</w:t>
      </w:r>
    </w:p>
    <w:p w14:paraId="6113BE74" w14:textId="77777777" w:rsidR="00A75D72" w:rsidRPr="00A75D72" w:rsidRDefault="00A75D72" w:rsidP="00A75D72">
      <w:pPr>
        <w:spacing w:before="60" w:after="60"/>
        <w:rPr>
          <w:rFonts w:ascii="Times New Roman" w:hAnsi="Times New Roman" w:cs="Times New Roman"/>
          <w:sz w:val="24"/>
          <w:szCs w:val="24"/>
        </w:rPr>
      </w:pPr>
    </w:p>
    <w:p w14:paraId="1256255F" w14:textId="4D7E565C" w:rsidR="00977BA0" w:rsidRPr="00977BA0" w:rsidRDefault="00A75D72" w:rsidP="00A75D72">
      <w:pPr>
        <w:spacing w:before="60" w:after="60"/>
        <w:rPr>
          <w:rFonts w:ascii="Times New Roman" w:hAnsi="Times New Roman" w:cs="Times New Roman"/>
          <w:sz w:val="24"/>
          <w:szCs w:val="24"/>
        </w:rPr>
      </w:pPr>
      <w:r w:rsidRPr="00A75D72">
        <w:rPr>
          <w:rFonts w:ascii="Times New Roman" w:hAnsi="Times New Roman" w:cs="Times New Roman"/>
          <w:sz w:val="24"/>
          <w:szCs w:val="24"/>
        </w:rPr>
        <w:t>All the tasks are in accordance with the finish-to-start dependency rule — the next task cannot start until the previous task is completed. Dependency relationship examples are that all tasks under Assessment have to be completed before moving on to the Design of DR Strategy; Infrastructure Setup has to precede both Failover Configuration and Data Replication; and all implementation tasks have to be completed before commencing any testing phase tasks.</w:t>
      </w:r>
    </w:p>
    <w:p w14:paraId="0DE462F0" w14:textId="77777777" w:rsidR="00977BA0" w:rsidRPr="00977BA0" w:rsidRDefault="00977BA0" w:rsidP="00977BA0">
      <w:pPr>
        <w:spacing w:before="120" w:after="60"/>
        <w:jc w:val="center"/>
        <w:rPr>
          <w:rFonts w:ascii="Times New Roman" w:hAnsi="Times New Roman" w:cs="Times New Roman"/>
          <w:sz w:val="24"/>
          <w:szCs w:val="24"/>
        </w:rPr>
      </w:pPr>
      <w:r w:rsidRPr="00977BA0">
        <w:rPr>
          <w:rFonts w:ascii="Times New Roman" w:hAnsi="Times New Roman" w:cs="Times New Roman"/>
          <w:noProof/>
          <w:sz w:val="24"/>
          <w:szCs w:val="24"/>
        </w:rPr>
        <w:lastRenderedPageBreak/>
        <w:drawing>
          <wp:inline distT="0" distB="0" distL="0" distR="0" wp14:anchorId="1E9EC21D" wp14:editId="4B898CAE">
            <wp:extent cx="6096000" cy="3143250"/>
            <wp:effectExtent l="0" t="0" r="0" b="0"/>
            <wp:docPr id="1794417165" name="Picture 1794417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096000" cy="3143250"/>
                    </a:xfrm>
                    <a:prstGeom prst="rect">
                      <a:avLst/>
                    </a:prstGeom>
                  </pic:spPr>
                </pic:pic>
              </a:graphicData>
            </a:graphic>
          </wp:inline>
        </w:drawing>
      </w:r>
    </w:p>
    <w:p w14:paraId="0DB45839" w14:textId="77777777" w:rsidR="00977BA0" w:rsidRPr="00977BA0" w:rsidRDefault="00977BA0" w:rsidP="00977BA0">
      <w:pPr>
        <w:spacing w:before="60" w:after="160"/>
        <w:jc w:val="center"/>
        <w:rPr>
          <w:rFonts w:ascii="Times New Roman" w:hAnsi="Times New Roman" w:cs="Times New Roman"/>
          <w:sz w:val="24"/>
          <w:szCs w:val="24"/>
        </w:rPr>
      </w:pPr>
      <w:r w:rsidRPr="00977BA0">
        <w:rPr>
          <w:rFonts w:ascii="Times New Roman" w:hAnsi="Times New Roman" w:cs="Times New Roman"/>
          <w:i/>
          <w:iCs/>
          <w:color w:val="555555"/>
          <w:sz w:val="24"/>
          <w:szCs w:val="24"/>
        </w:rPr>
        <w:t>Figure 2: Gantt Chart — IT Disaster Recovery Project | 60 Working Days | Arrows indicate task dependencies</w:t>
      </w:r>
    </w:p>
    <w:p w14:paraId="5AA93DAD" w14:textId="77777777" w:rsidR="00977BA0" w:rsidRPr="00977BA0" w:rsidRDefault="00977BA0" w:rsidP="00977BA0">
      <w:pPr>
        <w:spacing w:before="60" w:after="60"/>
        <w:rPr>
          <w:rFonts w:ascii="Times New Roman" w:hAnsi="Times New Roman" w:cs="Times New Roman"/>
          <w:sz w:val="24"/>
          <w:szCs w:val="24"/>
        </w:rPr>
      </w:pPr>
    </w:p>
    <w:p w14:paraId="29AFEDD1" w14:textId="77777777" w:rsidR="00977BA0" w:rsidRPr="00977BA0" w:rsidRDefault="00977BA0" w:rsidP="00977BA0">
      <w:pPr>
        <w:pStyle w:val="Heading1"/>
        <w:rPr>
          <w:rFonts w:ascii="Times New Roman" w:hAnsi="Times New Roman" w:cs="Times New Roman"/>
          <w:sz w:val="24"/>
          <w:szCs w:val="24"/>
        </w:rPr>
      </w:pPr>
      <w:r w:rsidRPr="00977BA0">
        <w:rPr>
          <w:rFonts w:ascii="Times New Roman" w:eastAsia="Arial" w:hAnsi="Times New Roman" w:cs="Times New Roman"/>
          <w:b/>
          <w:bCs/>
          <w:color w:val="1B3A6B"/>
          <w:sz w:val="24"/>
          <w:szCs w:val="24"/>
        </w:rPr>
        <w:t>4. Interdependency Analysis</w:t>
      </w:r>
    </w:p>
    <w:p w14:paraId="5D4327D7" w14:textId="77777777" w:rsidR="00977BA0" w:rsidRPr="00977BA0" w:rsidRDefault="00977BA0" w:rsidP="00977BA0">
      <w:pPr>
        <w:spacing w:before="80" w:after="80"/>
        <w:jc w:val="both"/>
        <w:rPr>
          <w:rFonts w:ascii="Times New Roman" w:hAnsi="Times New Roman" w:cs="Times New Roman"/>
          <w:sz w:val="24"/>
          <w:szCs w:val="24"/>
        </w:rPr>
      </w:pPr>
      <w:r w:rsidRPr="00977BA0">
        <w:rPr>
          <w:rFonts w:ascii="Times New Roman" w:hAnsi="Times New Roman" w:cs="Times New Roman"/>
          <w:sz w:val="24"/>
          <w:szCs w:val="24"/>
        </w:rPr>
        <w:t>Task interdependencies are a defining feature of any DR project and must be carefully managed to prevent schedule slippage. The following critical dependency chains have been identified:</w:t>
      </w:r>
    </w:p>
    <w:p w14:paraId="745C56CB" w14:textId="77777777" w:rsidR="00977BA0" w:rsidRPr="00977BA0" w:rsidRDefault="00977BA0" w:rsidP="00977BA0">
      <w:pPr>
        <w:spacing w:before="60" w:after="60"/>
        <w:rPr>
          <w:rFonts w:ascii="Times New Roman" w:hAnsi="Times New Roman" w:cs="Times New Roman"/>
          <w:sz w:val="24"/>
          <w:szCs w:val="24"/>
        </w:rPr>
      </w:pPr>
    </w:p>
    <w:p w14:paraId="157A94F9" w14:textId="77777777" w:rsidR="00977BA0" w:rsidRPr="00977BA0" w:rsidRDefault="00977BA0" w:rsidP="00977BA0">
      <w:pPr>
        <w:pStyle w:val="ListParagraph"/>
        <w:numPr>
          <w:ilvl w:val="0"/>
          <w:numId w:val="1"/>
        </w:numPr>
        <w:spacing w:before="60" w:after="60"/>
        <w:contextualSpacing w:val="0"/>
        <w:jc w:val="both"/>
        <w:rPr>
          <w:rFonts w:ascii="Times New Roman" w:hAnsi="Times New Roman" w:cs="Times New Roman"/>
          <w:sz w:val="24"/>
          <w:szCs w:val="24"/>
        </w:rPr>
      </w:pPr>
      <w:r w:rsidRPr="00977BA0">
        <w:rPr>
          <w:rFonts w:ascii="Times New Roman" w:hAnsi="Times New Roman" w:cs="Times New Roman"/>
          <w:sz w:val="24"/>
          <w:szCs w:val="24"/>
        </w:rPr>
        <w:t>Assessment Chain (A1 → A2 → A3): The risk assessment must precede the Business Impact Analysis (BIA), as threat data informs which systems are classified as critical. RTO and RPO targets cannot be set meaningfully without a completed BIA. Any delay in A1 propagates directly to all downstream phases.</w:t>
      </w:r>
    </w:p>
    <w:p w14:paraId="1AB1C53D" w14:textId="1166B026" w:rsidR="00977BA0" w:rsidRPr="00977BA0" w:rsidRDefault="00977BA0" w:rsidP="00977BA0">
      <w:pPr>
        <w:pStyle w:val="ListParagraph"/>
        <w:numPr>
          <w:ilvl w:val="0"/>
          <w:numId w:val="1"/>
        </w:numPr>
        <w:spacing w:before="60" w:after="60"/>
        <w:contextualSpacing w:val="0"/>
        <w:jc w:val="both"/>
        <w:rPr>
          <w:rFonts w:ascii="Times New Roman" w:hAnsi="Times New Roman" w:cs="Times New Roman"/>
          <w:sz w:val="24"/>
          <w:szCs w:val="24"/>
        </w:rPr>
      </w:pPr>
      <w:r w:rsidRPr="00977BA0">
        <w:rPr>
          <w:rFonts w:ascii="Times New Roman" w:hAnsi="Times New Roman" w:cs="Times New Roman"/>
          <w:sz w:val="24"/>
          <w:szCs w:val="24"/>
        </w:rPr>
        <w:t xml:space="preserve">Planning to Implementation (A3 → P1 → P3 → I1): The DR strategy must be </w:t>
      </w:r>
      <w:r w:rsidR="007A378E" w:rsidRPr="00977BA0">
        <w:rPr>
          <w:rFonts w:ascii="Times New Roman" w:hAnsi="Times New Roman" w:cs="Times New Roman"/>
          <w:sz w:val="24"/>
          <w:szCs w:val="24"/>
        </w:rPr>
        <w:t>finalized</w:t>
      </w:r>
      <w:r w:rsidRPr="00977BA0">
        <w:rPr>
          <w:rFonts w:ascii="Times New Roman" w:hAnsi="Times New Roman" w:cs="Times New Roman"/>
          <w:sz w:val="24"/>
          <w:szCs w:val="24"/>
        </w:rPr>
        <w:t xml:space="preserve"> before vendor negotiations commence, and infrastructure cannot be procured or deployed until SLAs are in place. This chain represents the primary critical path of the project.</w:t>
      </w:r>
    </w:p>
    <w:p w14:paraId="30E87227" w14:textId="77777777" w:rsidR="00977BA0" w:rsidRPr="00977BA0" w:rsidRDefault="00977BA0" w:rsidP="00977BA0">
      <w:pPr>
        <w:pStyle w:val="ListParagraph"/>
        <w:numPr>
          <w:ilvl w:val="0"/>
          <w:numId w:val="1"/>
        </w:numPr>
        <w:spacing w:before="60" w:after="60"/>
        <w:contextualSpacing w:val="0"/>
        <w:jc w:val="both"/>
        <w:rPr>
          <w:rFonts w:ascii="Times New Roman" w:hAnsi="Times New Roman" w:cs="Times New Roman"/>
          <w:sz w:val="24"/>
          <w:szCs w:val="24"/>
        </w:rPr>
      </w:pPr>
      <w:r w:rsidRPr="00977BA0">
        <w:rPr>
          <w:rFonts w:ascii="Times New Roman" w:hAnsi="Times New Roman" w:cs="Times New Roman"/>
          <w:sz w:val="24"/>
          <w:szCs w:val="24"/>
        </w:rPr>
        <w:t>Parallel Implementation Streams (I1 → I2 and I1 → I3): Once backup infrastructure is established, failover configuration and data replication can proceed concurrently, reducing the overall project duration. These parallel tracks require careful resource scheduling to avoid engineer conflicts.</w:t>
      </w:r>
    </w:p>
    <w:p w14:paraId="60701676" w14:textId="77777777" w:rsidR="00977BA0" w:rsidRPr="00977BA0" w:rsidRDefault="00977BA0" w:rsidP="00977BA0">
      <w:pPr>
        <w:pStyle w:val="ListParagraph"/>
        <w:numPr>
          <w:ilvl w:val="0"/>
          <w:numId w:val="1"/>
        </w:numPr>
        <w:spacing w:before="60" w:after="60"/>
        <w:contextualSpacing w:val="0"/>
        <w:jc w:val="both"/>
        <w:rPr>
          <w:rFonts w:ascii="Times New Roman" w:hAnsi="Times New Roman" w:cs="Times New Roman"/>
          <w:sz w:val="24"/>
          <w:szCs w:val="24"/>
        </w:rPr>
      </w:pPr>
      <w:r w:rsidRPr="00977BA0">
        <w:rPr>
          <w:rFonts w:ascii="Times New Roman" w:hAnsi="Times New Roman" w:cs="Times New Roman"/>
          <w:sz w:val="24"/>
          <w:szCs w:val="24"/>
        </w:rPr>
        <w:t>Testing Gate (I2 + I3 + T1 → T2): The partial failover simulation is contingent on the completion of both technical implementation streams and the tabletop exercise. This gate ensures that staff are adequately prepared before live system testing commences.</w:t>
      </w:r>
    </w:p>
    <w:p w14:paraId="471A93F8" w14:textId="241B18C5" w:rsidR="00977BA0" w:rsidRPr="00977BA0" w:rsidRDefault="00977BA0" w:rsidP="00977BA0">
      <w:pPr>
        <w:pStyle w:val="ListParagraph"/>
        <w:numPr>
          <w:ilvl w:val="0"/>
          <w:numId w:val="1"/>
        </w:numPr>
        <w:spacing w:before="60" w:after="60"/>
        <w:contextualSpacing w:val="0"/>
        <w:jc w:val="both"/>
        <w:rPr>
          <w:rFonts w:ascii="Times New Roman" w:hAnsi="Times New Roman" w:cs="Times New Roman"/>
          <w:sz w:val="24"/>
          <w:szCs w:val="24"/>
        </w:rPr>
      </w:pPr>
      <w:r w:rsidRPr="00977BA0">
        <w:rPr>
          <w:rFonts w:ascii="Times New Roman" w:hAnsi="Times New Roman" w:cs="Times New Roman"/>
          <w:sz w:val="24"/>
          <w:szCs w:val="24"/>
        </w:rPr>
        <w:t>Maintenance Entry (T4 → M1 + M2): Post-drill gap analysis must be completed before documentation is finalized and monitoring systems are configured, ensuring that all identified deficiencies are captured in the operational DR plan.</w:t>
      </w:r>
    </w:p>
    <w:p w14:paraId="61AB6889" w14:textId="77777777" w:rsidR="00977BA0" w:rsidRPr="00977BA0" w:rsidRDefault="00977BA0" w:rsidP="00977BA0">
      <w:pPr>
        <w:spacing w:before="60" w:after="60"/>
        <w:rPr>
          <w:rFonts w:ascii="Times New Roman" w:hAnsi="Times New Roman" w:cs="Times New Roman"/>
          <w:sz w:val="24"/>
          <w:szCs w:val="24"/>
        </w:rPr>
      </w:pPr>
    </w:p>
    <w:p w14:paraId="07D628A3" w14:textId="77777777" w:rsidR="00977BA0" w:rsidRPr="00977BA0" w:rsidRDefault="00977BA0" w:rsidP="00977BA0">
      <w:pPr>
        <w:pStyle w:val="Heading1"/>
        <w:rPr>
          <w:rFonts w:ascii="Times New Roman" w:hAnsi="Times New Roman" w:cs="Times New Roman"/>
          <w:sz w:val="24"/>
          <w:szCs w:val="24"/>
        </w:rPr>
      </w:pPr>
      <w:r w:rsidRPr="00977BA0">
        <w:rPr>
          <w:rFonts w:ascii="Times New Roman" w:eastAsia="Arial" w:hAnsi="Times New Roman" w:cs="Times New Roman"/>
          <w:b/>
          <w:bCs/>
          <w:color w:val="1B3A6B"/>
          <w:sz w:val="24"/>
          <w:szCs w:val="24"/>
        </w:rPr>
        <w:lastRenderedPageBreak/>
        <w:t>5. Conclusion</w:t>
      </w:r>
    </w:p>
    <w:p w14:paraId="178403C8" w14:textId="40746C62" w:rsidR="00977BA0" w:rsidRPr="00977BA0" w:rsidRDefault="007A378E" w:rsidP="00977BA0">
      <w:pPr>
        <w:spacing w:before="60" w:after="60"/>
        <w:rPr>
          <w:rFonts w:ascii="Times New Roman" w:hAnsi="Times New Roman" w:cs="Times New Roman"/>
          <w:sz w:val="24"/>
          <w:szCs w:val="24"/>
        </w:rPr>
      </w:pPr>
      <w:r w:rsidRPr="007A378E">
        <w:rPr>
          <w:rFonts w:ascii="Times New Roman" w:hAnsi="Times New Roman" w:cs="Times New Roman"/>
          <w:sz w:val="24"/>
          <w:szCs w:val="24"/>
        </w:rPr>
        <w:t>The proposed WBS and Gantt Chart are operationally sound and serve to provide an organized and transparent basis for the IT DR project being carried out in a banking context. Decomposing the project into five distinct phases and defining interdependences allows for an efficient governance and risk management process for the entirety of the project duration. A period of 60 days is a realistic goal assuming no issues arise along the critical path – Assessment to Infrastructure Implementation. It is imperative that other tasks in Implementation and Maintenance phases are not held up. Following the proposed approach is consistent with global standards for DR management, such as ISO 22301 (Business Continuity Management) and NIST SP 800-34 (Contingency Planning Guide for Federal Information Systems), both applicable to banking/financial service companies.</w:t>
      </w:r>
    </w:p>
    <w:p w14:paraId="3E91D903" w14:textId="77777777" w:rsidR="00977BA0" w:rsidRPr="00977BA0" w:rsidRDefault="00977BA0" w:rsidP="00977BA0">
      <w:pPr>
        <w:pStyle w:val="Heading1"/>
        <w:rPr>
          <w:rFonts w:ascii="Times New Roman" w:hAnsi="Times New Roman" w:cs="Times New Roman"/>
          <w:sz w:val="24"/>
          <w:szCs w:val="24"/>
        </w:rPr>
      </w:pPr>
      <w:r w:rsidRPr="00977BA0">
        <w:rPr>
          <w:rFonts w:ascii="Times New Roman" w:eastAsia="Arial" w:hAnsi="Times New Roman" w:cs="Times New Roman"/>
          <w:b/>
          <w:bCs/>
          <w:color w:val="1B3A6B"/>
          <w:sz w:val="24"/>
          <w:szCs w:val="24"/>
        </w:rPr>
        <w:t>References</w:t>
      </w:r>
    </w:p>
    <w:p w14:paraId="7C3F1B42" w14:textId="58604D84" w:rsidR="00977BA0" w:rsidRPr="0007409C" w:rsidRDefault="00977BA0" w:rsidP="0007409C">
      <w:pPr>
        <w:pStyle w:val="ListParagraph"/>
        <w:numPr>
          <w:ilvl w:val="0"/>
          <w:numId w:val="2"/>
        </w:numPr>
        <w:spacing w:before="80" w:after="60"/>
        <w:rPr>
          <w:rFonts w:ascii="Times New Roman" w:hAnsi="Times New Roman" w:cs="Times New Roman"/>
          <w:sz w:val="24"/>
          <w:szCs w:val="24"/>
        </w:rPr>
      </w:pPr>
      <w:r w:rsidRPr="0007409C">
        <w:rPr>
          <w:rFonts w:ascii="Times New Roman" w:hAnsi="Times New Roman" w:cs="Times New Roman"/>
          <w:sz w:val="24"/>
          <w:szCs w:val="24"/>
        </w:rPr>
        <w:t xml:space="preserve">National Institute of Standards and Technology, “NIST SP 800-34 Rev. 1: Contingency Planning Guide for Federal Information Systems,” NIST, 2010. </w:t>
      </w:r>
      <w:hyperlink r:id="rId7" w:history="1">
        <w:r w:rsidRPr="0007409C">
          <w:rPr>
            <w:rStyle w:val="Hyperlink"/>
            <w:rFonts w:ascii="Times New Roman" w:hAnsi="Times New Roman" w:cs="Times New Roman"/>
            <w:sz w:val="24"/>
            <w:szCs w:val="24"/>
          </w:rPr>
          <w:t>https://csrc.nist.gov/publications/detail/sp/800-34/rev-1/final</w:t>
        </w:r>
      </w:hyperlink>
    </w:p>
    <w:p w14:paraId="6BAEDF27" w14:textId="77777777" w:rsidR="0007409C" w:rsidRDefault="00977BA0" w:rsidP="0007409C">
      <w:pPr>
        <w:pStyle w:val="ListParagraph"/>
        <w:numPr>
          <w:ilvl w:val="0"/>
          <w:numId w:val="2"/>
        </w:numPr>
        <w:spacing w:before="60" w:after="60"/>
        <w:rPr>
          <w:rFonts w:ascii="Times New Roman" w:hAnsi="Times New Roman" w:cs="Times New Roman"/>
          <w:sz w:val="24"/>
          <w:szCs w:val="24"/>
        </w:rPr>
      </w:pPr>
      <w:r w:rsidRPr="0007409C">
        <w:rPr>
          <w:rFonts w:ascii="Times New Roman" w:hAnsi="Times New Roman" w:cs="Times New Roman"/>
          <w:sz w:val="24"/>
          <w:szCs w:val="24"/>
        </w:rPr>
        <w:t xml:space="preserve">International Organization for Standardization, “ISO 22301:2019 — Business Continuity Management Systems,” ISO, 2019. </w:t>
      </w:r>
    </w:p>
    <w:p w14:paraId="1C05A4A5" w14:textId="0DE3D41F" w:rsidR="00977BA0" w:rsidRPr="0007409C" w:rsidRDefault="0007409C" w:rsidP="0007409C">
      <w:pPr>
        <w:pStyle w:val="ListParagraph"/>
        <w:numPr>
          <w:ilvl w:val="0"/>
          <w:numId w:val="2"/>
        </w:numPr>
        <w:spacing w:before="60" w:after="60"/>
        <w:rPr>
          <w:rFonts w:ascii="Times New Roman" w:hAnsi="Times New Roman" w:cs="Times New Roman"/>
          <w:sz w:val="24"/>
          <w:szCs w:val="24"/>
        </w:rPr>
      </w:pPr>
      <w:hyperlink r:id="rId8" w:history="1">
        <w:r w:rsidR="00977BA0" w:rsidRPr="0007409C">
          <w:rPr>
            <w:rStyle w:val="Hyperlink"/>
            <w:rFonts w:ascii="Times New Roman" w:hAnsi="Times New Roman" w:cs="Times New Roman"/>
            <w:sz w:val="24"/>
            <w:szCs w:val="24"/>
          </w:rPr>
          <w:t>https://www.iso.org/standard/75106.html</w:t>
        </w:r>
      </w:hyperlink>
    </w:p>
    <w:p w14:paraId="1F8A168D" w14:textId="1C7F40BA" w:rsidR="00977BA0" w:rsidRPr="0007409C" w:rsidRDefault="00977BA0" w:rsidP="0007409C">
      <w:pPr>
        <w:pStyle w:val="ListParagraph"/>
        <w:numPr>
          <w:ilvl w:val="0"/>
          <w:numId w:val="2"/>
        </w:numPr>
        <w:spacing w:before="60" w:after="60"/>
        <w:rPr>
          <w:rFonts w:ascii="Times New Roman" w:hAnsi="Times New Roman" w:cs="Times New Roman"/>
          <w:sz w:val="24"/>
          <w:szCs w:val="24"/>
        </w:rPr>
      </w:pPr>
      <w:r w:rsidRPr="0007409C">
        <w:rPr>
          <w:rFonts w:ascii="Times New Roman" w:hAnsi="Times New Roman" w:cs="Times New Roman"/>
          <w:sz w:val="24"/>
          <w:szCs w:val="24"/>
        </w:rPr>
        <w:t>R. Snedaker, Business Continuity and Disaster Recovery Planning for IT Professionals, 2nd ed. Syngress/Elsevier, 2013.</w:t>
      </w:r>
    </w:p>
    <w:p w14:paraId="0F8FD314" w14:textId="7E3DCD16" w:rsidR="00977BA0" w:rsidRPr="0007409C" w:rsidRDefault="00977BA0" w:rsidP="0007409C">
      <w:pPr>
        <w:pStyle w:val="ListParagraph"/>
        <w:numPr>
          <w:ilvl w:val="0"/>
          <w:numId w:val="2"/>
        </w:numPr>
        <w:spacing w:before="60" w:after="60"/>
        <w:rPr>
          <w:rFonts w:ascii="Times New Roman" w:hAnsi="Times New Roman" w:cs="Times New Roman"/>
          <w:sz w:val="24"/>
          <w:szCs w:val="24"/>
        </w:rPr>
      </w:pPr>
      <w:r w:rsidRPr="0007409C">
        <w:rPr>
          <w:rFonts w:ascii="Times New Roman" w:hAnsi="Times New Roman" w:cs="Times New Roman"/>
          <w:sz w:val="24"/>
          <w:szCs w:val="24"/>
        </w:rPr>
        <w:t>Project Management Institute, A Guide to the Project Management Body of Knowledge (PMBOK® Guide), 7th ed. PMI, 2021.</w:t>
      </w:r>
    </w:p>
    <w:p w14:paraId="26B45B8B" w14:textId="77777777" w:rsidR="007770BE" w:rsidRDefault="007770BE"/>
    <w:sectPr w:rsidR="007770BE" w:rsidSect="00977BA0">
      <w:pgSz w:w="12240" w:h="15840"/>
      <w:pgMar w:top="1260" w:right="1080" w:bottom="126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A1939"/>
    <w:multiLevelType w:val="hybridMultilevel"/>
    <w:tmpl w:val="BB2891D4"/>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 w15:restartNumberingAfterBreak="0">
    <w:nsid w:val="6FFD08FC"/>
    <w:multiLevelType w:val="hybridMultilevel"/>
    <w:tmpl w:val="B3F42DA2"/>
    <w:lvl w:ilvl="0" w:tplc="25F6C37C">
      <w:start w:val="1"/>
      <w:numFmt w:val="bullet"/>
      <w:lvlText w:val="•"/>
      <w:lvlJc w:val="left"/>
      <w:pPr>
        <w:ind w:left="720" w:hanging="360"/>
      </w:pPr>
    </w:lvl>
    <w:lvl w:ilvl="1" w:tplc="0422CE5E">
      <w:numFmt w:val="decimal"/>
      <w:lvlText w:val=""/>
      <w:lvlJc w:val="left"/>
    </w:lvl>
    <w:lvl w:ilvl="2" w:tplc="A1B64438">
      <w:numFmt w:val="decimal"/>
      <w:lvlText w:val=""/>
      <w:lvlJc w:val="left"/>
    </w:lvl>
    <w:lvl w:ilvl="3" w:tplc="93A243F4">
      <w:numFmt w:val="decimal"/>
      <w:lvlText w:val=""/>
      <w:lvlJc w:val="left"/>
    </w:lvl>
    <w:lvl w:ilvl="4" w:tplc="3D7C1068">
      <w:numFmt w:val="decimal"/>
      <w:lvlText w:val=""/>
      <w:lvlJc w:val="left"/>
    </w:lvl>
    <w:lvl w:ilvl="5" w:tplc="B9464A76">
      <w:numFmt w:val="decimal"/>
      <w:lvlText w:val=""/>
      <w:lvlJc w:val="left"/>
    </w:lvl>
    <w:lvl w:ilvl="6" w:tplc="1AA0BF58">
      <w:numFmt w:val="decimal"/>
      <w:lvlText w:val=""/>
      <w:lvlJc w:val="left"/>
    </w:lvl>
    <w:lvl w:ilvl="7" w:tplc="45BA620E">
      <w:numFmt w:val="decimal"/>
      <w:lvlText w:val=""/>
      <w:lvlJc w:val="left"/>
    </w:lvl>
    <w:lvl w:ilvl="8" w:tplc="1CA428B2">
      <w:numFmt w:val="decimal"/>
      <w:lvlText w:val=""/>
      <w:lvlJc w:val="left"/>
    </w:lvl>
  </w:abstractNum>
  <w:num w:numId="1" w16cid:durableId="1509365089">
    <w:abstractNumId w:val="1"/>
    <w:lvlOverride w:ilvl="0">
      <w:startOverride w:val="1"/>
    </w:lvlOverride>
  </w:num>
  <w:num w:numId="2" w16cid:durableId="757096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211"/>
    <w:rsid w:val="0007409C"/>
    <w:rsid w:val="001C3635"/>
    <w:rsid w:val="00276211"/>
    <w:rsid w:val="007770BE"/>
    <w:rsid w:val="007A378E"/>
    <w:rsid w:val="00912DC7"/>
    <w:rsid w:val="00977BA0"/>
    <w:rsid w:val="00A75D72"/>
    <w:rsid w:val="00DB7EBF"/>
    <w:rsid w:val="00DC3A1E"/>
    <w:rsid w:val="00FC7BC0"/>
    <w:rsid w:val="00FF0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BA3D7"/>
  <w15:chartTrackingRefBased/>
  <w15:docId w15:val="{18BBA0F4-5CA2-4981-A75B-774E5A58C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BA0"/>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2762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62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62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62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62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62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2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2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2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2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62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62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62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62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62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2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2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211"/>
    <w:rPr>
      <w:rFonts w:eastAsiaTheme="majorEastAsia" w:cstheme="majorBidi"/>
      <w:color w:val="272727" w:themeColor="text1" w:themeTint="D8"/>
    </w:rPr>
  </w:style>
  <w:style w:type="paragraph" w:styleId="Title">
    <w:name w:val="Title"/>
    <w:basedOn w:val="Normal"/>
    <w:next w:val="Normal"/>
    <w:link w:val="TitleChar"/>
    <w:uiPriority w:val="10"/>
    <w:qFormat/>
    <w:rsid w:val="002762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2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2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2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211"/>
    <w:pPr>
      <w:spacing w:before="160"/>
      <w:jc w:val="center"/>
    </w:pPr>
    <w:rPr>
      <w:i/>
      <w:iCs/>
      <w:color w:val="404040" w:themeColor="text1" w:themeTint="BF"/>
    </w:rPr>
  </w:style>
  <w:style w:type="character" w:customStyle="1" w:styleId="QuoteChar">
    <w:name w:val="Quote Char"/>
    <w:basedOn w:val="DefaultParagraphFont"/>
    <w:link w:val="Quote"/>
    <w:uiPriority w:val="29"/>
    <w:rsid w:val="00276211"/>
    <w:rPr>
      <w:i/>
      <w:iCs/>
      <w:color w:val="404040" w:themeColor="text1" w:themeTint="BF"/>
    </w:rPr>
  </w:style>
  <w:style w:type="paragraph" w:styleId="ListParagraph">
    <w:name w:val="List Paragraph"/>
    <w:basedOn w:val="Normal"/>
    <w:qFormat/>
    <w:rsid w:val="00276211"/>
    <w:pPr>
      <w:ind w:left="720"/>
      <w:contextualSpacing/>
    </w:pPr>
  </w:style>
  <w:style w:type="character" w:styleId="IntenseEmphasis">
    <w:name w:val="Intense Emphasis"/>
    <w:basedOn w:val="DefaultParagraphFont"/>
    <w:uiPriority w:val="21"/>
    <w:qFormat/>
    <w:rsid w:val="00276211"/>
    <w:rPr>
      <w:i/>
      <w:iCs/>
      <w:color w:val="2F5496" w:themeColor="accent1" w:themeShade="BF"/>
    </w:rPr>
  </w:style>
  <w:style w:type="paragraph" w:styleId="IntenseQuote">
    <w:name w:val="Intense Quote"/>
    <w:basedOn w:val="Normal"/>
    <w:next w:val="Normal"/>
    <w:link w:val="IntenseQuoteChar"/>
    <w:uiPriority w:val="30"/>
    <w:qFormat/>
    <w:rsid w:val="002762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6211"/>
    <w:rPr>
      <w:i/>
      <w:iCs/>
      <w:color w:val="2F5496" w:themeColor="accent1" w:themeShade="BF"/>
    </w:rPr>
  </w:style>
  <w:style w:type="character" w:styleId="IntenseReference">
    <w:name w:val="Intense Reference"/>
    <w:basedOn w:val="DefaultParagraphFont"/>
    <w:uiPriority w:val="32"/>
    <w:qFormat/>
    <w:rsid w:val="00276211"/>
    <w:rPr>
      <w:b/>
      <w:bCs/>
      <w:smallCaps/>
      <w:color w:val="2F5496" w:themeColor="accent1" w:themeShade="BF"/>
      <w:spacing w:val="5"/>
    </w:rPr>
  </w:style>
  <w:style w:type="table" w:styleId="TableGrid">
    <w:name w:val="Table Grid"/>
    <w:basedOn w:val="TableNormal"/>
    <w:uiPriority w:val="39"/>
    <w:rsid w:val="00977B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7409C"/>
    <w:rPr>
      <w:color w:val="0563C1" w:themeColor="hyperlink"/>
      <w:u w:val="single"/>
    </w:rPr>
  </w:style>
  <w:style w:type="character" w:styleId="UnresolvedMention">
    <w:name w:val="Unresolved Mention"/>
    <w:basedOn w:val="DefaultParagraphFont"/>
    <w:uiPriority w:val="99"/>
    <w:semiHidden/>
    <w:unhideWhenUsed/>
    <w:rsid w:val="000740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so.org/standard/75106.html" TargetMode="External"/><Relationship Id="rId3" Type="http://schemas.openxmlformats.org/officeDocument/2006/relationships/settings" Target="settings.xml"/><Relationship Id="rId7" Type="http://schemas.openxmlformats.org/officeDocument/2006/relationships/hyperlink" Target="https://csrc.nist.gov/publications/detail/sp/800-34/rev-1/fin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970</Words>
  <Characters>5535</Characters>
  <Application>Microsoft Office Word</Application>
  <DocSecurity>0</DocSecurity>
  <Lines>46</Lines>
  <Paragraphs>12</Paragraphs>
  <ScaleCrop>false</ScaleCrop>
  <Company/>
  <LinksUpToDate>false</LinksUpToDate>
  <CharactersWithSpaces>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 HOSSAIN</dc:creator>
  <cp:keywords/>
  <dc:description/>
  <cp:lastModifiedBy>Tanvir HOSSAIN</cp:lastModifiedBy>
  <cp:revision>6</cp:revision>
  <dcterms:created xsi:type="dcterms:W3CDTF">2026-05-28T05:32:00Z</dcterms:created>
  <dcterms:modified xsi:type="dcterms:W3CDTF">2026-05-29T02:42:00Z</dcterms:modified>
</cp:coreProperties>
</file>