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Conclusion</w:t>
      </w:r>
    </w:p>
    <w:p>
      <w:pPr>
        <w:pStyle w:val="BodyText"/>
        <w:spacing w:line="278" w:lineRule="auto" w:before="210"/>
      </w:pPr>
      <w:r>
        <w:rPr/>
        <w:t>In</w:t>
      </w:r>
      <w:r>
        <w:rPr>
          <w:spacing w:val="-4"/>
        </w:rPr>
        <w:t> </w:t>
      </w:r>
      <w:r>
        <w:rPr/>
        <w:t>summary,</w:t>
      </w:r>
      <w:r>
        <w:rPr>
          <w:spacing w:val="-4"/>
        </w:rPr>
        <w:t> </w:t>
      </w:r>
      <w:r>
        <w:rPr/>
        <w:t>the</w:t>
      </w:r>
      <w:r>
        <w:rPr>
          <w:spacing w:val="-2"/>
        </w:rPr>
        <w:t> </w:t>
      </w:r>
      <w:r>
        <w:rPr/>
        <w:t>importance</w:t>
      </w:r>
      <w:r>
        <w:rPr>
          <w:spacing w:val="-6"/>
        </w:rPr>
        <w:t> </w:t>
      </w:r>
      <w:r>
        <w:rPr/>
        <w:t>of</w:t>
      </w:r>
      <w:r>
        <w:rPr>
          <w:spacing w:val="-4"/>
        </w:rPr>
        <w:t> </w:t>
      </w:r>
      <w:r>
        <w:rPr/>
        <w:t>this</w:t>
      </w:r>
      <w:r>
        <w:rPr>
          <w:spacing w:val="-3"/>
        </w:rPr>
        <w:t> </w:t>
      </w:r>
      <w:r>
        <w:rPr/>
        <w:t>disaster</w:t>
      </w:r>
      <w:r>
        <w:rPr>
          <w:spacing w:val="-4"/>
        </w:rPr>
        <w:t> </w:t>
      </w:r>
      <w:r>
        <w:rPr/>
        <w:t>recovery</w:t>
      </w:r>
      <w:r>
        <w:rPr>
          <w:spacing w:val="-1"/>
        </w:rPr>
        <w:t> </w:t>
      </w:r>
      <w:r>
        <w:rPr/>
        <w:t>and</w:t>
      </w:r>
      <w:r>
        <w:rPr>
          <w:spacing w:val="-4"/>
        </w:rPr>
        <w:t> </w:t>
      </w:r>
      <w:r>
        <w:rPr/>
        <w:t>business</w:t>
      </w:r>
      <w:r>
        <w:rPr>
          <w:spacing w:val="-3"/>
        </w:rPr>
        <w:t> </w:t>
      </w:r>
      <w:r>
        <w:rPr/>
        <w:t>continuity</w:t>
      </w:r>
      <w:r>
        <w:rPr>
          <w:spacing w:val="-4"/>
        </w:rPr>
        <w:t> </w:t>
      </w:r>
      <w:r>
        <w:rPr/>
        <w:t>plan</w:t>
      </w:r>
      <w:r>
        <w:rPr>
          <w:spacing w:val="-1"/>
        </w:rPr>
        <w:t> </w:t>
      </w:r>
      <w:r>
        <w:rPr/>
        <w:t>to</w:t>
      </w:r>
      <w:r>
        <w:rPr>
          <w:spacing w:val="-4"/>
        </w:rPr>
        <w:t> </w:t>
      </w:r>
      <w:r>
        <w:rPr/>
        <w:t>the</w:t>
      </w:r>
      <w:r>
        <w:rPr>
          <w:spacing w:val="-6"/>
        </w:rPr>
        <w:t> </w:t>
      </w:r>
      <w:r>
        <w:rPr/>
        <w:t>banking system cannot be ignored considering that banks are heavily reliant on constant access to customer information, online banking, payment services, ATMs, and internal accounting information. In addition, any prolonged disruption, cyber attack, technical malfunction, or data loss could harm customers and lead to a negative impact on the bank's image, reputation, finances, and potentially legal troubles.</w:t>
      </w:r>
    </w:p>
    <w:p>
      <w:pPr>
        <w:pStyle w:val="BodyText"/>
        <w:spacing w:line="278" w:lineRule="auto"/>
        <w:ind w:right="62"/>
      </w:pPr>
      <w:r>
        <w:rPr/>
        <w:t>This paper demonstrates that the disaster recovery plan needs to consider much more than just fixing the problem after it occurs. Indeed, the plan must include preparation for disaster recovery, identification of risks, backup, roles and responsibilities, testing, and continuous improvements. The key takeaways from this case study are that the bank needs to identify its critical assets first, determine recovery time and recovery point objectives, perform regular backups safely, and maintain incident communication. Project management instruments like GitHub,</w:t>
      </w:r>
      <w:r>
        <w:rPr>
          <w:spacing w:val="-4"/>
        </w:rPr>
        <w:t> </w:t>
      </w:r>
      <w:r>
        <w:rPr/>
        <w:t>Jira,</w:t>
      </w:r>
      <w:r>
        <w:rPr>
          <w:spacing w:val="-4"/>
        </w:rPr>
        <w:t> </w:t>
      </w:r>
      <w:r>
        <w:rPr/>
        <w:t>work</w:t>
      </w:r>
      <w:r>
        <w:rPr>
          <w:spacing w:val="-4"/>
        </w:rPr>
        <w:t> </w:t>
      </w:r>
      <w:r>
        <w:rPr/>
        <w:t>breakdown</w:t>
      </w:r>
      <w:r>
        <w:rPr>
          <w:spacing w:val="-4"/>
        </w:rPr>
        <w:t> </w:t>
      </w:r>
      <w:r>
        <w:rPr/>
        <w:t>structure,</w:t>
      </w:r>
      <w:r>
        <w:rPr>
          <w:spacing w:val="-4"/>
        </w:rPr>
        <w:t> </w:t>
      </w:r>
      <w:r>
        <w:rPr/>
        <w:t>gantt</w:t>
      </w:r>
      <w:r>
        <w:rPr>
          <w:spacing w:val="-6"/>
        </w:rPr>
        <w:t> </w:t>
      </w:r>
      <w:r>
        <w:rPr/>
        <w:t>diagrams,</w:t>
      </w:r>
      <w:r>
        <w:rPr>
          <w:spacing w:val="-4"/>
        </w:rPr>
        <w:t> </w:t>
      </w:r>
      <w:r>
        <w:rPr/>
        <w:t>and</w:t>
      </w:r>
      <w:r>
        <w:rPr>
          <w:spacing w:val="-4"/>
        </w:rPr>
        <w:t> </w:t>
      </w:r>
      <w:r>
        <w:rPr/>
        <w:t>risk</w:t>
      </w:r>
      <w:r>
        <w:rPr>
          <w:spacing w:val="-4"/>
        </w:rPr>
        <w:t> </w:t>
      </w:r>
      <w:r>
        <w:rPr/>
        <w:t>registers</w:t>
      </w:r>
      <w:r>
        <w:rPr>
          <w:spacing w:val="-3"/>
        </w:rPr>
        <w:t> </w:t>
      </w:r>
      <w:r>
        <w:rPr/>
        <w:t>have</w:t>
      </w:r>
      <w:r>
        <w:rPr>
          <w:spacing w:val="-6"/>
        </w:rPr>
        <w:t> </w:t>
      </w:r>
      <w:r>
        <w:rPr/>
        <w:t>been</w:t>
      </w:r>
      <w:r>
        <w:rPr>
          <w:spacing w:val="-4"/>
        </w:rPr>
        <w:t> </w:t>
      </w:r>
      <w:r>
        <w:rPr/>
        <w:t>used</w:t>
      </w:r>
      <w:r>
        <w:rPr>
          <w:spacing w:val="-4"/>
        </w:rPr>
        <w:t> </w:t>
      </w:r>
      <w:r>
        <w:rPr/>
        <w:t>in this case study successfully.</w:t>
      </w:r>
    </w:p>
    <w:p>
      <w:pPr>
        <w:pStyle w:val="BodyText"/>
        <w:spacing w:line="278" w:lineRule="auto"/>
        <w:ind w:right="74"/>
      </w:pPr>
      <w:r>
        <w:rPr/>
        <w:t>It is also crucial that other potential threats, including system down time, data loss, staff availability,</w:t>
      </w:r>
      <w:r>
        <w:rPr>
          <w:spacing w:val="-4"/>
        </w:rPr>
        <w:t> </w:t>
      </w:r>
      <w:r>
        <w:rPr/>
        <w:t>cyber</w:t>
      </w:r>
      <w:r>
        <w:rPr>
          <w:spacing w:val="-4"/>
        </w:rPr>
        <w:t> </w:t>
      </w:r>
      <w:r>
        <w:rPr/>
        <w:t>security threat</w:t>
      </w:r>
      <w:r>
        <w:rPr>
          <w:spacing w:val="-6"/>
        </w:rPr>
        <w:t> </w:t>
      </w:r>
      <w:r>
        <w:rPr/>
        <w:t>and</w:t>
      </w:r>
      <w:r>
        <w:rPr>
          <w:spacing w:val="-4"/>
        </w:rPr>
        <w:t> </w:t>
      </w:r>
      <w:r>
        <w:rPr/>
        <w:t>budget</w:t>
      </w:r>
      <w:r>
        <w:rPr>
          <w:spacing w:val="-6"/>
        </w:rPr>
        <w:t> </w:t>
      </w:r>
      <w:r>
        <w:rPr/>
        <w:t>constraint</w:t>
      </w:r>
      <w:r>
        <w:rPr>
          <w:spacing w:val="-6"/>
        </w:rPr>
        <w:t> </w:t>
      </w:r>
      <w:r>
        <w:rPr/>
        <w:t>need</w:t>
      </w:r>
      <w:r>
        <w:rPr>
          <w:spacing w:val="-4"/>
        </w:rPr>
        <w:t> </w:t>
      </w:r>
      <w:r>
        <w:rPr/>
        <w:t>to</w:t>
      </w:r>
      <w:r>
        <w:rPr>
          <w:spacing w:val="-4"/>
        </w:rPr>
        <w:t> </w:t>
      </w:r>
      <w:r>
        <w:rPr/>
        <w:t>be</w:t>
      </w:r>
      <w:r>
        <w:rPr>
          <w:spacing w:val="-6"/>
        </w:rPr>
        <w:t> </w:t>
      </w:r>
      <w:r>
        <w:rPr/>
        <w:t>addressed</w:t>
      </w:r>
      <w:r>
        <w:rPr>
          <w:spacing w:val="-4"/>
        </w:rPr>
        <w:t> </w:t>
      </w:r>
      <w:r>
        <w:rPr/>
        <w:t>before</w:t>
      </w:r>
      <w:r>
        <w:rPr>
          <w:spacing w:val="-1"/>
        </w:rPr>
        <w:t> </w:t>
      </w:r>
      <w:r>
        <w:rPr/>
        <w:t>they</w:t>
      </w:r>
      <w:r>
        <w:rPr>
          <w:spacing w:val="-4"/>
        </w:rPr>
        <w:t> </w:t>
      </w:r>
      <w:r>
        <w:rPr/>
        <w:t>become real problems. A good disaster recovery plan should cover server back up, cloud storage or off-site server, testing, incident management and adequate training for staff members. It is essential that the bank conduct review of its disaster recovery and business continuity plan on a regular basis since technologies, threats and requirements evolve with time.</w:t>
      </w:r>
    </w:p>
    <w:p>
      <w:pPr>
        <w:pStyle w:val="BodyText"/>
        <w:spacing w:line="278" w:lineRule="auto"/>
        <w:ind w:right="62"/>
      </w:pPr>
      <w:r>
        <w:rPr/>
        <w:t>Overall,</w:t>
      </w:r>
      <w:r>
        <w:rPr>
          <w:spacing w:val="-4"/>
        </w:rPr>
        <w:t> </w:t>
      </w:r>
      <w:r>
        <w:rPr/>
        <w:t>the</w:t>
      </w:r>
      <w:r>
        <w:rPr>
          <w:spacing w:val="-6"/>
        </w:rPr>
        <w:t> </w:t>
      </w:r>
      <w:r>
        <w:rPr/>
        <w:t>key</w:t>
      </w:r>
      <w:r>
        <w:rPr>
          <w:spacing w:val="-4"/>
        </w:rPr>
        <w:t> </w:t>
      </w:r>
      <w:r>
        <w:rPr/>
        <w:t>recommendation</w:t>
      </w:r>
      <w:r>
        <w:rPr>
          <w:spacing w:val="-4"/>
        </w:rPr>
        <w:t> </w:t>
      </w:r>
      <w:r>
        <w:rPr/>
        <w:t>for the</w:t>
      </w:r>
      <w:r>
        <w:rPr>
          <w:spacing w:val="-6"/>
        </w:rPr>
        <w:t> </w:t>
      </w:r>
      <w:r>
        <w:rPr/>
        <w:t>bank is</w:t>
      </w:r>
      <w:r>
        <w:rPr>
          <w:spacing w:val="-3"/>
        </w:rPr>
        <w:t> </w:t>
      </w:r>
      <w:r>
        <w:rPr/>
        <w:t>to</w:t>
      </w:r>
      <w:r>
        <w:rPr>
          <w:spacing w:val="-4"/>
        </w:rPr>
        <w:t> </w:t>
      </w:r>
      <w:r>
        <w:rPr/>
        <w:t>develop</w:t>
      </w:r>
      <w:r>
        <w:rPr>
          <w:spacing w:val="-4"/>
        </w:rPr>
        <w:t> </w:t>
      </w:r>
      <w:r>
        <w:rPr/>
        <w:t>a</w:t>
      </w:r>
      <w:r>
        <w:rPr>
          <w:spacing w:val="-6"/>
        </w:rPr>
        <w:t> </w:t>
      </w:r>
      <w:r>
        <w:rPr/>
        <w:t>structured</w:t>
      </w:r>
      <w:r>
        <w:rPr>
          <w:spacing w:val="-4"/>
        </w:rPr>
        <w:t> </w:t>
      </w:r>
      <w:r>
        <w:rPr/>
        <w:t>disaster</w:t>
      </w:r>
      <w:r>
        <w:rPr>
          <w:spacing w:val="-4"/>
        </w:rPr>
        <w:t> </w:t>
      </w:r>
      <w:r>
        <w:rPr/>
        <w:t>recovery</w:t>
      </w:r>
      <w:r>
        <w:rPr>
          <w:spacing w:val="-4"/>
        </w:rPr>
        <w:t> </w:t>
      </w:r>
      <w:r>
        <w:rPr/>
        <w:t>and business continuity plan according to internationally recognized frameworks such as NIST framework, ISO 22301 and ISO/IEC 27031. This will help the bank to recover quickly and minimize the impact on the bank’s operations and maintain customer trust even during unforeseen circumstances.</w:t>
      </w:r>
    </w:p>
    <w:p>
      <w:pPr>
        <w:pStyle w:val="Heading1"/>
        <w:spacing w:before="167"/>
      </w:pPr>
      <w:r>
        <w:rPr/>
        <w:t>References –</w:t>
      </w:r>
      <w:r>
        <w:rPr>
          <w:spacing w:val="-1"/>
        </w:rPr>
        <w:t> </w:t>
      </w:r>
      <w:r>
        <w:rPr/>
        <w:t>IEEE</w:t>
      </w:r>
      <w:r>
        <w:rPr>
          <w:spacing w:val="-2"/>
        </w:rPr>
        <w:t> Format</w:t>
      </w:r>
    </w:p>
    <w:p>
      <w:pPr>
        <w:pStyle w:val="ListParagraph"/>
        <w:numPr>
          <w:ilvl w:val="0"/>
          <w:numId w:val="1"/>
        </w:numPr>
        <w:tabs>
          <w:tab w:pos="339" w:val="left" w:leader="none"/>
        </w:tabs>
        <w:spacing w:line="278" w:lineRule="auto" w:before="211" w:after="0"/>
        <w:ind w:left="0" w:right="524" w:firstLine="0"/>
        <w:jc w:val="left"/>
        <w:rPr>
          <w:sz w:val="24"/>
        </w:rPr>
      </w:pPr>
      <w:r>
        <w:rPr>
          <w:sz w:val="24"/>
        </w:rPr>
        <w:t>M.</w:t>
      </w:r>
      <w:r>
        <w:rPr>
          <w:spacing w:val="-4"/>
          <w:sz w:val="24"/>
        </w:rPr>
        <w:t> </w:t>
      </w:r>
      <w:r>
        <w:rPr>
          <w:sz w:val="24"/>
        </w:rPr>
        <w:t>Swanson,</w:t>
      </w:r>
      <w:r>
        <w:rPr>
          <w:spacing w:val="-4"/>
          <w:sz w:val="24"/>
        </w:rPr>
        <w:t> </w:t>
      </w:r>
      <w:r>
        <w:rPr>
          <w:sz w:val="24"/>
        </w:rPr>
        <w:t>P.</w:t>
      </w:r>
      <w:r>
        <w:rPr>
          <w:spacing w:val="-4"/>
          <w:sz w:val="24"/>
        </w:rPr>
        <w:t> </w:t>
      </w:r>
      <w:r>
        <w:rPr>
          <w:sz w:val="24"/>
        </w:rPr>
        <w:t>Bowen,</w:t>
      </w:r>
      <w:r>
        <w:rPr>
          <w:spacing w:val="-4"/>
          <w:sz w:val="24"/>
        </w:rPr>
        <w:t> </w:t>
      </w:r>
      <w:r>
        <w:rPr>
          <w:sz w:val="24"/>
        </w:rPr>
        <w:t>A.</w:t>
      </w:r>
      <w:r>
        <w:rPr>
          <w:spacing w:val="-4"/>
          <w:sz w:val="24"/>
        </w:rPr>
        <w:t> </w:t>
      </w:r>
      <w:r>
        <w:rPr>
          <w:sz w:val="24"/>
        </w:rPr>
        <w:t>W.</w:t>
      </w:r>
      <w:r>
        <w:rPr>
          <w:spacing w:val="-4"/>
          <w:sz w:val="24"/>
        </w:rPr>
        <w:t> </w:t>
      </w:r>
      <w:r>
        <w:rPr>
          <w:sz w:val="24"/>
        </w:rPr>
        <w:t>Phillips,</w:t>
      </w:r>
      <w:r>
        <w:rPr>
          <w:spacing w:val="-4"/>
          <w:sz w:val="24"/>
        </w:rPr>
        <w:t> </w:t>
      </w:r>
      <w:r>
        <w:rPr>
          <w:sz w:val="24"/>
        </w:rPr>
        <w:t>D.</w:t>
      </w:r>
      <w:r>
        <w:rPr>
          <w:spacing w:val="-4"/>
          <w:sz w:val="24"/>
        </w:rPr>
        <w:t> </w:t>
      </w:r>
      <w:r>
        <w:rPr>
          <w:sz w:val="24"/>
        </w:rPr>
        <w:t>Gallup,</w:t>
      </w:r>
      <w:r>
        <w:rPr>
          <w:spacing w:val="-4"/>
          <w:sz w:val="24"/>
        </w:rPr>
        <w:t> </w:t>
      </w:r>
      <w:r>
        <w:rPr>
          <w:sz w:val="24"/>
        </w:rPr>
        <w:t>and</w:t>
      </w:r>
      <w:r>
        <w:rPr>
          <w:spacing w:val="-4"/>
          <w:sz w:val="24"/>
        </w:rPr>
        <w:t> </w:t>
      </w:r>
      <w:r>
        <w:rPr>
          <w:sz w:val="24"/>
        </w:rPr>
        <w:t>D.</w:t>
      </w:r>
      <w:r>
        <w:rPr>
          <w:spacing w:val="-4"/>
          <w:sz w:val="24"/>
        </w:rPr>
        <w:t> </w:t>
      </w:r>
      <w:r>
        <w:rPr>
          <w:sz w:val="24"/>
        </w:rPr>
        <w:t>Lynes, </w:t>
      </w:r>
      <w:r>
        <w:rPr>
          <w:i/>
          <w:sz w:val="24"/>
        </w:rPr>
        <w:t>Contingency</w:t>
      </w:r>
      <w:r>
        <w:rPr>
          <w:i/>
          <w:spacing w:val="-5"/>
          <w:sz w:val="24"/>
        </w:rPr>
        <w:t> </w:t>
      </w:r>
      <w:r>
        <w:rPr>
          <w:i/>
          <w:sz w:val="24"/>
        </w:rPr>
        <w:t>Planning Guide for Federal Information Systems</w:t>
      </w:r>
      <w:r>
        <w:rPr>
          <w:sz w:val="24"/>
        </w:rPr>
        <w:t>, NIST Special Publication 800-34 Rev. 1, National Institute of Standards and Technology, 2010.</w:t>
      </w:r>
    </w:p>
    <w:p>
      <w:pPr>
        <w:pStyle w:val="ListParagraph"/>
        <w:spacing w:after="0" w:line="278" w:lineRule="auto"/>
        <w:jc w:val="left"/>
        <w:rPr>
          <w:sz w:val="24"/>
        </w:rPr>
        <w:sectPr>
          <w:footerReference w:type="default" r:id="rId5"/>
          <w:type w:val="continuous"/>
          <w:pgSz w:w="12240" w:h="15840"/>
          <w:pgMar w:header="0" w:footer="2871" w:top="1380" w:bottom="3060" w:left="1440" w:right="1440"/>
          <w:pgNumType w:start="1"/>
        </w:sectPr>
      </w:pPr>
    </w:p>
    <w:p>
      <w:pPr>
        <w:pStyle w:val="ListParagraph"/>
        <w:numPr>
          <w:ilvl w:val="0"/>
          <w:numId w:val="1"/>
        </w:numPr>
        <w:tabs>
          <w:tab w:pos="339" w:val="left" w:leader="none"/>
        </w:tabs>
        <w:spacing w:line="278" w:lineRule="auto" w:before="61" w:after="0"/>
        <w:ind w:left="0" w:right="325" w:firstLine="0"/>
        <w:jc w:val="left"/>
        <w:rPr>
          <w:sz w:val="24"/>
        </w:rPr>
      </w:pPr>
      <w:r>
        <w:rPr>
          <w:sz w:val="24"/>
        </w:rPr>
        <w:t>International</w:t>
      </w:r>
      <w:r>
        <w:rPr>
          <w:spacing w:val="-6"/>
          <w:sz w:val="24"/>
        </w:rPr>
        <w:t> </w:t>
      </w:r>
      <w:r>
        <w:rPr>
          <w:sz w:val="24"/>
        </w:rPr>
        <w:t>Organization</w:t>
      </w:r>
      <w:r>
        <w:rPr>
          <w:spacing w:val="-5"/>
          <w:sz w:val="24"/>
        </w:rPr>
        <w:t> </w:t>
      </w:r>
      <w:r>
        <w:rPr>
          <w:sz w:val="24"/>
        </w:rPr>
        <w:t>for</w:t>
      </w:r>
      <w:r>
        <w:rPr>
          <w:spacing w:val="-5"/>
          <w:sz w:val="24"/>
        </w:rPr>
        <w:t> </w:t>
      </w:r>
      <w:r>
        <w:rPr>
          <w:sz w:val="24"/>
        </w:rPr>
        <w:t>Standardization,</w:t>
      </w:r>
      <w:r>
        <w:rPr>
          <w:spacing w:val="-2"/>
          <w:sz w:val="24"/>
        </w:rPr>
        <w:t> </w:t>
      </w:r>
      <w:r>
        <w:rPr>
          <w:i/>
          <w:sz w:val="24"/>
        </w:rPr>
        <w:t>ISO</w:t>
      </w:r>
      <w:r>
        <w:rPr>
          <w:i/>
          <w:spacing w:val="-4"/>
          <w:sz w:val="24"/>
        </w:rPr>
        <w:t> </w:t>
      </w:r>
      <w:r>
        <w:rPr>
          <w:i/>
          <w:sz w:val="24"/>
        </w:rPr>
        <w:t>22301:2019</w:t>
      </w:r>
      <w:r>
        <w:rPr>
          <w:i/>
          <w:spacing w:val="-5"/>
          <w:sz w:val="24"/>
        </w:rPr>
        <w:t> </w:t>
      </w:r>
      <w:r>
        <w:rPr>
          <w:i/>
          <w:sz w:val="24"/>
        </w:rPr>
        <w:t>Security</w:t>
      </w:r>
      <w:r>
        <w:rPr>
          <w:i/>
          <w:spacing w:val="-6"/>
          <w:sz w:val="24"/>
        </w:rPr>
        <w:t> </w:t>
      </w:r>
      <w:r>
        <w:rPr>
          <w:i/>
          <w:sz w:val="24"/>
        </w:rPr>
        <w:t>and</w:t>
      </w:r>
      <w:r>
        <w:rPr>
          <w:i/>
          <w:spacing w:val="-5"/>
          <w:sz w:val="24"/>
        </w:rPr>
        <w:t> </w:t>
      </w:r>
      <w:r>
        <w:rPr>
          <w:i/>
          <w:sz w:val="24"/>
        </w:rPr>
        <w:t>resilience</w:t>
      </w:r>
      <w:r>
        <w:rPr>
          <w:i/>
          <w:spacing w:val="-3"/>
          <w:sz w:val="24"/>
        </w:rPr>
        <w:t> </w:t>
      </w:r>
      <w:r>
        <w:rPr>
          <w:i/>
          <w:sz w:val="24"/>
        </w:rPr>
        <w:t>— Business continuity management systems — Requirements</w:t>
      </w:r>
      <w:r>
        <w:rPr>
          <w:sz w:val="24"/>
        </w:rPr>
        <w:t>, ISO, 2019.</w:t>
      </w:r>
    </w:p>
    <w:p>
      <w:pPr>
        <w:pStyle w:val="ListParagraph"/>
        <w:numPr>
          <w:ilvl w:val="0"/>
          <w:numId w:val="1"/>
        </w:numPr>
        <w:tabs>
          <w:tab w:pos="339" w:val="left" w:leader="none"/>
        </w:tabs>
        <w:spacing w:line="240" w:lineRule="auto" w:before="160" w:after="0"/>
        <w:ind w:left="339" w:right="0" w:hanging="339"/>
        <w:jc w:val="left"/>
        <w:rPr>
          <w:i/>
          <w:sz w:val="24"/>
        </w:rPr>
      </w:pPr>
      <w:r>
        <w:rPr>
          <w:sz w:val="24"/>
        </w:rPr>
        <w:t>International</w:t>
      </w:r>
      <w:r>
        <w:rPr>
          <w:spacing w:val="-7"/>
          <w:sz w:val="24"/>
        </w:rPr>
        <w:t> </w:t>
      </w:r>
      <w:r>
        <w:rPr>
          <w:sz w:val="24"/>
        </w:rPr>
        <w:t>Organization</w:t>
      </w:r>
      <w:r>
        <w:rPr>
          <w:spacing w:val="-3"/>
          <w:sz w:val="24"/>
        </w:rPr>
        <w:t> </w:t>
      </w:r>
      <w:r>
        <w:rPr>
          <w:sz w:val="24"/>
        </w:rPr>
        <w:t>for</w:t>
      </w:r>
      <w:r>
        <w:rPr>
          <w:spacing w:val="-2"/>
          <w:sz w:val="24"/>
        </w:rPr>
        <w:t> </w:t>
      </w:r>
      <w:r>
        <w:rPr>
          <w:sz w:val="24"/>
        </w:rPr>
        <w:t>Standardization, </w:t>
      </w:r>
      <w:r>
        <w:rPr>
          <w:i/>
          <w:sz w:val="24"/>
        </w:rPr>
        <w:t>ISO/IEC</w:t>
      </w:r>
      <w:r>
        <w:rPr>
          <w:i/>
          <w:spacing w:val="-2"/>
          <w:sz w:val="24"/>
        </w:rPr>
        <w:t> </w:t>
      </w:r>
      <w:r>
        <w:rPr>
          <w:i/>
          <w:sz w:val="24"/>
        </w:rPr>
        <w:t>27031:2011</w:t>
      </w:r>
      <w:r>
        <w:rPr>
          <w:i/>
          <w:spacing w:val="-3"/>
          <w:sz w:val="24"/>
        </w:rPr>
        <w:t> </w:t>
      </w:r>
      <w:r>
        <w:rPr>
          <w:i/>
          <w:sz w:val="24"/>
        </w:rPr>
        <w:t>Information</w:t>
      </w:r>
      <w:r>
        <w:rPr>
          <w:i/>
          <w:spacing w:val="-2"/>
          <w:sz w:val="24"/>
        </w:rPr>
        <w:t> technology</w:t>
      </w:r>
    </w:p>
    <w:p>
      <w:pPr>
        <w:spacing w:line="283" w:lineRule="auto" w:before="44"/>
        <w:ind w:left="0" w:right="62" w:firstLine="0"/>
        <w:jc w:val="left"/>
        <w:rPr>
          <w:sz w:val="24"/>
        </w:rPr>
      </w:pPr>
      <w:r>
        <w:rPr>
          <w:i/>
          <w:sz w:val="24"/>
        </w:rPr>
        <w:t>—</w:t>
      </w:r>
      <w:r>
        <w:rPr>
          <w:i/>
          <w:spacing w:val="-4"/>
          <w:sz w:val="24"/>
        </w:rPr>
        <w:t> </w:t>
      </w:r>
      <w:r>
        <w:rPr>
          <w:i/>
          <w:sz w:val="24"/>
        </w:rPr>
        <w:t>Security</w:t>
      </w:r>
      <w:r>
        <w:rPr>
          <w:i/>
          <w:spacing w:val="-7"/>
          <w:sz w:val="24"/>
        </w:rPr>
        <w:t> </w:t>
      </w:r>
      <w:r>
        <w:rPr>
          <w:i/>
          <w:sz w:val="24"/>
        </w:rPr>
        <w:t>techniques</w:t>
      </w:r>
      <w:r>
        <w:rPr>
          <w:i/>
          <w:spacing w:val="-3"/>
          <w:sz w:val="24"/>
        </w:rPr>
        <w:t> </w:t>
      </w:r>
      <w:r>
        <w:rPr>
          <w:i/>
          <w:sz w:val="24"/>
        </w:rPr>
        <w:t>—</w:t>
      </w:r>
      <w:r>
        <w:rPr>
          <w:i/>
          <w:spacing w:val="-4"/>
          <w:sz w:val="24"/>
        </w:rPr>
        <w:t> </w:t>
      </w:r>
      <w:r>
        <w:rPr>
          <w:i/>
          <w:sz w:val="24"/>
        </w:rPr>
        <w:t>Guidelines</w:t>
      </w:r>
      <w:r>
        <w:rPr>
          <w:i/>
          <w:spacing w:val="-4"/>
          <w:sz w:val="24"/>
        </w:rPr>
        <w:t> </w:t>
      </w:r>
      <w:r>
        <w:rPr>
          <w:i/>
          <w:sz w:val="24"/>
        </w:rPr>
        <w:t>for</w:t>
      </w:r>
      <w:r>
        <w:rPr>
          <w:i/>
          <w:spacing w:val="-4"/>
          <w:sz w:val="24"/>
        </w:rPr>
        <w:t> </w:t>
      </w:r>
      <w:r>
        <w:rPr>
          <w:i/>
          <w:sz w:val="24"/>
        </w:rPr>
        <w:t>information</w:t>
      </w:r>
      <w:r>
        <w:rPr>
          <w:i/>
          <w:spacing w:val="-2"/>
          <w:sz w:val="24"/>
        </w:rPr>
        <w:t> </w:t>
      </w:r>
      <w:r>
        <w:rPr>
          <w:i/>
          <w:sz w:val="24"/>
        </w:rPr>
        <w:t>and</w:t>
      </w:r>
      <w:r>
        <w:rPr>
          <w:i/>
          <w:spacing w:val="-5"/>
          <w:sz w:val="24"/>
        </w:rPr>
        <w:t> </w:t>
      </w:r>
      <w:r>
        <w:rPr>
          <w:i/>
          <w:sz w:val="24"/>
        </w:rPr>
        <w:t>communication</w:t>
      </w:r>
      <w:r>
        <w:rPr>
          <w:i/>
          <w:spacing w:val="-5"/>
          <w:sz w:val="24"/>
        </w:rPr>
        <w:t> </w:t>
      </w:r>
      <w:r>
        <w:rPr>
          <w:i/>
          <w:sz w:val="24"/>
        </w:rPr>
        <w:t>technology</w:t>
      </w:r>
      <w:r>
        <w:rPr>
          <w:i/>
          <w:spacing w:val="-7"/>
          <w:sz w:val="24"/>
        </w:rPr>
        <w:t> </w:t>
      </w:r>
      <w:r>
        <w:rPr>
          <w:i/>
          <w:sz w:val="24"/>
        </w:rPr>
        <w:t>readiness for business continuity</w:t>
      </w:r>
      <w:r>
        <w:rPr>
          <w:sz w:val="24"/>
        </w:rPr>
        <w:t>, ISO, 2011.</w:t>
      </w:r>
    </w:p>
    <w:p>
      <w:pPr>
        <w:pStyle w:val="Heading1"/>
        <w:spacing w:before="157"/>
      </w:pPr>
      <w:r>
        <w:rPr/>
        <w:t>Final Combined</w:t>
      </w:r>
      <w:r>
        <w:rPr>
          <w:spacing w:val="-2"/>
        </w:rPr>
        <w:t> </w:t>
      </w:r>
      <w:r>
        <w:rPr/>
        <w:t>References </w:t>
      </w:r>
      <w:r>
        <w:rPr>
          <w:spacing w:val="-4"/>
        </w:rPr>
        <w:t>List</w:t>
      </w:r>
    </w:p>
    <w:p>
      <w:pPr>
        <w:pStyle w:val="ListParagraph"/>
        <w:numPr>
          <w:ilvl w:val="0"/>
          <w:numId w:val="2"/>
        </w:numPr>
        <w:tabs>
          <w:tab w:pos="240" w:val="left" w:leader="none"/>
        </w:tabs>
        <w:spacing w:line="240" w:lineRule="auto" w:before="211" w:after="0"/>
        <w:ind w:left="240" w:right="0" w:hanging="240"/>
        <w:jc w:val="left"/>
        <w:rPr>
          <w:sz w:val="24"/>
        </w:rPr>
      </w:pPr>
      <w:r>
        <w:rPr>
          <w:sz w:val="24"/>
        </w:rPr>
        <w:t>Vansh’s</w:t>
      </w:r>
      <w:r>
        <w:rPr>
          <w:spacing w:val="-4"/>
          <w:sz w:val="24"/>
        </w:rPr>
        <w:t> </w:t>
      </w:r>
      <w:r>
        <w:rPr>
          <w:sz w:val="24"/>
        </w:rPr>
        <w:t>Reference</w:t>
      </w:r>
      <w:r>
        <w:rPr>
          <w:spacing w:val="-6"/>
          <w:sz w:val="24"/>
        </w:rPr>
        <w:t> </w:t>
      </w:r>
      <w:r>
        <w:rPr>
          <w:spacing w:val="-2"/>
          <w:sz w:val="24"/>
        </w:rPr>
        <w:t>source</w:t>
      </w:r>
    </w:p>
    <w:p>
      <w:pPr>
        <w:pStyle w:val="ListParagraph"/>
        <w:numPr>
          <w:ilvl w:val="0"/>
          <w:numId w:val="3"/>
        </w:numPr>
        <w:tabs>
          <w:tab w:pos="339" w:val="left" w:leader="none"/>
        </w:tabs>
        <w:spacing w:line="278" w:lineRule="auto" w:before="204" w:after="0"/>
        <w:ind w:left="0" w:right="245" w:firstLine="0"/>
        <w:jc w:val="left"/>
        <w:rPr>
          <w:sz w:val="24"/>
        </w:rPr>
      </w:pPr>
      <w:r>
        <w:rPr>
          <w:sz w:val="24"/>
        </w:rPr>
        <w:t>M.</w:t>
      </w:r>
      <w:r>
        <w:rPr>
          <w:spacing w:val="-4"/>
          <w:sz w:val="24"/>
        </w:rPr>
        <w:t> </w:t>
      </w:r>
      <w:r>
        <w:rPr>
          <w:sz w:val="24"/>
        </w:rPr>
        <w:t>Swanson,</w:t>
      </w:r>
      <w:r>
        <w:rPr>
          <w:spacing w:val="-4"/>
          <w:sz w:val="24"/>
        </w:rPr>
        <w:t> </w:t>
      </w:r>
      <w:r>
        <w:rPr>
          <w:sz w:val="24"/>
        </w:rPr>
        <w:t>P.</w:t>
      </w:r>
      <w:r>
        <w:rPr>
          <w:spacing w:val="-4"/>
          <w:sz w:val="24"/>
        </w:rPr>
        <w:t> </w:t>
      </w:r>
      <w:r>
        <w:rPr>
          <w:sz w:val="24"/>
        </w:rPr>
        <w:t>Bowen,</w:t>
      </w:r>
      <w:r>
        <w:rPr>
          <w:spacing w:val="-4"/>
          <w:sz w:val="24"/>
        </w:rPr>
        <w:t> </w:t>
      </w:r>
      <w:r>
        <w:rPr>
          <w:sz w:val="24"/>
        </w:rPr>
        <w:t>A.</w:t>
      </w:r>
      <w:r>
        <w:rPr>
          <w:spacing w:val="-4"/>
          <w:sz w:val="24"/>
        </w:rPr>
        <w:t> </w:t>
      </w:r>
      <w:r>
        <w:rPr>
          <w:sz w:val="24"/>
        </w:rPr>
        <w:t>Phillips,</w:t>
      </w:r>
      <w:r>
        <w:rPr>
          <w:spacing w:val="-4"/>
          <w:sz w:val="24"/>
        </w:rPr>
        <w:t> </w:t>
      </w:r>
      <w:r>
        <w:rPr>
          <w:sz w:val="24"/>
        </w:rPr>
        <w:t>D.</w:t>
      </w:r>
      <w:r>
        <w:rPr>
          <w:spacing w:val="-4"/>
          <w:sz w:val="24"/>
        </w:rPr>
        <w:t> </w:t>
      </w:r>
      <w:r>
        <w:rPr>
          <w:sz w:val="24"/>
        </w:rPr>
        <w:t>Gallup,</w:t>
      </w:r>
      <w:r>
        <w:rPr>
          <w:spacing w:val="-1"/>
          <w:sz w:val="24"/>
        </w:rPr>
        <w:t> </w:t>
      </w:r>
      <w:r>
        <w:rPr>
          <w:sz w:val="24"/>
        </w:rPr>
        <w:t>and</w:t>
      </w:r>
      <w:r>
        <w:rPr>
          <w:spacing w:val="-4"/>
          <w:sz w:val="24"/>
        </w:rPr>
        <w:t> </w:t>
      </w:r>
      <w:r>
        <w:rPr>
          <w:sz w:val="24"/>
        </w:rPr>
        <w:t>D.</w:t>
      </w:r>
      <w:r>
        <w:rPr>
          <w:spacing w:val="-4"/>
          <w:sz w:val="24"/>
        </w:rPr>
        <w:t> </w:t>
      </w:r>
      <w:r>
        <w:rPr>
          <w:sz w:val="24"/>
        </w:rPr>
        <w:t>Lynes,</w:t>
      </w:r>
      <w:r>
        <w:rPr>
          <w:spacing w:val="-4"/>
          <w:sz w:val="24"/>
        </w:rPr>
        <w:t> </w:t>
      </w:r>
      <w:r>
        <w:rPr>
          <w:sz w:val="24"/>
        </w:rPr>
        <w:t>Contingency</w:t>
      </w:r>
      <w:r>
        <w:rPr>
          <w:spacing w:val="-4"/>
          <w:sz w:val="24"/>
        </w:rPr>
        <w:t> </w:t>
      </w:r>
      <w:r>
        <w:rPr>
          <w:sz w:val="24"/>
        </w:rPr>
        <w:t>Planning</w:t>
      </w:r>
      <w:r>
        <w:rPr>
          <w:spacing w:val="-1"/>
          <w:sz w:val="24"/>
        </w:rPr>
        <w:t> </w:t>
      </w:r>
      <w:r>
        <w:rPr>
          <w:sz w:val="24"/>
        </w:rPr>
        <w:t>Guide </w:t>
      </w:r>
      <w:r>
        <w:rPr>
          <w:spacing w:val="-4"/>
          <w:sz w:val="24"/>
        </w:rPr>
        <w:t>for</w:t>
      </w:r>
    </w:p>
    <w:p>
      <w:pPr>
        <w:pStyle w:val="BodyText"/>
        <w:spacing w:line="417" w:lineRule="auto" w:before="159"/>
      </w:pPr>
      <w:r>
        <w:rPr/>
        <w:t>Federal</w:t>
      </w:r>
      <w:r>
        <w:rPr>
          <w:spacing w:val="-6"/>
        </w:rPr>
        <w:t> </w:t>
      </w:r>
      <w:r>
        <w:rPr/>
        <w:t>Information</w:t>
      </w:r>
      <w:r>
        <w:rPr>
          <w:spacing w:val="-4"/>
        </w:rPr>
        <w:t> </w:t>
      </w:r>
      <w:r>
        <w:rPr/>
        <w:t>Systems,</w:t>
      </w:r>
      <w:r>
        <w:rPr>
          <w:spacing w:val="-4"/>
        </w:rPr>
        <w:t> </w:t>
      </w:r>
      <w:r>
        <w:rPr/>
        <w:t>NIST</w:t>
      </w:r>
      <w:r>
        <w:rPr>
          <w:spacing w:val="-6"/>
        </w:rPr>
        <w:t> </w:t>
      </w:r>
      <w:r>
        <w:rPr/>
        <w:t>Special</w:t>
      </w:r>
      <w:r>
        <w:rPr>
          <w:spacing w:val="-6"/>
        </w:rPr>
        <w:t> </w:t>
      </w:r>
      <w:r>
        <w:rPr/>
        <w:t>Publication</w:t>
      </w:r>
      <w:r>
        <w:rPr>
          <w:spacing w:val="-4"/>
        </w:rPr>
        <w:t> </w:t>
      </w:r>
      <w:r>
        <w:rPr/>
        <w:t>800-34</w:t>
      </w:r>
      <w:r>
        <w:rPr>
          <w:spacing w:val="-4"/>
        </w:rPr>
        <w:t> </w:t>
      </w:r>
      <w:r>
        <w:rPr/>
        <w:t>Rev.</w:t>
      </w:r>
      <w:r>
        <w:rPr>
          <w:spacing w:val="-4"/>
        </w:rPr>
        <w:t> </w:t>
      </w:r>
      <w:r>
        <w:rPr/>
        <w:t>1,</w:t>
      </w:r>
      <w:r>
        <w:rPr>
          <w:spacing w:val="-4"/>
        </w:rPr>
        <w:t> </w:t>
      </w:r>
      <w:r>
        <w:rPr/>
        <w:t>National</w:t>
      </w:r>
      <w:r>
        <w:rPr>
          <w:spacing w:val="-6"/>
        </w:rPr>
        <w:t> </w:t>
      </w:r>
      <w:r>
        <w:rPr/>
        <w:t>Institute</w:t>
      </w:r>
      <w:r>
        <w:rPr>
          <w:spacing w:val="-6"/>
        </w:rPr>
        <w:t> </w:t>
      </w:r>
      <w:r>
        <w:rPr/>
        <w:t>of Standards and Technology, 2010.</w:t>
      </w:r>
    </w:p>
    <w:p>
      <w:pPr>
        <w:pStyle w:val="ListParagraph"/>
        <w:numPr>
          <w:ilvl w:val="0"/>
          <w:numId w:val="3"/>
        </w:numPr>
        <w:tabs>
          <w:tab w:pos="339" w:val="left" w:leader="none"/>
        </w:tabs>
        <w:spacing w:line="278" w:lineRule="auto" w:before="5" w:after="0"/>
        <w:ind w:left="0" w:right="715" w:firstLine="0"/>
        <w:jc w:val="left"/>
        <w:rPr>
          <w:sz w:val="24"/>
        </w:rPr>
      </w:pPr>
      <w:r>
        <w:rPr>
          <w:sz w:val="24"/>
        </w:rPr>
        <w:t>International</w:t>
      </w:r>
      <w:r>
        <w:rPr>
          <w:spacing w:val="-7"/>
          <w:sz w:val="24"/>
        </w:rPr>
        <w:t> </w:t>
      </w:r>
      <w:r>
        <w:rPr>
          <w:sz w:val="24"/>
        </w:rPr>
        <w:t>Organization</w:t>
      </w:r>
      <w:r>
        <w:rPr>
          <w:spacing w:val="-5"/>
          <w:sz w:val="24"/>
        </w:rPr>
        <w:t> </w:t>
      </w:r>
      <w:r>
        <w:rPr>
          <w:sz w:val="24"/>
        </w:rPr>
        <w:t>for</w:t>
      </w:r>
      <w:r>
        <w:rPr>
          <w:spacing w:val="-5"/>
          <w:sz w:val="24"/>
        </w:rPr>
        <w:t> </w:t>
      </w:r>
      <w:r>
        <w:rPr>
          <w:sz w:val="24"/>
        </w:rPr>
        <w:t>Standardization,</w:t>
      </w:r>
      <w:r>
        <w:rPr>
          <w:spacing w:val="-5"/>
          <w:sz w:val="24"/>
        </w:rPr>
        <w:t> </w:t>
      </w:r>
      <w:r>
        <w:rPr>
          <w:sz w:val="24"/>
        </w:rPr>
        <w:t>ISO</w:t>
      </w:r>
      <w:r>
        <w:rPr>
          <w:spacing w:val="-4"/>
          <w:sz w:val="24"/>
        </w:rPr>
        <w:t> </w:t>
      </w:r>
      <w:r>
        <w:rPr>
          <w:sz w:val="24"/>
        </w:rPr>
        <w:t>22301:</w:t>
      </w:r>
      <w:r>
        <w:rPr>
          <w:spacing w:val="-7"/>
          <w:sz w:val="24"/>
        </w:rPr>
        <w:t> </w:t>
      </w:r>
      <w:r>
        <w:rPr>
          <w:sz w:val="24"/>
        </w:rPr>
        <w:t>Security</w:t>
      </w:r>
      <w:r>
        <w:rPr>
          <w:spacing w:val="-5"/>
          <w:sz w:val="24"/>
        </w:rPr>
        <w:t> </w:t>
      </w:r>
      <w:r>
        <w:rPr>
          <w:sz w:val="24"/>
        </w:rPr>
        <w:t>and</w:t>
      </w:r>
      <w:r>
        <w:rPr>
          <w:spacing w:val="-5"/>
          <w:sz w:val="24"/>
        </w:rPr>
        <w:t> </w:t>
      </w:r>
      <w:r>
        <w:rPr>
          <w:sz w:val="24"/>
        </w:rPr>
        <w:t>Resilience — </w:t>
      </w:r>
      <w:r>
        <w:rPr>
          <w:spacing w:val="-2"/>
          <w:sz w:val="24"/>
        </w:rPr>
        <w:t>Business</w:t>
      </w:r>
    </w:p>
    <w:p>
      <w:pPr>
        <w:pStyle w:val="BodyText"/>
        <w:spacing w:before="161"/>
      </w:pPr>
      <w:r>
        <w:rPr/>
        <w:t>Continuity</w:t>
      </w:r>
      <w:r>
        <w:rPr>
          <w:spacing w:val="-2"/>
        </w:rPr>
        <w:t> </w:t>
      </w:r>
      <w:r>
        <w:rPr/>
        <w:t>Management</w:t>
      </w:r>
      <w:r>
        <w:rPr>
          <w:spacing w:val="-3"/>
        </w:rPr>
        <w:t> </w:t>
      </w:r>
      <w:r>
        <w:rPr/>
        <w:t>Systems</w:t>
      </w:r>
      <w:r>
        <w:rPr>
          <w:spacing w:val="1"/>
        </w:rPr>
        <w:t> </w:t>
      </w:r>
      <w:r>
        <w:rPr/>
        <w:t>—</w:t>
      </w:r>
      <w:r>
        <w:rPr>
          <w:spacing w:val="-1"/>
        </w:rPr>
        <w:t> </w:t>
      </w:r>
      <w:r>
        <w:rPr/>
        <w:t>Requirements,</w:t>
      </w:r>
      <w:r>
        <w:rPr>
          <w:spacing w:val="-2"/>
        </w:rPr>
        <w:t> </w:t>
      </w:r>
      <w:r>
        <w:rPr/>
        <w:t>ISO,</w:t>
      </w:r>
      <w:r>
        <w:rPr>
          <w:spacing w:val="-1"/>
        </w:rPr>
        <w:t> </w:t>
      </w:r>
      <w:r>
        <w:rPr>
          <w:spacing w:val="-2"/>
        </w:rPr>
        <w:t>2019.</w:t>
      </w:r>
    </w:p>
    <w:p>
      <w:pPr>
        <w:pStyle w:val="ListParagraph"/>
        <w:numPr>
          <w:ilvl w:val="0"/>
          <w:numId w:val="3"/>
        </w:numPr>
        <w:tabs>
          <w:tab w:pos="339" w:val="left" w:leader="none"/>
        </w:tabs>
        <w:spacing w:line="417" w:lineRule="auto" w:before="204" w:after="0"/>
        <w:ind w:left="0" w:right="184" w:firstLine="0"/>
        <w:jc w:val="left"/>
        <w:rPr>
          <w:sz w:val="24"/>
        </w:rPr>
      </w:pPr>
      <w:r>
        <w:rPr>
          <w:sz w:val="24"/>
        </w:rPr>
        <w:t>Australian</w:t>
      </w:r>
      <w:r>
        <w:rPr>
          <w:spacing w:val="-4"/>
          <w:sz w:val="24"/>
        </w:rPr>
        <w:t> </w:t>
      </w:r>
      <w:r>
        <w:rPr>
          <w:sz w:val="24"/>
        </w:rPr>
        <w:t>Prudential</w:t>
      </w:r>
      <w:r>
        <w:rPr>
          <w:spacing w:val="-6"/>
          <w:sz w:val="24"/>
        </w:rPr>
        <w:t> </w:t>
      </w:r>
      <w:r>
        <w:rPr>
          <w:sz w:val="24"/>
        </w:rPr>
        <w:t>Regulation</w:t>
      </w:r>
      <w:r>
        <w:rPr>
          <w:spacing w:val="-4"/>
          <w:sz w:val="24"/>
        </w:rPr>
        <w:t> </w:t>
      </w:r>
      <w:r>
        <w:rPr>
          <w:sz w:val="24"/>
        </w:rPr>
        <w:t>Authority,</w:t>
      </w:r>
      <w:r>
        <w:rPr>
          <w:spacing w:val="-4"/>
          <w:sz w:val="24"/>
        </w:rPr>
        <w:t> </w:t>
      </w:r>
      <w:r>
        <w:rPr>
          <w:sz w:val="24"/>
        </w:rPr>
        <w:t>Prudential</w:t>
      </w:r>
      <w:r>
        <w:rPr>
          <w:spacing w:val="-6"/>
          <w:sz w:val="24"/>
        </w:rPr>
        <w:t> </w:t>
      </w:r>
      <w:r>
        <w:rPr>
          <w:sz w:val="24"/>
        </w:rPr>
        <w:t>Standard</w:t>
      </w:r>
      <w:r>
        <w:rPr>
          <w:spacing w:val="-4"/>
          <w:sz w:val="24"/>
        </w:rPr>
        <w:t> </w:t>
      </w:r>
      <w:r>
        <w:rPr>
          <w:sz w:val="24"/>
        </w:rPr>
        <w:t>CPS</w:t>
      </w:r>
      <w:r>
        <w:rPr>
          <w:spacing w:val="-4"/>
          <w:sz w:val="24"/>
        </w:rPr>
        <w:t> </w:t>
      </w:r>
      <w:r>
        <w:rPr>
          <w:sz w:val="24"/>
        </w:rPr>
        <w:t>230:</w:t>
      </w:r>
      <w:r>
        <w:rPr>
          <w:spacing w:val="-6"/>
          <w:sz w:val="24"/>
        </w:rPr>
        <w:t> </w:t>
      </w:r>
      <w:r>
        <w:rPr>
          <w:sz w:val="24"/>
        </w:rPr>
        <w:t>Operational</w:t>
      </w:r>
      <w:r>
        <w:rPr>
          <w:spacing w:val="-6"/>
          <w:sz w:val="24"/>
        </w:rPr>
        <w:t> </w:t>
      </w:r>
      <w:r>
        <w:rPr>
          <w:sz w:val="24"/>
        </w:rPr>
        <w:t>Risk Management, APRA, 2023.</w:t>
      </w:r>
    </w:p>
    <w:p>
      <w:pPr>
        <w:pStyle w:val="ListParagraph"/>
        <w:numPr>
          <w:ilvl w:val="0"/>
          <w:numId w:val="3"/>
        </w:numPr>
        <w:tabs>
          <w:tab w:pos="339" w:val="left" w:leader="none"/>
        </w:tabs>
        <w:spacing w:line="276" w:lineRule="exact" w:before="0" w:after="0"/>
        <w:ind w:left="339" w:right="0" w:hanging="339"/>
        <w:jc w:val="left"/>
        <w:rPr>
          <w:sz w:val="24"/>
        </w:rPr>
      </w:pPr>
      <w:r>
        <w:rPr>
          <w:sz w:val="24"/>
        </w:rPr>
        <w:t>GitHub</w:t>
      </w:r>
      <w:r>
        <w:rPr>
          <w:spacing w:val="-4"/>
          <w:sz w:val="24"/>
        </w:rPr>
        <w:t> </w:t>
      </w:r>
      <w:r>
        <w:rPr>
          <w:sz w:val="24"/>
        </w:rPr>
        <w:t>Docs,</w:t>
      </w:r>
      <w:r>
        <w:rPr>
          <w:spacing w:val="-3"/>
          <w:sz w:val="24"/>
        </w:rPr>
        <w:t> </w:t>
      </w:r>
      <w:r>
        <w:rPr>
          <w:sz w:val="24"/>
        </w:rPr>
        <w:t>“Repositories</w:t>
      </w:r>
      <w:r>
        <w:rPr>
          <w:spacing w:val="-3"/>
          <w:sz w:val="24"/>
        </w:rPr>
        <w:t> </w:t>
      </w:r>
      <w:r>
        <w:rPr>
          <w:sz w:val="24"/>
        </w:rPr>
        <w:t>documentation,” GitHub,</w:t>
      </w:r>
      <w:r>
        <w:rPr>
          <w:spacing w:val="-3"/>
          <w:sz w:val="24"/>
        </w:rPr>
        <w:t> </w:t>
      </w:r>
      <w:r>
        <w:rPr>
          <w:spacing w:val="-2"/>
          <w:sz w:val="24"/>
        </w:rPr>
        <w:t>2026.</w:t>
      </w:r>
    </w:p>
    <w:p>
      <w:pPr>
        <w:pStyle w:val="ListParagraph"/>
        <w:numPr>
          <w:ilvl w:val="0"/>
          <w:numId w:val="3"/>
        </w:numPr>
        <w:tabs>
          <w:tab w:pos="339" w:val="left" w:leader="none"/>
        </w:tabs>
        <w:spacing w:line="240" w:lineRule="auto" w:before="204" w:after="0"/>
        <w:ind w:left="339" w:right="0" w:hanging="339"/>
        <w:jc w:val="left"/>
        <w:rPr>
          <w:sz w:val="24"/>
        </w:rPr>
      </w:pPr>
      <w:r>
        <w:rPr>
          <w:sz w:val="24"/>
        </w:rPr>
        <w:t>Atlassian,</w:t>
      </w:r>
      <w:r>
        <w:rPr>
          <w:spacing w:val="-6"/>
          <w:sz w:val="24"/>
        </w:rPr>
        <w:t> </w:t>
      </w:r>
      <w:r>
        <w:rPr>
          <w:sz w:val="24"/>
        </w:rPr>
        <w:t>“Jira</w:t>
      </w:r>
      <w:r>
        <w:rPr>
          <w:spacing w:val="-5"/>
          <w:sz w:val="24"/>
        </w:rPr>
        <w:t> </w:t>
      </w:r>
      <w:r>
        <w:rPr>
          <w:sz w:val="24"/>
        </w:rPr>
        <w:t>project management</w:t>
      </w:r>
      <w:r>
        <w:rPr>
          <w:spacing w:val="-5"/>
          <w:sz w:val="24"/>
        </w:rPr>
        <w:t> </w:t>
      </w:r>
      <w:r>
        <w:rPr>
          <w:sz w:val="24"/>
        </w:rPr>
        <w:t>and</w:t>
      </w:r>
      <w:r>
        <w:rPr>
          <w:spacing w:val="-4"/>
          <w:sz w:val="24"/>
        </w:rPr>
        <w:t> </w:t>
      </w:r>
      <w:r>
        <w:rPr>
          <w:sz w:val="24"/>
        </w:rPr>
        <w:t>team collaboration</w:t>
      </w:r>
      <w:r>
        <w:rPr>
          <w:spacing w:val="-3"/>
          <w:sz w:val="24"/>
        </w:rPr>
        <w:t> </w:t>
      </w:r>
      <w:r>
        <w:rPr>
          <w:sz w:val="24"/>
        </w:rPr>
        <w:t>software,”</w:t>
      </w:r>
      <w:r>
        <w:rPr>
          <w:spacing w:val="-5"/>
          <w:sz w:val="24"/>
        </w:rPr>
        <w:t> </w:t>
      </w:r>
      <w:r>
        <w:rPr>
          <w:sz w:val="24"/>
        </w:rPr>
        <w:t>Atlassian,</w:t>
      </w:r>
      <w:r>
        <w:rPr>
          <w:spacing w:val="-3"/>
          <w:sz w:val="24"/>
        </w:rPr>
        <w:t> </w:t>
      </w:r>
      <w:r>
        <w:rPr>
          <w:spacing w:val="-4"/>
          <w:sz w:val="24"/>
        </w:rPr>
        <w:t>2026</w:t>
      </w:r>
    </w:p>
    <w:p>
      <w:pPr>
        <w:pStyle w:val="ListParagraph"/>
        <w:numPr>
          <w:ilvl w:val="0"/>
          <w:numId w:val="2"/>
        </w:numPr>
        <w:tabs>
          <w:tab w:pos="240" w:val="left" w:leader="none"/>
        </w:tabs>
        <w:spacing w:line="240" w:lineRule="auto" w:before="209" w:after="0"/>
        <w:ind w:left="240" w:right="0" w:hanging="240"/>
        <w:jc w:val="left"/>
        <w:rPr>
          <w:sz w:val="24"/>
        </w:rPr>
      </w:pPr>
      <w:r>
        <w:rPr>
          <w:sz w:val="24"/>
        </w:rPr>
        <w:t>Sifat’s</w:t>
      </w:r>
      <w:r>
        <w:rPr>
          <w:spacing w:val="-5"/>
          <w:sz w:val="24"/>
        </w:rPr>
        <w:t> </w:t>
      </w:r>
      <w:r>
        <w:rPr>
          <w:sz w:val="24"/>
        </w:rPr>
        <w:t>Reference</w:t>
      </w:r>
      <w:r>
        <w:rPr>
          <w:spacing w:val="-6"/>
          <w:sz w:val="24"/>
        </w:rPr>
        <w:t> </w:t>
      </w:r>
      <w:r>
        <w:rPr>
          <w:spacing w:val="-2"/>
          <w:sz w:val="24"/>
        </w:rPr>
        <w:t>source</w:t>
      </w:r>
    </w:p>
    <w:p>
      <w:pPr>
        <w:pStyle w:val="ListParagraph"/>
        <w:numPr>
          <w:ilvl w:val="0"/>
          <w:numId w:val="4"/>
        </w:numPr>
        <w:tabs>
          <w:tab w:pos="339" w:val="left" w:leader="none"/>
        </w:tabs>
        <w:spacing w:line="278" w:lineRule="auto" w:before="204" w:after="0"/>
        <w:ind w:left="0" w:right="524" w:firstLine="0"/>
        <w:jc w:val="left"/>
        <w:rPr>
          <w:sz w:val="24"/>
        </w:rPr>
      </w:pPr>
      <w:r>
        <w:rPr>
          <w:sz w:val="24"/>
        </w:rPr>
        <w:t>M.</w:t>
      </w:r>
      <w:r>
        <w:rPr>
          <w:spacing w:val="-4"/>
          <w:sz w:val="24"/>
        </w:rPr>
        <w:t> </w:t>
      </w:r>
      <w:r>
        <w:rPr>
          <w:sz w:val="24"/>
        </w:rPr>
        <w:t>Swanson,</w:t>
      </w:r>
      <w:r>
        <w:rPr>
          <w:spacing w:val="-4"/>
          <w:sz w:val="24"/>
        </w:rPr>
        <w:t> </w:t>
      </w:r>
      <w:r>
        <w:rPr>
          <w:sz w:val="24"/>
        </w:rPr>
        <w:t>P.</w:t>
      </w:r>
      <w:r>
        <w:rPr>
          <w:spacing w:val="-4"/>
          <w:sz w:val="24"/>
        </w:rPr>
        <w:t> </w:t>
      </w:r>
      <w:r>
        <w:rPr>
          <w:sz w:val="24"/>
        </w:rPr>
        <w:t>Bowen,</w:t>
      </w:r>
      <w:r>
        <w:rPr>
          <w:spacing w:val="-4"/>
          <w:sz w:val="24"/>
        </w:rPr>
        <w:t> </w:t>
      </w:r>
      <w:r>
        <w:rPr>
          <w:sz w:val="24"/>
        </w:rPr>
        <w:t>A.</w:t>
      </w:r>
      <w:r>
        <w:rPr>
          <w:spacing w:val="-4"/>
          <w:sz w:val="24"/>
        </w:rPr>
        <w:t> </w:t>
      </w:r>
      <w:r>
        <w:rPr>
          <w:sz w:val="24"/>
        </w:rPr>
        <w:t>W.</w:t>
      </w:r>
      <w:r>
        <w:rPr>
          <w:spacing w:val="-4"/>
          <w:sz w:val="24"/>
        </w:rPr>
        <w:t> </w:t>
      </w:r>
      <w:r>
        <w:rPr>
          <w:sz w:val="24"/>
        </w:rPr>
        <w:t>Phillips,</w:t>
      </w:r>
      <w:r>
        <w:rPr>
          <w:spacing w:val="-4"/>
          <w:sz w:val="24"/>
        </w:rPr>
        <w:t> </w:t>
      </w:r>
      <w:r>
        <w:rPr>
          <w:sz w:val="24"/>
        </w:rPr>
        <w:t>D.</w:t>
      </w:r>
      <w:r>
        <w:rPr>
          <w:spacing w:val="-4"/>
          <w:sz w:val="24"/>
        </w:rPr>
        <w:t> </w:t>
      </w:r>
      <w:r>
        <w:rPr>
          <w:sz w:val="24"/>
        </w:rPr>
        <w:t>Gallup,</w:t>
      </w:r>
      <w:r>
        <w:rPr>
          <w:spacing w:val="-4"/>
          <w:sz w:val="24"/>
        </w:rPr>
        <w:t> </w:t>
      </w:r>
      <w:r>
        <w:rPr>
          <w:sz w:val="24"/>
        </w:rPr>
        <w:t>and</w:t>
      </w:r>
      <w:r>
        <w:rPr>
          <w:spacing w:val="-4"/>
          <w:sz w:val="24"/>
        </w:rPr>
        <w:t> </w:t>
      </w:r>
      <w:r>
        <w:rPr>
          <w:sz w:val="24"/>
        </w:rPr>
        <w:t>D.</w:t>
      </w:r>
      <w:r>
        <w:rPr>
          <w:spacing w:val="-4"/>
          <w:sz w:val="24"/>
        </w:rPr>
        <w:t> </w:t>
      </w:r>
      <w:r>
        <w:rPr>
          <w:sz w:val="24"/>
        </w:rPr>
        <w:t>Lynes, </w:t>
      </w:r>
      <w:r>
        <w:rPr>
          <w:i/>
          <w:sz w:val="24"/>
        </w:rPr>
        <w:t>Contingency</w:t>
      </w:r>
      <w:r>
        <w:rPr>
          <w:i/>
          <w:spacing w:val="-5"/>
          <w:sz w:val="24"/>
        </w:rPr>
        <w:t> </w:t>
      </w:r>
      <w:r>
        <w:rPr>
          <w:i/>
          <w:sz w:val="24"/>
        </w:rPr>
        <w:t>Planning Guide for Federal Information Systems</w:t>
      </w:r>
      <w:r>
        <w:rPr>
          <w:sz w:val="24"/>
        </w:rPr>
        <w:t>, NIST Special Publication 800-34 Rev. 1, National Institute of Standards and Technology, 2010.</w:t>
      </w:r>
    </w:p>
    <w:p>
      <w:pPr>
        <w:pStyle w:val="ListParagraph"/>
        <w:numPr>
          <w:ilvl w:val="0"/>
          <w:numId w:val="4"/>
        </w:numPr>
        <w:tabs>
          <w:tab w:pos="339" w:val="left" w:leader="none"/>
        </w:tabs>
        <w:spacing w:line="278" w:lineRule="auto" w:before="160" w:after="0"/>
        <w:ind w:left="0" w:right="325" w:firstLine="0"/>
        <w:jc w:val="left"/>
        <w:rPr>
          <w:sz w:val="24"/>
        </w:rPr>
      </w:pPr>
      <w:r>
        <w:rPr>
          <w:sz w:val="24"/>
        </w:rPr>
        <w:t>International</w:t>
      </w:r>
      <w:r>
        <w:rPr>
          <w:spacing w:val="-6"/>
          <w:sz w:val="24"/>
        </w:rPr>
        <w:t> </w:t>
      </w:r>
      <w:r>
        <w:rPr>
          <w:sz w:val="24"/>
        </w:rPr>
        <w:t>Organization</w:t>
      </w:r>
      <w:r>
        <w:rPr>
          <w:spacing w:val="-5"/>
          <w:sz w:val="24"/>
        </w:rPr>
        <w:t> </w:t>
      </w:r>
      <w:r>
        <w:rPr>
          <w:sz w:val="24"/>
        </w:rPr>
        <w:t>for</w:t>
      </w:r>
      <w:r>
        <w:rPr>
          <w:spacing w:val="-5"/>
          <w:sz w:val="24"/>
        </w:rPr>
        <w:t> </w:t>
      </w:r>
      <w:r>
        <w:rPr>
          <w:sz w:val="24"/>
        </w:rPr>
        <w:t>Standardization,</w:t>
      </w:r>
      <w:r>
        <w:rPr>
          <w:spacing w:val="-2"/>
          <w:sz w:val="24"/>
        </w:rPr>
        <w:t> </w:t>
      </w:r>
      <w:r>
        <w:rPr>
          <w:i/>
          <w:sz w:val="24"/>
        </w:rPr>
        <w:t>ISO</w:t>
      </w:r>
      <w:r>
        <w:rPr>
          <w:i/>
          <w:spacing w:val="-4"/>
          <w:sz w:val="24"/>
        </w:rPr>
        <w:t> </w:t>
      </w:r>
      <w:r>
        <w:rPr>
          <w:i/>
          <w:sz w:val="24"/>
        </w:rPr>
        <w:t>22301:2019</w:t>
      </w:r>
      <w:r>
        <w:rPr>
          <w:i/>
          <w:spacing w:val="-5"/>
          <w:sz w:val="24"/>
        </w:rPr>
        <w:t> </w:t>
      </w:r>
      <w:r>
        <w:rPr>
          <w:i/>
          <w:sz w:val="24"/>
        </w:rPr>
        <w:t>Security</w:t>
      </w:r>
      <w:r>
        <w:rPr>
          <w:i/>
          <w:spacing w:val="-6"/>
          <w:sz w:val="24"/>
        </w:rPr>
        <w:t> </w:t>
      </w:r>
      <w:r>
        <w:rPr>
          <w:i/>
          <w:sz w:val="24"/>
        </w:rPr>
        <w:t>and</w:t>
      </w:r>
      <w:r>
        <w:rPr>
          <w:i/>
          <w:spacing w:val="-5"/>
          <w:sz w:val="24"/>
        </w:rPr>
        <w:t> </w:t>
      </w:r>
      <w:r>
        <w:rPr>
          <w:i/>
          <w:sz w:val="24"/>
        </w:rPr>
        <w:t>resilience</w:t>
      </w:r>
      <w:r>
        <w:rPr>
          <w:i/>
          <w:spacing w:val="-3"/>
          <w:sz w:val="24"/>
        </w:rPr>
        <w:t> </w:t>
      </w:r>
      <w:r>
        <w:rPr>
          <w:i/>
          <w:sz w:val="24"/>
        </w:rPr>
        <w:t>— Business continuity management systems — Requirements</w:t>
      </w:r>
      <w:r>
        <w:rPr>
          <w:sz w:val="24"/>
        </w:rPr>
        <w:t>, ISO, 2019.</w:t>
      </w:r>
    </w:p>
    <w:p>
      <w:pPr>
        <w:pStyle w:val="ListParagraph"/>
        <w:numPr>
          <w:ilvl w:val="0"/>
          <w:numId w:val="4"/>
        </w:numPr>
        <w:tabs>
          <w:tab w:pos="339" w:val="left" w:leader="none"/>
        </w:tabs>
        <w:spacing w:line="240" w:lineRule="auto" w:before="166" w:after="0"/>
        <w:ind w:left="339" w:right="0" w:hanging="339"/>
        <w:jc w:val="left"/>
        <w:rPr>
          <w:i/>
          <w:sz w:val="24"/>
        </w:rPr>
      </w:pPr>
      <w:r>
        <w:rPr>
          <w:sz w:val="24"/>
        </w:rPr>
        <w:t>International</w:t>
      </w:r>
      <w:r>
        <w:rPr>
          <w:spacing w:val="-7"/>
          <w:sz w:val="24"/>
        </w:rPr>
        <w:t> </w:t>
      </w:r>
      <w:r>
        <w:rPr>
          <w:sz w:val="24"/>
        </w:rPr>
        <w:t>Organization</w:t>
      </w:r>
      <w:r>
        <w:rPr>
          <w:spacing w:val="-3"/>
          <w:sz w:val="24"/>
        </w:rPr>
        <w:t> </w:t>
      </w:r>
      <w:r>
        <w:rPr>
          <w:sz w:val="24"/>
        </w:rPr>
        <w:t>for</w:t>
      </w:r>
      <w:r>
        <w:rPr>
          <w:spacing w:val="-2"/>
          <w:sz w:val="24"/>
        </w:rPr>
        <w:t> </w:t>
      </w:r>
      <w:r>
        <w:rPr>
          <w:sz w:val="24"/>
        </w:rPr>
        <w:t>Standardization, </w:t>
      </w:r>
      <w:r>
        <w:rPr>
          <w:i/>
          <w:sz w:val="24"/>
        </w:rPr>
        <w:t>ISO/IEC</w:t>
      </w:r>
      <w:r>
        <w:rPr>
          <w:i/>
          <w:spacing w:val="-2"/>
          <w:sz w:val="24"/>
        </w:rPr>
        <w:t> </w:t>
      </w:r>
      <w:r>
        <w:rPr>
          <w:i/>
          <w:sz w:val="24"/>
        </w:rPr>
        <w:t>27031:2011</w:t>
      </w:r>
      <w:r>
        <w:rPr>
          <w:i/>
          <w:spacing w:val="-3"/>
          <w:sz w:val="24"/>
        </w:rPr>
        <w:t> </w:t>
      </w:r>
      <w:r>
        <w:rPr>
          <w:i/>
          <w:sz w:val="24"/>
        </w:rPr>
        <w:t>Information</w:t>
      </w:r>
      <w:r>
        <w:rPr>
          <w:i/>
          <w:spacing w:val="-2"/>
          <w:sz w:val="24"/>
        </w:rPr>
        <w:t> technology</w:t>
      </w:r>
    </w:p>
    <w:p>
      <w:pPr>
        <w:spacing w:line="278" w:lineRule="auto" w:before="44"/>
        <w:ind w:left="0" w:right="62" w:firstLine="0"/>
        <w:jc w:val="left"/>
        <w:rPr>
          <w:sz w:val="24"/>
        </w:rPr>
      </w:pPr>
      <w:r>
        <w:rPr>
          <w:i/>
          <w:sz w:val="24"/>
        </w:rPr>
        <w:t>—</w:t>
      </w:r>
      <w:r>
        <w:rPr>
          <w:i/>
          <w:spacing w:val="-4"/>
          <w:sz w:val="24"/>
        </w:rPr>
        <w:t> </w:t>
      </w:r>
      <w:r>
        <w:rPr>
          <w:i/>
          <w:sz w:val="24"/>
        </w:rPr>
        <w:t>Security</w:t>
      </w:r>
      <w:r>
        <w:rPr>
          <w:i/>
          <w:spacing w:val="-7"/>
          <w:sz w:val="24"/>
        </w:rPr>
        <w:t> </w:t>
      </w:r>
      <w:r>
        <w:rPr>
          <w:i/>
          <w:sz w:val="24"/>
        </w:rPr>
        <w:t>techniques</w:t>
      </w:r>
      <w:r>
        <w:rPr>
          <w:i/>
          <w:spacing w:val="-3"/>
          <w:sz w:val="24"/>
        </w:rPr>
        <w:t> </w:t>
      </w:r>
      <w:r>
        <w:rPr>
          <w:i/>
          <w:sz w:val="24"/>
        </w:rPr>
        <w:t>—</w:t>
      </w:r>
      <w:r>
        <w:rPr>
          <w:i/>
          <w:spacing w:val="-4"/>
          <w:sz w:val="24"/>
        </w:rPr>
        <w:t> </w:t>
      </w:r>
      <w:r>
        <w:rPr>
          <w:i/>
          <w:sz w:val="24"/>
        </w:rPr>
        <w:t>Guidelines</w:t>
      </w:r>
      <w:r>
        <w:rPr>
          <w:i/>
          <w:spacing w:val="-4"/>
          <w:sz w:val="24"/>
        </w:rPr>
        <w:t> </w:t>
      </w:r>
      <w:r>
        <w:rPr>
          <w:i/>
          <w:sz w:val="24"/>
        </w:rPr>
        <w:t>for</w:t>
      </w:r>
      <w:r>
        <w:rPr>
          <w:i/>
          <w:spacing w:val="-4"/>
          <w:sz w:val="24"/>
        </w:rPr>
        <w:t> </w:t>
      </w:r>
      <w:r>
        <w:rPr>
          <w:i/>
          <w:sz w:val="24"/>
        </w:rPr>
        <w:t>information</w:t>
      </w:r>
      <w:r>
        <w:rPr>
          <w:i/>
          <w:spacing w:val="-2"/>
          <w:sz w:val="24"/>
        </w:rPr>
        <w:t> </w:t>
      </w:r>
      <w:r>
        <w:rPr>
          <w:i/>
          <w:sz w:val="24"/>
        </w:rPr>
        <w:t>and</w:t>
      </w:r>
      <w:r>
        <w:rPr>
          <w:i/>
          <w:spacing w:val="-5"/>
          <w:sz w:val="24"/>
        </w:rPr>
        <w:t> </w:t>
      </w:r>
      <w:r>
        <w:rPr>
          <w:i/>
          <w:sz w:val="24"/>
        </w:rPr>
        <w:t>communication</w:t>
      </w:r>
      <w:r>
        <w:rPr>
          <w:i/>
          <w:spacing w:val="-5"/>
          <w:sz w:val="24"/>
        </w:rPr>
        <w:t> </w:t>
      </w:r>
      <w:r>
        <w:rPr>
          <w:i/>
          <w:sz w:val="24"/>
        </w:rPr>
        <w:t>technology</w:t>
      </w:r>
      <w:r>
        <w:rPr>
          <w:i/>
          <w:spacing w:val="-7"/>
          <w:sz w:val="24"/>
        </w:rPr>
        <w:t> </w:t>
      </w:r>
      <w:r>
        <w:rPr>
          <w:i/>
          <w:sz w:val="24"/>
        </w:rPr>
        <w:t>readiness for business continuity</w:t>
      </w:r>
      <w:r>
        <w:rPr>
          <w:sz w:val="24"/>
        </w:rPr>
        <w:t>, ISO, 2011.</w:t>
      </w:r>
    </w:p>
    <w:p>
      <w:pPr>
        <w:spacing w:after="0" w:line="278" w:lineRule="auto"/>
        <w:jc w:val="left"/>
        <w:rPr>
          <w:sz w:val="24"/>
        </w:rPr>
        <w:sectPr>
          <w:pgSz w:w="12240" w:h="15840"/>
          <w:pgMar w:header="0" w:footer="2871" w:top="1380" w:bottom="3060" w:left="1440" w:right="1440"/>
        </w:sectPr>
      </w:pPr>
    </w:p>
    <w:p>
      <w:pPr>
        <w:pStyle w:val="BodyText"/>
        <w:spacing w:before="4"/>
        <w:rPr>
          <w:sz w:val="17"/>
        </w:rPr>
      </w:pPr>
    </w:p>
    <w:sectPr>
      <w:pgSz w:w="12240" w:h="15840"/>
      <w:pgMar w:header="0" w:footer="2871" w:top="1820" w:bottom="30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552512">
              <wp:simplePos x="0" y="0"/>
              <wp:positionH relativeFrom="page">
                <wp:posOffset>2814320</wp:posOffset>
              </wp:positionH>
              <wp:positionV relativeFrom="page">
                <wp:posOffset>8095391</wp:posOffset>
              </wp:positionV>
              <wp:extent cx="214947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49475" cy="211454"/>
                      </a:xfrm>
                      <a:prstGeom prst="rect">
                        <a:avLst/>
                      </a:prstGeom>
                    </wps:spPr>
                    <wps:txbx>
                      <w:txbxContent>
                        <w:p>
                          <w:pPr>
                            <w:pStyle w:val="BodyText"/>
                            <w:spacing w:before="20"/>
                            <w:ind w:left="20"/>
                            <w:rPr>
                              <w:rFonts w:ascii="Trebuchet MS"/>
                            </w:rPr>
                          </w:pPr>
                          <w:r>
                            <w:rPr>
                              <w:rFonts w:ascii="Trebuchet MS"/>
                              <w:w w:val="90"/>
                            </w:rPr>
                            <w:t>Sifat</w:t>
                          </w:r>
                          <w:r>
                            <w:rPr>
                              <w:rFonts w:ascii="Trebuchet MS"/>
                              <w:spacing w:val="-5"/>
                            </w:rPr>
                            <w:t> </w:t>
                          </w:r>
                          <w:r>
                            <w:rPr>
                              <w:rFonts w:ascii="Trebuchet MS"/>
                              <w:w w:val="90"/>
                            </w:rPr>
                            <w:t>Ahmed</w:t>
                          </w:r>
                          <w:r>
                            <w:rPr>
                              <w:rFonts w:ascii="Trebuchet MS"/>
                              <w:spacing w:val="-7"/>
                              <w:w w:val="90"/>
                            </w:rPr>
                            <w:t> </w:t>
                          </w:r>
                          <w:r>
                            <w:rPr>
                              <w:rFonts w:ascii="Trebuchet MS"/>
                              <w:w w:val="90"/>
                            </w:rPr>
                            <w:t>|</w:t>
                          </w:r>
                          <w:r>
                            <w:rPr>
                              <w:rFonts w:ascii="Trebuchet MS"/>
                              <w:spacing w:val="-7"/>
                            </w:rPr>
                            <w:t> </w:t>
                          </w:r>
                          <w:r>
                            <w:rPr>
                              <w:rFonts w:ascii="Trebuchet MS"/>
                              <w:w w:val="90"/>
                            </w:rPr>
                            <w:t>65927</w:t>
                          </w:r>
                          <w:r>
                            <w:rPr>
                              <w:rFonts w:ascii="Trebuchet MS"/>
                              <w:spacing w:val="-5"/>
                            </w:rPr>
                            <w:t> </w:t>
                          </w:r>
                          <w:r>
                            <w:rPr>
                              <w:rFonts w:ascii="Trebuchet MS"/>
                              <w:w w:val="90"/>
                            </w:rPr>
                            <w:t>|</w:t>
                          </w:r>
                          <w:r>
                            <w:rPr>
                              <w:rFonts w:ascii="Trebuchet MS"/>
                              <w:spacing w:val="-7"/>
                            </w:rPr>
                            <w:t> </w:t>
                          </w:r>
                          <w:r>
                            <w:rPr>
                              <w:rFonts w:ascii="Trebuchet MS"/>
                              <w:w w:val="90"/>
                            </w:rPr>
                            <w:t>Page</w:t>
                          </w:r>
                          <w:r>
                            <w:rPr>
                              <w:rFonts w:ascii="Trebuchet MS"/>
                              <w:spacing w:val="-3"/>
                            </w:rPr>
                            <w:t> </w:t>
                          </w:r>
                          <w:r>
                            <w:rPr>
                              <w:rFonts w:ascii="Trebuchet MS"/>
                              <w:w w:val="90"/>
                            </w:rPr>
                            <w:fldChar w:fldCharType="begin"/>
                          </w:r>
                          <w:r>
                            <w:rPr>
                              <w:rFonts w:ascii="Trebuchet MS"/>
                              <w:w w:val="90"/>
                            </w:rPr>
                            <w:instrText> PAGE </w:instrText>
                          </w:r>
                          <w:r>
                            <w:rPr>
                              <w:rFonts w:ascii="Trebuchet MS"/>
                              <w:w w:val="90"/>
                            </w:rPr>
                            <w:fldChar w:fldCharType="separate"/>
                          </w:r>
                          <w:r>
                            <w:rPr>
                              <w:rFonts w:ascii="Trebuchet MS"/>
                              <w:w w:val="90"/>
                            </w:rPr>
                            <w:t>1</w:t>
                          </w:r>
                          <w:r>
                            <w:rPr>
                              <w:rFonts w:ascii="Trebuchet MS"/>
                              <w:w w:val="90"/>
                            </w:rPr>
                            <w:fldChar w:fldCharType="end"/>
                          </w:r>
                          <w:r>
                            <w:rPr>
                              <w:rFonts w:ascii="Trebuchet MS"/>
                              <w:spacing w:val="-4"/>
                              <w:w w:val="90"/>
                            </w:rPr>
                            <w:t> </w:t>
                          </w:r>
                          <w:r>
                            <w:rPr>
                              <w:rFonts w:ascii="Trebuchet MS"/>
                              <w:w w:val="90"/>
                            </w:rPr>
                            <w:t>of</w:t>
                          </w:r>
                          <w:r>
                            <w:rPr>
                              <w:rFonts w:ascii="Trebuchet MS"/>
                              <w:spacing w:val="-3"/>
                              <w:w w:val="90"/>
                            </w:rPr>
                            <w:t> </w:t>
                          </w:r>
                          <w:r>
                            <w:rPr>
                              <w:rFonts w:ascii="Trebuchet MS"/>
                              <w:spacing w:val="-10"/>
                              <w:w w:val="90"/>
                            </w:rPr>
                            <w:fldChar w:fldCharType="begin"/>
                          </w:r>
                          <w:r>
                            <w:rPr>
                              <w:rFonts w:ascii="Trebuchet MS"/>
                              <w:spacing w:val="-10"/>
                              <w:w w:val="90"/>
                            </w:rPr>
                            <w:instrText> NUMPAGES </w:instrText>
                          </w:r>
                          <w:r>
                            <w:rPr>
                              <w:rFonts w:ascii="Trebuchet MS"/>
                              <w:spacing w:val="-10"/>
                              <w:w w:val="90"/>
                            </w:rPr>
                            <w:fldChar w:fldCharType="separate"/>
                          </w:r>
                          <w:r>
                            <w:rPr>
                              <w:rFonts w:ascii="Trebuchet MS"/>
                              <w:spacing w:val="-10"/>
                              <w:w w:val="90"/>
                            </w:rPr>
                            <w:t>3</w:t>
                          </w:r>
                          <w:r>
                            <w:rPr>
                              <w:rFonts w:ascii="Trebuchet MS"/>
                              <w:spacing w:val="-10"/>
                              <w:w w:val="9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1.600006pt;margin-top:637.432434pt;width:169.25pt;height:16.650pt;mso-position-horizontal-relative:page;mso-position-vertical-relative:page;z-index:-15763968" type="#_x0000_t202" id="docshape1" filled="false" stroked="false">
              <v:textbox inset="0,0,0,0">
                <w:txbxContent>
                  <w:p>
                    <w:pPr>
                      <w:pStyle w:val="BodyText"/>
                      <w:spacing w:before="20"/>
                      <w:ind w:left="20"/>
                      <w:rPr>
                        <w:rFonts w:ascii="Trebuchet MS"/>
                      </w:rPr>
                    </w:pPr>
                    <w:r>
                      <w:rPr>
                        <w:rFonts w:ascii="Trebuchet MS"/>
                        <w:w w:val="90"/>
                      </w:rPr>
                      <w:t>Sifat</w:t>
                    </w:r>
                    <w:r>
                      <w:rPr>
                        <w:rFonts w:ascii="Trebuchet MS"/>
                        <w:spacing w:val="-5"/>
                      </w:rPr>
                      <w:t> </w:t>
                    </w:r>
                    <w:r>
                      <w:rPr>
                        <w:rFonts w:ascii="Trebuchet MS"/>
                        <w:w w:val="90"/>
                      </w:rPr>
                      <w:t>Ahmed</w:t>
                    </w:r>
                    <w:r>
                      <w:rPr>
                        <w:rFonts w:ascii="Trebuchet MS"/>
                        <w:spacing w:val="-7"/>
                        <w:w w:val="90"/>
                      </w:rPr>
                      <w:t> </w:t>
                    </w:r>
                    <w:r>
                      <w:rPr>
                        <w:rFonts w:ascii="Trebuchet MS"/>
                        <w:w w:val="90"/>
                      </w:rPr>
                      <w:t>|</w:t>
                    </w:r>
                    <w:r>
                      <w:rPr>
                        <w:rFonts w:ascii="Trebuchet MS"/>
                        <w:spacing w:val="-7"/>
                      </w:rPr>
                      <w:t> </w:t>
                    </w:r>
                    <w:r>
                      <w:rPr>
                        <w:rFonts w:ascii="Trebuchet MS"/>
                        <w:w w:val="90"/>
                      </w:rPr>
                      <w:t>65927</w:t>
                    </w:r>
                    <w:r>
                      <w:rPr>
                        <w:rFonts w:ascii="Trebuchet MS"/>
                        <w:spacing w:val="-5"/>
                      </w:rPr>
                      <w:t> </w:t>
                    </w:r>
                    <w:r>
                      <w:rPr>
                        <w:rFonts w:ascii="Trebuchet MS"/>
                        <w:w w:val="90"/>
                      </w:rPr>
                      <w:t>|</w:t>
                    </w:r>
                    <w:r>
                      <w:rPr>
                        <w:rFonts w:ascii="Trebuchet MS"/>
                        <w:spacing w:val="-7"/>
                      </w:rPr>
                      <w:t> </w:t>
                    </w:r>
                    <w:r>
                      <w:rPr>
                        <w:rFonts w:ascii="Trebuchet MS"/>
                        <w:w w:val="90"/>
                      </w:rPr>
                      <w:t>Page</w:t>
                    </w:r>
                    <w:r>
                      <w:rPr>
                        <w:rFonts w:ascii="Trebuchet MS"/>
                        <w:spacing w:val="-3"/>
                      </w:rPr>
                      <w:t> </w:t>
                    </w:r>
                    <w:r>
                      <w:rPr>
                        <w:rFonts w:ascii="Trebuchet MS"/>
                        <w:w w:val="90"/>
                      </w:rPr>
                      <w:fldChar w:fldCharType="begin"/>
                    </w:r>
                    <w:r>
                      <w:rPr>
                        <w:rFonts w:ascii="Trebuchet MS"/>
                        <w:w w:val="90"/>
                      </w:rPr>
                      <w:instrText> PAGE </w:instrText>
                    </w:r>
                    <w:r>
                      <w:rPr>
                        <w:rFonts w:ascii="Trebuchet MS"/>
                        <w:w w:val="90"/>
                      </w:rPr>
                      <w:fldChar w:fldCharType="separate"/>
                    </w:r>
                    <w:r>
                      <w:rPr>
                        <w:rFonts w:ascii="Trebuchet MS"/>
                        <w:w w:val="90"/>
                      </w:rPr>
                      <w:t>1</w:t>
                    </w:r>
                    <w:r>
                      <w:rPr>
                        <w:rFonts w:ascii="Trebuchet MS"/>
                        <w:w w:val="90"/>
                      </w:rPr>
                      <w:fldChar w:fldCharType="end"/>
                    </w:r>
                    <w:r>
                      <w:rPr>
                        <w:rFonts w:ascii="Trebuchet MS"/>
                        <w:spacing w:val="-4"/>
                        <w:w w:val="90"/>
                      </w:rPr>
                      <w:t> </w:t>
                    </w:r>
                    <w:r>
                      <w:rPr>
                        <w:rFonts w:ascii="Trebuchet MS"/>
                        <w:w w:val="90"/>
                      </w:rPr>
                      <w:t>of</w:t>
                    </w:r>
                    <w:r>
                      <w:rPr>
                        <w:rFonts w:ascii="Trebuchet MS"/>
                        <w:spacing w:val="-3"/>
                        <w:w w:val="90"/>
                      </w:rPr>
                      <w:t> </w:t>
                    </w:r>
                    <w:r>
                      <w:rPr>
                        <w:rFonts w:ascii="Trebuchet MS"/>
                        <w:spacing w:val="-10"/>
                        <w:w w:val="90"/>
                      </w:rPr>
                      <w:fldChar w:fldCharType="begin"/>
                    </w:r>
                    <w:r>
                      <w:rPr>
                        <w:rFonts w:ascii="Trebuchet MS"/>
                        <w:spacing w:val="-10"/>
                        <w:w w:val="90"/>
                      </w:rPr>
                      <w:instrText> NUMPAGES </w:instrText>
                    </w:r>
                    <w:r>
                      <w:rPr>
                        <w:rFonts w:ascii="Trebuchet MS"/>
                        <w:spacing w:val="-10"/>
                        <w:w w:val="90"/>
                      </w:rPr>
                      <w:fldChar w:fldCharType="separate"/>
                    </w:r>
                    <w:r>
                      <w:rPr>
                        <w:rFonts w:ascii="Trebuchet MS"/>
                        <w:spacing w:val="-10"/>
                        <w:w w:val="90"/>
                      </w:rPr>
                      <w:t>3</w:t>
                    </w:r>
                    <w:r>
                      <w:rPr>
                        <w:rFonts w:ascii="Trebuchet MS"/>
                        <w:spacing w:val="-10"/>
                        <w:w w:val="9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6" w:hanging="340"/>
      </w:pPr>
      <w:rPr>
        <w:rFonts w:hint="default"/>
        <w:lang w:val="en-US" w:eastAsia="en-US" w:bidi="ar-SA"/>
      </w:rPr>
    </w:lvl>
    <w:lvl w:ilvl="2">
      <w:start w:val="0"/>
      <w:numFmt w:val="bullet"/>
      <w:lvlText w:val="•"/>
      <w:lvlJc w:val="left"/>
      <w:pPr>
        <w:ind w:left="1872" w:hanging="340"/>
      </w:pPr>
      <w:rPr>
        <w:rFonts w:hint="default"/>
        <w:lang w:val="en-US" w:eastAsia="en-US" w:bidi="ar-SA"/>
      </w:rPr>
    </w:lvl>
    <w:lvl w:ilvl="3">
      <w:start w:val="0"/>
      <w:numFmt w:val="bullet"/>
      <w:lvlText w:val="•"/>
      <w:lvlJc w:val="left"/>
      <w:pPr>
        <w:ind w:left="2808" w:hanging="340"/>
      </w:pPr>
      <w:rPr>
        <w:rFonts w:hint="default"/>
        <w:lang w:val="en-US" w:eastAsia="en-US" w:bidi="ar-SA"/>
      </w:rPr>
    </w:lvl>
    <w:lvl w:ilvl="4">
      <w:start w:val="0"/>
      <w:numFmt w:val="bullet"/>
      <w:lvlText w:val="•"/>
      <w:lvlJc w:val="left"/>
      <w:pPr>
        <w:ind w:left="3744" w:hanging="340"/>
      </w:pPr>
      <w:rPr>
        <w:rFonts w:hint="default"/>
        <w:lang w:val="en-US" w:eastAsia="en-US" w:bidi="ar-SA"/>
      </w:rPr>
    </w:lvl>
    <w:lvl w:ilvl="5">
      <w:start w:val="0"/>
      <w:numFmt w:val="bullet"/>
      <w:lvlText w:val="•"/>
      <w:lvlJc w:val="left"/>
      <w:pPr>
        <w:ind w:left="4680" w:hanging="340"/>
      </w:pPr>
      <w:rPr>
        <w:rFonts w:hint="default"/>
        <w:lang w:val="en-US" w:eastAsia="en-US" w:bidi="ar-SA"/>
      </w:rPr>
    </w:lvl>
    <w:lvl w:ilvl="6">
      <w:start w:val="0"/>
      <w:numFmt w:val="bullet"/>
      <w:lvlText w:val="•"/>
      <w:lvlJc w:val="left"/>
      <w:pPr>
        <w:ind w:left="5616" w:hanging="340"/>
      </w:pPr>
      <w:rPr>
        <w:rFonts w:hint="default"/>
        <w:lang w:val="en-US" w:eastAsia="en-US" w:bidi="ar-SA"/>
      </w:rPr>
    </w:lvl>
    <w:lvl w:ilvl="7">
      <w:start w:val="0"/>
      <w:numFmt w:val="bullet"/>
      <w:lvlText w:val="•"/>
      <w:lvlJc w:val="left"/>
      <w:pPr>
        <w:ind w:left="6552" w:hanging="340"/>
      </w:pPr>
      <w:rPr>
        <w:rFonts w:hint="default"/>
        <w:lang w:val="en-US" w:eastAsia="en-US" w:bidi="ar-SA"/>
      </w:rPr>
    </w:lvl>
    <w:lvl w:ilvl="8">
      <w:start w:val="0"/>
      <w:numFmt w:val="bullet"/>
      <w:lvlText w:val="•"/>
      <w:lvlJc w:val="left"/>
      <w:pPr>
        <w:ind w:left="7488" w:hanging="340"/>
      </w:pPr>
      <w:rPr>
        <w:rFonts w:hint="default"/>
        <w:lang w:val="en-US" w:eastAsia="en-US" w:bidi="ar-SA"/>
      </w:rPr>
    </w:lvl>
  </w:abstractNum>
  <w:abstractNum w:abstractNumId="2">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6" w:hanging="340"/>
      </w:pPr>
      <w:rPr>
        <w:rFonts w:hint="default"/>
        <w:lang w:val="en-US" w:eastAsia="en-US" w:bidi="ar-SA"/>
      </w:rPr>
    </w:lvl>
    <w:lvl w:ilvl="2">
      <w:start w:val="0"/>
      <w:numFmt w:val="bullet"/>
      <w:lvlText w:val="•"/>
      <w:lvlJc w:val="left"/>
      <w:pPr>
        <w:ind w:left="1872" w:hanging="340"/>
      </w:pPr>
      <w:rPr>
        <w:rFonts w:hint="default"/>
        <w:lang w:val="en-US" w:eastAsia="en-US" w:bidi="ar-SA"/>
      </w:rPr>
    </w:lvl>
    <w:lvl w:ilvl="3">
      <w:start w:val="0"/>
      <w:numFmt w:val="bullet"/>
      <w:lvlText w:val="•"/>
      <w:lvlJc w:val="left"/>
      <w:pPr>
        <w:ind w:left="2808" w:hanging="340"/>
      </w:pPr>
      <w:rPr>
        <w:rFonts w:hint="default"/>
        <w:lang w:val="en-US" w:eastAsia="en-US" w:bidi="ar-SA"/>
      </w:rPr>
    </w:lvl>
    <w:lvl w:ilvl="4">
      <w:start w:val="0"/>
      <w:numFmt w:val="bullet"/>
      <w:lvlText w:val="•"/>
      <w:lvlJc w:val="left"/>
      <w:pPr>
        <w:ind w:left="3744" w:hanging="340"/>
      </w:pPr>
      <w:rPr>
        <w:rFonts w:hint="default"/>
        <w:lang w:val="en-US" w:eastAsia="en-US" w:bidi="ar-SA"/>
      </w:rPr>
    </w:lvl>
    <w:lvl w:ilvl="5">
      <w:start w:val="0"/>
      <w:numFmt w:val="bullet"/>
      <w:lvlText w:val="•"/>
      <w:lvlJc w:val="left"/>
      <w:pPr>
        <w:ind w:left="4680" w:hanging="340"/>
      </w:pPr>
      <w:rPr>
        <w:rFonts w:hint="default"/>
        <w:lang w:val="en-US" w:eastAsia="en-US" w:bidi="ar-SA"/>
      </w:rPr>
    </w:lvl>
    <w:lvl w:ilvl="6">
      <w:start w:val="0"/>
      <w:numFmt w:val="bullet"/>
      <w:lvlText w:val="•"/>
      <w:lvlJc w:val="left"/>
      <w:pPr>
        <w:ind w:left="5616" w:hanging="340"/>
      </w:pPr>
      <w:rPr>
        <w:rFonts w:hint="default"/>
        <w:lang w:val="en-US" w:eastAsia="en-US" w:bidi="ar-SA"/>
      </w:rPr>
    </w:lvl>
    <w:lvl w:ilvl="7">
      <w:start w:val="0"/>
      <w:numFmt w:val="bullet"/>
      <w:lvlText w:val="•"/>
      <w:lvlJc w:val="left"/>
      <w:pPr>
        <w:ind w:left="6552" w:hanging="340"/>
      </w:pPr>
      <w:rPr>
        <w:rFonts w:hint="default"/>
        <w:lang w:val="en-US" w:eastAsia="en-US" w:bidi="ar-SA"/>
      </w:rPr>
    </w:lvl>
    <w:lvl w:ilvl="8">
      <w:start w:val="0"/>
      <w:numFmt w:val="bullet"/>
      <w:lvlText w:val="•"/>
      <w:lvlJc w:val="left"/>
      <w:pPr>
        <w:ind w:left="7488" w:hanging="340"/>
      </w:pPr>
      <w:rPr>
        <w:rFonts w:hint="default"/>
        <w:lang w:val="en-US" w:eastAsia="en-US" w:bidi="ar-SA"/>
      </w:rPr>
    </w:lvl>
  </w:abstractNum>
  <w:abstractNum w:abstractNumId="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52" w:hanging="240"/>
      </w:pPr>
      <w:rPr>
        <w:rFonts w:hint="default"/>
        <w:lang w:val="en-US" w:eastAsia="en-US" w:bidi="ar-SA"/>
      </w:rPr>
    </w:lvl>
    <w:lvl w:ilvl="2">
      <w:start w:val="0"/>
      <w:numFmt w:val="bullet"/>
      <w:lvlText w:val="•"/>
      <w:lvlJc w:val="left"/>
      <w:pPr>
        <w:ind w:left="2064" w:hanging="240"/>
      </w:pPr>
      <w:rPr>
        <w:rFonts w:hint="default"/>
        <w:lang w:val="en-US" w:eastAsia="en-US" w:bidi="ar-SA"/>
      </w:rPr>
    </w:lvl>
    <w:lvl w:ilvl="3">
      <w:start w:val="0"/>
      <w:numFmt w:val="bullet"/>
      <w:lvlText w:val="•"/>
      <w:lvlJc w:val="left"/>
      <w:pPr>
        <w:ind w:left="2976" w:hanging="240"/>
      </w:pPr>
      <w:rPr>
        <w:rFonts w:hint="default"/>
        <w:lang w:val="en-US" w:eastAsia="en-US" w:bidi="ar-SA"/>
      </w:rPr>
    </w:lvl>
    <w:lvl w:ilvl="4">
      <w:start w:val="0"/>
      <w:numFmt w:val="bullet"/>
      <w:lvlText w:val="•"/>
      <w:lvlJc w:val="left"/>
      <w:pPr>
        <w:ind w:left="3888" w:hanging="240"/>
      </w:pPr>
      <w:rPr>
        <w:rFonts w:hint="default"/>
        <w:lang w:val="en-US" w:eastAsia="en-US" w:bidi="ar-SA"/>
      </w:rPr>
    </w:lvl>
    <w:lvl w:ilvl="5">
      <w:start w:val="0"/>
      <w:numFmt w:val="bullet"/>
      <w:lvlText w:val="•"/>
      <w:lvlJc w:val="left"/>
      <w:pPr>
        <w:ind w:left="4800" w:hanging="240"/>
      </w:pPr>
      <w:rPr>
        <w:rFonts w:hint="default"/>
        <w:lang w:val="en-US" w:eastAsia="en-US" w:bidi="ar-SA"/>
      </w:rPr>
    </w:lvl>
    <w:lvl w:ilvl="6">
      <w:start w:val="0"/>
      <w:numFmt w:val="bullet"/>
      <w:lvlText w:val="•"/>
      <w:lvlJc w:val="left"/>
      <w:pPr>
        <w:ind w:left="5712" w:hanging="240"/>
      </w:pPr>
      <w:rPr>
        <w:rFonts w:hint="default"/>
        <w:lang w:val="en-US" w:eastAsia="en-US" w:bidi="ar-SA"/>
      </w:rPr>
    </w:lvl>
    <w:lvl w:ilvl="7">
      <w:start w:val="0"/>
      <w:numFmt w:val="bullet"/>
      <w:lvlText w:val="•"/>
      <w:lvlJc w:val="left"/>
      <w:pPr>
        <w:ind w:left="6624" w:hanging="240"/>
      </w:pPr>
      <w:rPr>
        <w:rFonts w:hint="default"/>
        <w:lang w:val="en-US" w:eastAsia="en-US" w:bidi="ar-SA"/>
      </w:rPr>
    </w:lvl>
    <w:lvl w:ilvl="8">
      <w:start w:val="0"/>
      <w:numFmt w:val="bullet"/>
      <w:lvlText w:val="•"/>
      <w:lvlJc w:val="left"/>
      <w:pPr>
        <w:ind w:left="7536" w:hanging="240"/>
      </w:pPr>
      <w:rPr>
        <w:rFonts w:hint="default"/>
        <w:lang w:val="en-US" w:eastAsia="en-US" w:bidi="ar-SA"/>
      </w:rPr>
    </w:lvl>
  </w:abstractNum>
  <w:abstractNum w:abstractNumId="0">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6" w:hanging="340"/>
      </w:pPr>
      <w:rPr>
        <w:rFonts w:hint="default"/>
        <w:lang w:val="en-US" w:eastAsia="en-US" w:bidi="ar-SA"/>
      </w:rPr>
    </w:lvl>
    <w:lvl w:ilvl="2">
      <w:start w:val="0"/>
      <w:numFmt w:val="bullet"/>
      <w:lvlText w:val="•"/>
      <w:lvlJc w:val="left"/>
      <w:pPr>
        <w:ind w:left="1872" w:hanging="340"/>
      </w:pPr>
      <w:rPr>
        <w:rFonts w:hint="default"/>
        <w:lang w:val="en-US" w:eastAsia="en-US" w:bidi="ar-SA"/>
      </w:rPr>
    </w:lvl>
    <w:lvl w:ilvl="3">
      <w:start w:val="0"/>
      <w:numFmt w:val="bullet"/>
      <w:lvlText w:val="•"/>
      <w:lvlJc w:val="left"/>
      <w:pPr>
        <w:ind w:left="2808" w:hanging="340"/>
      </w:pPr>
      <w:rPr>
        <w:rFonts w:hint="default"/>
        <w:lang w:val="en-US" w:eastAsia="en-US" w:bidi="ar-SA"/>
      </w:rPr>
    </w:lvl>
    <w:lvl w:ilvl="4">
      <w:start w:val="0"/>
      <w:numFmt w:val="bullet"/>
      <w:lvlText w:val="•"/>
      <w:lvlJc w:val="left"/>
      <w:pPr>
        <w:ind w:left="3744" w:hanging="340"/>
      </w:pPr>
      <w:rPr>
        <w:rFonts w:hint="default"/>
        <w:lang w:val="en-US" w:eastAsia="en-US" w:bidi="ar-SA"/>
      </w:rPr>
    </w:lvl>
    <w:lvl w:ilvl="5">
      <w:start w:val="0"/>
      <w:numFmt w:val="bullet"/>
      <w:lvlText w:val="•"/>
      <w:lvlJc w:val="left"/>
      <w:pPr>
        <w:ind w:left="4680" w:hanging="340"/>
      </w:pPr>
      <w:rPr>
        <w:rFonts w:hint="default"/>
        <w:lang w:val="en-US" w:eastAsia="en-US" w:bidi="ar-SA"/>
      </w:rPr>
    </w:lvl>
    <w:lvl w:ilvl="6">
      <w:start w:val="0"/>
      <w:numFmt w:val="bullet"/>
      <w:lvlText w:val="•"/>
      <w:lvlJc w:val="left"/>
      <w:pPr>
        <w:ind w:left="5616" w:hanging="340"/>
      </w:pPr>
      <w:rPr>
        <w:rFonts w:hint="default"/>
        <w:lang w:val="en-US" w:eastAsia="en-US" w:bidi="ar-SA"/>
      </w:rPr>
    </w:lvl>
    <w:lvl w:ilvl="7">
      <w:start w:val="0"/>
      <w:numFmt w:val="bullet"/>
      <w:lvlText w:val="•"/>
      <w:lvlJc w:val="left"/>
      <w:pPr>
        <w:ind w:left="6552" w:hanging="340"/>
      </w:pPr>
      <w:rPr>
        <w:rFonts w:hint="default"/>
        <w:lang w:val="en-US" w:eastAsia="en-US" w:bidi="ar-SA"/>
      </w:rPr>
    </w:lvl>
    <w:lvl w:ilvl="8">
      <w:start w:val="0"/>
      <w:numFmt w:val="bullet"/>
      <w:lvlText w:val="•"/>
      <w:lvlJc w:val="left"/>
      <w:pPr>
        <w:ind w:left="7488" w:hanging="3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0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Sifat Ahmed</dc:creator>
  <dcterms:created xsi:type="dcterms:W3CDTF">2026-05-28T04:48:57Z</dcterms:created>
  <dcterms:modified xsi:type="dcterms:W3CDTF">2026-05-28T04:48:57Z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Microsoft Word</vt:lpwstr>
  </property>
  <property fmtid="{D5CDD505-2E9C-101B-9397-08002B2CF9AE}" pid="5" name="LastSaved">
    <vt:filetime>2026-05-28T00:00:00Z</vt:filetime>
  </property>
</Properties>
</file>