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6"/>
        </w:rPr>
        <w:t>ДОГОВОР № 01/09/26-2</w:t>
      </w:r>
    </w:p>
    <w:p>
      <w:pPr>
        <w:spacing w:after="80"/>
        <w:jc w:val="center"/>
      </w:pPr>
      <w:r>
        <w:rPr>
          <w:b w:val="0"/>
        </w:rPr>
        <w:t>на выполнение работ по развитию, техническому сопровождению</w:t>
      </w:r>
    </w:p>
    <w:p>
      <w:pPr>
        <w:spacing w:after="200"/>
        <w:jc w:val="center"/>
      </w:pPr>
      <w:r>
        <w:rPr>
          <w:b w:val="0"/>
        </w:rPr>
        <w:t>и серверному размещению информационной системы</w:t>
      </w:r>
    </w:p>
    <w:p>
      <w:pPr>
        <w:spacing w:after="200"/>
      </w:pPr>
      <w:r>
        <w:t>г. Якутск</w:t>
      </w:r>
      <w:r>
        <w:tab/>
        <w:tab/>
        <w:tab/>
        <w:tab/>
        <w:tab/>
        <w:tab/>
        <w:t>«01» сентября 2026 г.</w:t>
      </w:r>
    </w:p>
    <w:p>
      <w:pPr>
        <w:spacing w:after="200"/>
        <w:jc w:val="both"/>
      </w:pPr>
      <w:r>
        <w:rPr>
          <w:b w:val="0"/>
        </w:rPr>
        <w:t>Государственное бюджетное учреждение «Арктический научно-исследовательский центр Республики Саха (Якутия)», именуемое в дальнейшем «Заказчик», в лице и.о. директора Хохолова Артура Аркадьевича, действующего на основании приказа Минобрнауки РС(Я) от __.__.2026 г. № ______, с одной стороны, и Общество с ограниченной ответственностью «АСТРА ГРУПП», именуемое в дальнейшем «Исполнитель», в лице генерального директора Ядрихинского Сергея Александровича, действующего на основании Устава, с другой стороны, заключили настоящий договор о нижеследующем:</w:t>
      </w:r>
    </w:p>
    <w:p>
      <w:pPr>
        <w:spacing w:after="120"/>
      </w:pPr>
      <w:r>
        <w:rPr>
          <w:b/>
        </w:rPr>
        <w:t>1. Предмет договора</w:t>
      </w:r>
    </w:p>
    <w:p>
      <w:pPr>
        <w:spacing w:after="80"/>
        <w:jc w:val="both"/>
      </w:pPr>
      <w:r>
        <w:rPr>
          <w:b w:val="0"/>
        </w:rPr>
        <w:t>1.1. Исполнитель обязуется выполнить работы по развитию информационной системы Заказчика — официального сайта аниц.рф (далее — «Система»), обеспечить её техническое сопровождение и серверное размещение, а Заказчик обязуется принять и оплатить выполненные работы.</w:t>
      </w:r>
    </w:p>
    <w:p>
      <w:pPr>
        <w:spacing w:after="80"/>
        <w:jc w:val="both"/>
      </w:pPr>
      <w:r>
        <w:rPr>
          <w:b w:val="0"/>
        </w:rPr>
        <w:t>1.2. Состав, содержание и требования к результату работ определяются Техническим заданием (Приложение № 1), являющимся неотъемлемой частью настоящего договора.</w:t>
      </w:r>
    </w:p>
    <w:p>
      <w:pPr>
        <w:spacing w:after="80"/>
        <w:jc w:val="both"/>
      </w:pPr>
      <w:r>
        <w:rPr>
          <w:b w:val="0"/>
        </w:rPr>
        <w:t>1.3. Система создана Исполнителем в рамках договора № 27/02/26-1 от 27.02.2026 г. Настоящий договор заключается в отношении её дальнейшего развития и обслуживания.</w:t>
      </w:r>
    </w:p>
    <w:p>
      <w:pPr>
        <w:spacing w:after="120"/>
      </w:pPr>
      <w:r>
        <w:rPr>
          <w:b/>
        </w:rPr>
        <w:t>2. Сроки и порядок выполнения работ</w:t>
      </w:r>
    </w:p>
    <w:p>
      <w:pPr>
        <w:spacing w:after="80"/>
        <w:jc w:val="both"/>
      </w:pPr>
      <w:r>
        <w:rPr>
          <w:b w:val="0"/>
        </w:rPr>
        <w:t>2.1. Срок выполнения работ по развитию Системы: до 30 сентября 2026 г.</w:t>
      </w:r>
    </w:p>
    <w:p>
      <w:pPr>
        <w:spacing w:after="80"/>
        <w:jc w:val="both"/>
      </w:pPr>
      <w:r>
        <w:rPr>
          <w:b w:val="0"/>
        </w:rPr>
        <w:t>2.2. Техническое сопровождение Системы обеспечивается в течение 3 (трёх) месяцев: с 1 октября по 31 декабря 2026 г.</w:t>
      </w:r>
    </w:p>
    <w:p>
      <w:pPr>
        <w:spacing w:after="80"/>
        <w:jc w:val="both"/>
      </w:pPr>
      <w:r>
        <w:rPr>
          <w:b w:val="0"/>
        </w:rPr>
        <w:t>2.3. Серверное размещение и обслуживание сервера обеспечиваются с даты заключения настоящего договора по 31 декабря 2026 г.</w:t>
      </w:r>
    </w:p>
    <w:p>
      <w:pPr>
        <w:spacing w:after="80"/>
        <w:jc w:val="both"/>
      </w:pPr>
      <w:r>
        <w:rPr>
          <w:b w:val="0"/>
        </w:rPr>
        <w:t>2.4. Исполнитель вправе завершить работы по развитию Системы досрочно.</w:t>
      </w:r>
    </w:p>
    <w:p>
      <w:pPr>
        <w:spacing w:after="80"/>
        <w:jc w:val="both"/>
      </w:pPr>
      <w:r>
        <w:rPr>
          <w:b w:val="0"/>
        </w:rPr>
        <w:t>2.5. Устранение критических неполадок (недоступность Системы) осуществляется в течение 24 (двадцати четырёх) часов с момента обнаружения или поступления заявки Заказчика. Прочее техническое сопровождение осуществляется в рабочее время по рабочим дням.</w:t>
      </w:r>
    </w:p>
    <w:p>
      <w:pPr>
        <w:spacing w:after="80"/>
        <w:jc w:val="both"/>
      </w:pPr>
      <w:r>
        <w:rPr>
          <w:b w:val="0"/>
        </w:rPr>
        <w:t>2.6. Подключение площадок публикации материалов осуществляется на основании учётных данных и разрешений, предоставляемых Заказчиком. Срок выполнения соответствующих работ продлевается на время ожидания указанных данных.</w:t>
      </w:r>
    </w:p>
    <w:p>
      <w:pPr>
        <w:spacing w:after="120"/>
      </w:pPr>
      <w:r>
        <w:rPr>
          <w:b/>
        </w:rPr>
        <w:t>3. Стоимость и порядок расчётов</w:t>
      </w:r>
    </w:p>
    <w:p>
      <w:pPr>
        <w:spacing w:after="80"/>
        <w:jc w:val="both"/>
      </w:pPr>
      <w:r>
        <w:rPr>
          <w:b w:val="0"/>
        </w:rPr>
        <w:t>3.1. Общая стоимость работ по настоящему договору составляет 200 000 (двести тысяч) рублей 00 копеек, в том числе:</w:t>
      </w:r>
    </w:p>
    <w:p>
      <w:pPr>
        <w:pStyle w:val="ListBullet"/>
        <w:spacing w:after="40"/>
        <w:jc w:val="both"/>
      </w:pPr>
      <w:r>
        <w:t>работы по развитию Системы — 100 000 (сто тысяч) рублей 00 копеек;</w:t>
      </w:r>
    </w:p>
    <w:p>
      <w:pPr>
        <w:pStyle w:val="ListBullet"/>
        <w:spacing w:after="40"/>
        <w:jc w:val="both"/>
      </w:pPr>
      <w:r>
        <w:t>техническое сопровождение — 75 000 (семьдесят пять тысяч) рублей 00 копеек, из расчёта 25 000 (двадцать пять тысяч) рублей 00 копеек в месяц за 3 (три) месяца;</w:t>
      </w:r>
    </w:p>
    <w:p>
      <w:pPr>
        <w:pStyle w:val="ListBullet"/>
        <w:spacing w:after="40"/>
        <w:jc w:val="both"/>
      </w:pPr>
      <w:r>
        <w:t>серверное размещение и обслуживание сервера — 25 000 (двадцать пять тысяч) рублей 00 копеек.</w:t>
      </w:r>
    </w:p>
    <w:p>
      <w:pPr>
        <w:spacing w:after="80"/>
        <w:jc w:val="both"/>
      </w:pPr>
      <w:r>
        <w:rPr>
          <w:b w:val="0"/>
        </w:rPr>
        <w:t>НДС не облагается в связи с применением Исполнителем упрощённой системы налогообложения.</w:t>
      </w:r>
    </w:p>
    <w:p>
      <w:pPr>
        <w:spacing w:after="80"/>
        <w:jc w:val="both"/>
      </w:pPr>
      <w:r>
        <w:rPr>
          <w:b w:val="0"/>
        </w:rPr>
        <w:t>3.2. Оплата осуществляется в следующем порядке:</w:t>
      </w:r>
    </w:p>
    <w:p>
      <w:pPr>
        <w:pStyle w:val="ListBullet"/>
        <w:spacing w:after="40"/>
        <w:jc w:val="both"/>
      </w:pPr>
      <w:r>
        <w:t>авансовый платёж в размере 30 % (тридцати процентов) от цены договора, что составляет 60 000 (шестьдесят тысяч) рублей 00 копеек, перечисляется Заказчиком в течение 5 (пяти) рабочих дней с даты подписания настоящего договора и выставления счёта на оплату;</w:t>
      </w:r>
    </w:p>
    <w:p>
      <w:pPr>
        <w:pStyle w:val="ListBullet"/>
        <w:spacing w:after="40"/>
        <w:jc w:val="both"/>
      </w:pPr>
      <w:r>
        <w:t>окончательный расчёт в размере 140 000 (ста сорока тысяч) рублей 00 копеек производится в течение 5 (пяти) рабочих дней с даты подписания Сторонами Акта сдачи-приёмки выполненных работ и выставления счёта на оплату.</w:t>
      </w:r>
    </w:p>
    <w:p>
      <w:pPr>
        <w:spacing w:after="80"/>
        <w:jc w:val="both"/>
      </w:pPr>
      <w:r>
        <w:rPr>
          <w:b w:val="0"/>
        </w:rPr>
        <w:t>3.3. Цена договора является твёрдой и включает все расходы Исполнителя, в том числе расходы на приобретение специализированных цифровых инструментов и аренду сервера на срок, предусмотренный настоящим договором.</w:t>
      </w:r>
    </w:p>
    <w:p>
      <w:pPr>
        <w:spacing w:after="80"/>
        <w:jc w:val="both"/>
      </w:pPr>
      <w:r>
        <w:rPr>
          <w:b w:val="0"/>
        </w:rPr>
        <w:t>3.4. Расходы на использование сторонних платных сервисов, оплачиваемых по факту потребления, в цену договора не входят и оплачиваются Заказчиком отдельно либо компенсируются Исполнителю на основании подтверждающих документов.</w:t>
      </w:r>
    </w:p>
    <w:p>
      <w:pPr>
        <w:spacing w:after="120"/>
      </w:pPr>
      <w:r>
        <w:rPr>
          <w:b/>
        </w:rPr>
        <w:t>4. Порядок приёмки работ</w:t>
      </w:r>
    </w:p>
    <w:p>
      <w:pPr>
        <w:spacing w:after="80"/>
        <w:jc w:val="both"/>
      </w:pPr>
      <w:r>
        <w:rPr>
          <w:b w:val="0"/>
        </w:rPr>
        <w:t>4.1. По завершении работ по развитию Системы Исполнитель предоставляет Заказчику Акт сдачи-приёмки выполненных работ и техническую документацию.</w:t>
      </w:r>
    </w:p>
    <w:p>
      <w:pPr>
        <w:spacing w:after="80"/>
        <w:jc w:val="both"/>
      </w:pPr>
      <w:r>
        <w:rPr>
          <w:b w:val="0"/>
        </w:rPr>
        <w:t>4.2. Заказчик в течение 5 (пяти) рабочих дней обязан подписать Акт либо направить мотивированные замечания в письменной форме.</w:t>
      </w:r>
    </w:p>
    <w:p>
      <w:pPr>
        <w:spacing w:after="80"/>
        <w:jc w:val="both"/>
      </w:pPr>
      <w:r>
        <w:rPr>
          <w:b w:val="0"/>
        </w:rPr>
        <w:t>4.3. При отсутствии подписанного Акта и мотивированных замечаний по истечении указанного срока работы считаются принятыми.</w:t>
      </w:r>
    </w:p>
    <w:p>
      <w:pPr>
        <w:spacing w:after="80"/>
        <w:jc w:val="both"/>
      </w:pPr>
      <w:r>
        <w:rPr>
          <w:b w:val="0"/>
        </w:rPr>
        <w:t>4.4. По окончании периода технического сопровождения Стороны подписывают итоговый Акт.</w:t>
      </w:r>
    </w:p>
    <w:p>
      <w:pPr>
        <w:spacing w:after="120"/>
      </w:pPr>
      <w:r>
        <w:rPr>
          <w:b/>
        </w:rPr>
        <w:t>5. Права и обязанности сторон</w:t>
      </w:r>
    </w:p>
    <w:p>
      <w:pPr>
        <w:spacing w:after="80"/>
        <w:jc w:val="both"/>
      </w:pPr>
      <w:r>
        <w:rPr>
          <w:b w:val="0"/>
        </w:rPr>
        <w:t>5.1. Исполнитель обязуется:</w:t>
      </w:r>
    </w:p>
    <w:p>
      <w:pPr>
        <w:pStyle w:val="ListBullet"/>
        <w:spacing w:after="40"/>
        <w:jc w:val="both"/>
      </w:pPr>
      <w:r>
        <w:t>обеспечить соответствие результата работ Техническому заданию;</w:t>
      </w:r>
    </w:p>
    <w:p>
      <w:pPr>
        <w:pStyle w:val="ListBullet"/>
        <w:spacing w:after="40"/>
        <w:jc w:val="both"/>
      </w:pPr>
      <w:r>
        <w:t>обеспечить техническое сопровождение и серверное размещение Системы в сроки, установленные настоящим договором;</w:t>
      </w:r>
    </w:p>
    <w:p>
      <w:pPr>
        <w:pStyle w:val="ListBullet"/>
        <w:spacing w:after="40"/>
        <w:jc w:val="both"/>
      </w:pPr>
      <w:r>
        <w:t>соблюдать требования информационной безопасности и обеспечить защиту персональных данных;</w:t>
      </w:r>
    </w:p>
    <w:p>
      <w:pPr>
        <w:pStyle w:val="ListBullet"/>
        <w:spacing w:after="40"/>
        <w:jc w:val="both"/>
      </w:pPr>
      <w:r>
        <w:t>передать Заказчику пользовательскую и эксплуатационную документацию и данные доступа.</w:t>
      </w:r>
    </w:p>
    <w:p>
      <w:pPr>
        <w:spacing w:after="80"/>
        <w:jc w:val="both"/>
      </w:pPr>
      <w:r>
        <w:rPr>
          <w:b w:val="0"/>
        </w:rPr>
        <w:t>5.2. Заказчик обязуется:</w:t>
      </w:r>
    </w:p>
    <w:p>
      <w:pPr>
        <w:pStyle w:val="ListBullet"/>
        <w:spacing w:after="40"/>
        <w:jc w:val="both"/>
      </w:pPr>
      <w:r>
        <w:t>предоставить учётные данные и разрешения для подключения площадок публикации материалов;</w:t>
      </w:r>
    </w:p>
    <w:p>
      <w:pPr>
        <w:pStyle w:val="ListBullet"/>
        <w:spacing w:after="40"/>
        <w:jc w:val="both"/>
      </w:pPr>
      <w:r>
        <w:t>предоставить материалы для наполнения базы знаний и разделов сайта;</w:t>
      </w:r>
    </w:p>
    <w:p>
      <w:pPr>
        <w:pStyle w:val="ListBullet"/>
        <w:spacing w:after="40"/>
        <w:jc w:val="both"/>
      </w:pPr>
      <w:r>
        <w:t>назначить ответственного представителя;</w:t>
      </w:r>
    </w:p>
    <w:p>
      <w:pPr>
        <w:pStyle w:val="ListBullet"/>
        <w:spacing w:after="40"/>
        <w:jc w:val="both"/>
      </w:pPr>
      <w:r>
        <w:t>своевременно принять и оплатить выполненные работы.</w:t>
      </w:r>
    </w:p>
    <w:p>
      <w:pPr>
        <w:spacing w:after="120"/>
      </w:pPr>
      <w:r>
        <w:rPr>
          <w:b/>
        </w:rPr>
        <w:t>6. Показатели эффективности (KPI)</w:t>
      </w:r>
    </w:p>
    <w:p>
      <w:pPr>
        <w:spacing w:after="80"/>
        <w:jc w:val="both"/>
      </w:pPr>
      <w:r>
        <w:rPr>
          <w:b w:val="0"/>
        </w:rPr>
        <w:t>6.1. Работы считаются выполненными при достижении следующих показателей:</w:t>
      </w:r>
    </w:p>
    <w:p>
      <w:pPr>
        <w:pStyle w:val="ListBullet"/>
        <w:spacing w:after="40"/>
        <w:jc w:val="both"/>
      </w:pPr>
      <w:r>
        <w:t>Система обладает функциональными возможностями, предусмотренными Техническим заданием;</w:t>
      </w:r>
    </w:p>
    <w:p>
      <w:pPr>
        <w:pStyle w:val="ListBullet"/>
        <w:spacing w:after="40"/>
        <w:jc w:val="both"/>
      </w:pPr>
      <w:r>
        <w:t>публикация материала выполняется на всех площадках, по которым Заказчиком предоставлены учётные данные;</w:t>
      </w:r>
    </w:p>
    <w:p>
      <w:pPr>
        <w:pStyle w:val="ListBullet"/>
        <w:spacing w:after="40"/>
        <w:jc w:val="both"/>
      </w:pPr>
      <w:r>
        <w:t>поиск возвращает результаты по материалам всех разделов сайта;</w:t>
      </w:r>
    </w:p>
    <w:p>
      <w:pPr>
        <w:pStyle w:val="ListBullet"/>
        <w:spacing w:after="40"/>
        <w:jc w:val="both"/>
      </w:pPr>
      <w:r>
        <w:t>время загрузки основных страниц — не более 3 (трёх) секунд;</w:t>
      </w:r>
    </w:p>
    <w:p>
      <w:pPr>
        <w:pStyle w:val="ListBullet"/>
        <w:spacing w:after="40"/>
        <w:jc w:val="both"/>
      </w:pPr>
      <w:r>
        <w:t>доступность Системы (uptime) — не менее 99 % за период сопровождения;</w:t>
      </w:r>
    </w:p>
    <w:p>
      <w:pPr>
        <w:pStyle w:val="ListBullet"/>
        <w:spacing w:after="40"/>
        <w:jc w:val="both"/>
      </w:pPr>
      <w:r>
        <w:t>отсутствие неустранённых критических неполадок;</w:t>
      </w:r>
    </w:p>
    <w:p>
      <w:pPr>
        <w:pStyle w:val="ListBullet"/>
        <w:spacing w:after="40"/>
        <w:jc w:val="both"/>
      </w:pPr>
      <w:r>
        <w:t>документация передана Заказчику.</w:t>
      </w:r>
    </w:p>
    <w:p>
      <w:pPr>
        <w:spacing w:after="120"/>
      </w:pPr>
      <w:r>
        <w:rPr>
          <w:b/>
        </w:rPr>
        <w:t>7. Интеллектуальная собственность</w:t>
      </w:r>
    </w:p>
    <w:p>
      <w:pPr>
        <w:spacing w:after="80"/>
        <w:jc w:val="both"/>
      </w:pPr>
      <w:r>
        <w:rPr>
          <w:b w:val="0"/>
        </w:rPr>
        <w:t>7.1. Результаты работ, созданные Исполнителем в рамках настоящего договора и прямо предусмотренные Техническим заданием, признаются результатами интеллектуальной деятельности.</w:t>
      </w:r>
    </w:p>
    <w:p>
      <w:pPr>
        <w:spacing w:after="80"/>
        <w:jc w:val="both"/>
      </w:pPr>
      <w:r>
        <w:rPr>
          <w:b w:val="0"/>
        </w:rPr>
        <w:t>7.2. Исключительные права на созданные по настоящему договору результаты работ переходят к Заказчику с момента подписания Акта сдачи-приёмки выполненных работ и полной оплаты по договору.</w:t>
      </w:r>
    </w:p>
    <w:p>
      <w:pPr>
        <w:spacing w:after="80"/>
        <w:jc w:val="both"/>
      </w:pPr>
      <w:r>
        <w:rPr>
          <w:b w:val="0"/>
        </w:rPr>
        <w:t>7.3. К результатам работ не относятся и остаются в собственности Исполнителя:</w:t>
      </w:r>
    </w:p>
    <w:p>
      <w:pPr>
        <w:pStyle w:val="ListBullet"/>
        <w:spacing w:after="40"/>
        <w:jc w:val="both"/>
      </w:pPr>
      <w:r>
        <w:t>фреймворки, шаблоны и архитектурные решения;</w:t>
      </w:r>
    </w:p>
    <w:p>
      <w:pPr>
        <w:pStyle w:val="ListBullet"/>
        <w:spacing w:after="40"/>
        <w:jc w:val="both"/>
      </w:pPr>
      <w:r>
        <w:t>инструменты автоматизации;</w:t>
      </w:r>
    </w:p>
    <w:p>
      <w:pPr>
        <w:pStyle w:val="ListBullet"/>
        <w:spacing w:after="40"/>
        <w:jc w:val="both"/>
      </w:pPr>
      <w:r>
        <w:t>методики разработки;</w:t>
      </w:r>
    </w:p>
    <w:p>
      <w:pPr>
        <w:pStyle w:val="ListBullet"/>
        <w:spacing w:after="40"/>
        <w:jc w:val="both"/>
      </w:pPr>
      <w:r>
        <w:t>элементы, разработанные вне рамок Технического задания.</w:t>
      </w:r>
    </w:p>
    <w:p>
      <w:pPr>
        <w:spacing w:after="80"/>
        <w:jc w:val="both"/>
      </w:pPr>
      <w:r>
        <w:rPr>
          <w:b w:val="0"/>
        </w:rPr>
        <w:t>7.4. В случае использования Исполнителем собственных разработок Заказчику предоставляется неисключительная лицензия на их использование исключительно в составе Системы Заказчика.</w:t>
      </w:r>
    </w:p>
    <w:p>
      <w:pPr>
        <w:spacing w:after="80"/>
        <w:jc w:val="both"/>
      </w:pPr>
      <w:r>
        <w:rPr>
          <w:b w:val="0"/>
        </w:rPr>
        <w:t>7.5. Права на программное обеспечение и сервисы третьих лиц, используемые при функционировании Системы, принадлежат их правообладателям и предоставляются на условиях их лицензий.</w:t>
      </w:r>
    </w:p>
    <w:p>
      <w:pPr>
        <w:spacing w:after="120"/>
      </w:pPr>
      <w:r>
        <w:rPr>
          <w:b/>
        </w:rPr>
        <w:t>8. Конфиденциальность и ответственность сторон</w:t>
      </w:r>
    </w:p>
    <w:p>
      <w:pPr>
        <w:spacing w:after="80"/>
        <w:jc w:val="both"/>
      </w:pPr>
      <w:r>
        <w:rPr>
          <w:b w:val="0"/>
        </w:rPr>
        <w:t>8.1. Стороны обязуются соблюдать режим конфиденциальности в отношении сведений, полученных при исполнении настоящего договора, в течение 5 (пяти) лет.</w:t>
      </w:r>
    </w:p>
    <w:p>
      <w:pPr>
        <w:spacing w:after="80"/>
        <w:jc w:val="both"/>
      </w:pPr>
      <w:r>
        <w:rPr>
          <w:b w:val="0"/>
        </w:rPr>
        <w:t>8.2. За нарушение сроков выполнения работ Исполнитель обязан выплатить Заказчику неустойку в размере 0,1 % от цены договора за каждый день просрочки.</w:t>
      </w:r>
    </w:p>
    <w:p>
      <w:pPr>
        <w:spacing w:after="80"/>
        <w:jc w:val="both"/>
      </w:pPr>
      <w:r>
        <w:rPr>
          <w:b w:val="0"/>
        </w:rPr>
        <w:t>8.3. За нарушение сроков оплаты Исполнитель вправе предъявить Заказчику пени в размере 0,1 % от суммы задолженности за каждый день просрочки.</w:t>
      </w:r>
    </w:p>
    <w:p>
      <w:pPr>
        <w:spacing w:after="80"/>
        <w:jc w:val="both"/>
      </w:pPr>
      <w:r>
        <w:rPr>
          <w:b w:val="0"/>
        </w:rPr>
        <w:t>8.4. Совокупный размер неустойки не может превышать 10 % от цены договора.</w:t>
      </w:r>
    </w:p>
    <w:p>
      <w:pPr>
        <w:spacing w:after="80"/>
        <w:jc w:val="both"/>
      </w:pPr>
      <w:r>
        <w:rPr>
          <w:b w:val="0"/>
        </w:rPr>
        <w:t>8.5. Исполнитель не несёт ответственности за недоступность Системы, вызванную действиями Заказчика или третьих лиц, изменением условий работы сторонних сервисов и площадок, а также сбоями сетей связи и оборудования вне контроля Исполнителя.</w:t>
      </w:r>
    </w:p>
    <w:p>
      <w:pPr>
        <w:spacing w:after="120"/>
      </w:pPr>
      <w:r>
        <w:rPr>
          <w:b/>
        </w:rPr>
        <w:t>9. Обстоятельства непреодолимой силы (форс-мажор)</w:t>
      </w:r>
    </w:p>
    <w:p>
      <w:pPr>
        <w:spacing w:after="80"/>
        <w:jc w:val="both"/>
      </w:pPr>
      <w:r>
        <w:rPr>
          <w:b w:val="0"/>
        </w:rPr>
        <w:t>9.1.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возникших после заключения настоящего договора, которые Стороны не могли ни предвидеть, ни предотвратить разумными мерами.</w:t>
      </w:r>
    </w:p>
    <w:p>
      <w:pPr>
        <w:spacing w:after="80"/>
        <w:jc w:val="both"/>
      </w:pPr>
      <w:r>
        <w:rPr>
          <w:b w:val="0"/>
        </w:rPr>
        <w:t>9.2. Сторона, для которой создалась невозможность исполнения, обязана уведомить другую Сторону письменно в течение 5 (пяти) рабочих дней с момента наступления обстоятельств.</w:t>
      </w:r>
    </w:p>
    <w:p>
      <w:pPr>
        <w:spacing w:after="80"/>
        <w:jc w:val="both"/>
      </w:pPr>
      <w:r>
        <w:rPr>
          <w:b w:val="0"/>
        </w:rPr>
        <w:t>9.3. Факт наступления обстоятельств непреодолимой силы подтверждается документально уполномоченным органом, в том числе Торгово-промышленной палатой Российской Федерации.</w:t>
      </w:r>
    </w:p>
    <w:p>
      <w:pPr>
        <w:spacing w:after="120"/>
      </w:pPr>
      <w:r>
        <w:rPr>
          <w:b/>
        </w:rPr>
        <w:t>10. Срок действия договора и порядок его изменения</w:t>
      </w:r>
    </w:p>
    <w:p>
      <w:pPr>
        <w:spacing w:after="80"/>
        <w:jc w:val="both"/>
      </w:pPr>
      <w:r>
        <w:rPr>
          <w:b w:val="0"/>
        </w:rPr>
        <w:t>10.1. Настоящий договор вступает в силу с даты подписания Сторонами и действует до 31 декабря 2026 г.</w:t>
      </w:r>
    </w:p>
    <w:p>
      <w:pPr>
        <w:spacing w:after="80"/>
        <w:jc w:val="both"/>
      </w:pPr>
      <w:r>
        <w:rPr>
          <w:b w:val="0"/>
        </w:rPr>
        <w:t>10.2. Окончание срока действия договора не освобождает Стороны от исполнения обязательств, возникших до его окончания.</w:t>
      </w:r>
    </w:p>
    <w:p>
      <w:pPr>
        <w:spacing w:after="80"/>
        <w:jc w:val="both"/>
      </w:pPr>
      <w:r>
        <w:rPr>
          <w:b w:val="0"/>
        </w:rPr>
        <w:t>10.3. Все изменения и дополнения оформляются дополнительными соглашениями в письменной форме.</w:t>
      </w:r>
    </w:p>
    <w:p>
      <w:pPr>
        <w:spacing w:after="80"/>
        <w:jc w:val="both"/>
      </w:pPr>
      <w:r>
        <w:rPr>
          <w:b w:val="0"/>
        </w:rPr>
        <w:t>10.4. Договор может быть расторгнут по соглашению Сторон, а также в одностороннем порядке в случаях, предусмотренных законодательством Российской Федерации, с письменным уведомлением другой Стороны не менее чем за 30 (тридцать) календарных дней. При расторжении Стороны производят расчёты за фактически выполненные работы.</w:t>
      </w:r>
    </w:p>
    <w:p>
      <w:pPr>
        <w:spacing w:after="120"/>
      </w:pPr>
      <w:r>
        <w:rPr>
          <w:b/>
        </w:rPr>
        <w:t>11. Порядок разрешения споров</w:t>
      </w:r>
    </w:p>
    <w:p>
      <w:pPr>
        <w:spacing w:after="80"/>
        <w:jc w:val="both"/>
      </w:pPr>
      <w:r>
        <w:rPr>
          <w:b w:val="0"/>
        </w:rPr>
        <w:t>11.1. Все споры и разногласия Стороны стремятся урегулировать путём переговоров.</w:t>
      </w:r>
    </w:p>
    <w:p>
      <w:pPr>
        <w:spacing w:after="80"/>
        <w:jc w:val="both"/>
      </w:pPr>
      <w:r>
        <w:rPr>
          <w:b w:val="0"/>
        </w:rPr>
        <w:t>11.2. До обращения в суд Стороны соблюдают претензионный порядок. Срок рассмотрения письменной претензии — 10 (десять) рабочих дней с даты её получения.</w:t>
      </w:r>
    </w:p>
    <w:p>
      <w:pPr>
        <w:spacing w:after="80"/>
        <w:jc w:val="both"/>
      </w:pPr>
      <w:r>
        <w:rPr>
          <w:b w:val="0"/>
        </w:rPr>
        <w:t>11.3. При невозможности урегулирования спор подлежит рассмотрению в Арбитражном суде по месту нахождения Заказчика.</w:t>
      </w:r>
    </w:p>
    <w:p>
      <w:pPr>
        <w:spacing w:after="120"/>
      </w:pPr>
      <w:r>
        <w:rPr>
          <w:b/>
        </w:rPr>
        <w:t>12. Приложения к настоящему договору</w:t>
      </w:r>
    </w:p>
    <w:p>
      <w:pPr>
        <w:pStyle w:val="ListBullet"/>
        <w:spacing w:after="40"/>
        <w:jc w:val="both"/>
      </w:pPr>
      <w:r>
        <w:t>Приложение № 1 — Техническое задание.</w:t>
      </w:r>
    </w:p>
    <w:p>
      <w:pPr>
        <w:spacing w:after="120"/>
      </w:pPr>
      <w:r>
        <w:rPr>
          <w:b/>
        </w:rPr>
        <w:t>13. РЕКВИЗИТЫ И ПОДПИСИ СТОРОН</w:t>
      </w:r>
    </w:p>
    <w:tbl>
      <w:tblPr>
        <w:tblStyle w:val="TableGrid"/>
        <w:tblW w:type="auto" w:w="0"/>
        <w:tblLook w:firstColumn="1" w:firstRow="1" w:lastColumn="0" w:lastRow="0" w:noHBand="0" w:noVBand="1" w:val="04A0"/>
      </w:tblPr>
      <w:tblGrid>
        <w:gridCol w:w="4986"/>
        <w:gridCol w:w="4986"/>
      </w:tblGrid>
      <w:tr>
        <w:tc>
          <w:tcPr>
            <w:tcW w:type="dxa" w:w="4986"/>
          </w:tcPr>
          <w:p>
            <w:r>
              <w:rPr>
                <w:b/>
              </w:rPr>
              <w:t>Заказчик:</w:t>
            </w:r>
          </w:p>
        </w:tc>
        <w:tc>
          <w:tcPr>
            <w:tcW w:type="dxa" w:w="4986"/>
          </w:tcPr>
          <w:p>
            <w:r>
              <w:rPr>
                <w:b/>
              </w:rPr>
              <w:t>Исполнитель:</w:t>
            </w:r>
          </w:p>
        </w:tc>
      </w:tr>
      <w:tr>
        <w:tc>
          <w:tcPr>
            <w:tcW w:type="dxa" w:w="4986"/>
          </w:tcPr>
          <w:p>
            <w:pPr>
              <w:spacing w:after="20"/>
            </w:pPr>
            <w:r/>
            <w:r>
              <w:rPr>
                <w:b/>
                <w:sz w:val="18"/>
              </w:rPr>
              <w:t>ГБУ «Арктический научно-исследовательский центр Республики Саха (Якутия)»</w:t>
            </w:r>
          </w:p>
          <w:p>
            <w:pPr>
              <w:spacing w:after="20"/>
            </w:pPr>
            <w:r>
              <w:rPr>
                <w:sz w:val="18"/>
              </w:rPr>
              <w:t>Юридический адрес: 677018, Республика Саха (Якутия), г. Якутск, пр. Ленина, 30</w:t>
            </w:r>
          </w:p>
          <w:p>
            <w:pPr>
              <w:spacing w:after="20"/>
            </w:pPr>
            <w:r>
              <w:rPr>
                <w:sz w:val="18"/>
              </w:rPr>
              <w:t>Фактический адрес: 677000, Республика Саха (Якутия), г. Якутск, ул. Курашова, 22</w:t>
            </w:r>
          </w:p>
          <w:p>
            <w:pPr>
              <w:spacing w:after="20"/>
            </w:pPr>
            <w:r>
              <w:rPr>
                <w:sz w:val="18"/>
              </w:rPr>
              <w:t>ОГРН 1041402057146</w:t>
            </w:r>
          </w:p>
          <w:p>
            <w:pPr>
              <w:spacing w:after="20"/>
            </w:pPr>
            <w:r>
              <w:rPr>
                <w:sz w:val="18"/>
              </w:rPr>
              <w:t>ИНН/КПП 1435152441/143501001</w:t>
            </w:r>
          </w:p>
          <w:p>
            <w:pPr>
              <w:spacing w:after="20"/>
            </w:pPr>
            <w:r>
              <w:rPr>
                <w:sz w:val="18"/>
              </w:rPr>
              <w:t>Банк: ОКЦ № 6 ДГУ БАНКА РОССИИ//УФК по Республике Саха (Якутия) г. Якутск</w:t>
            </w:r>
          </w:p>
          <w:p>
            <w:pPr>
              <w:spacing w:after="20"/>
            </w:pPr>
            <w:r>
              <w:rPr>
                <w:sz w:val="18"/>
              </w:rPr>
              <w:t>БИК 019805001</w:t>
            </w:r>
          </w:p>
          <w:p>
            <w:pPr>
              <w:spacing w:after="20"/>
            </w:pPr>
            <w:r>
              <w:rPr>
                <w:sz w:val="18"/>
              </w:rPr>
              <w:t>Казначейский счет 03224643980000001601</w:t>
            </w:r>
          </w:p>
          <w:p>
            <w:pPr>
              <w:spacing w:after="20"/>
            </w:pPr>
            <w:r>
              <w:rPr>
                <w:sz w:val="18"/>
              </w:rPr>
              <w:t>Корреспондентский счет 40102810345370000085</w:t>
            </w:r>
          </w:p>
          <w:p>
            <w:pPr>
              <w:spacing w:after="20"/>
            </w:pPr>
            <w:r>
              <w:rPr>
                <w:sz w:val="18"/>
              </w:rPr>
              <w:t>Министерство финансов Республики Саха (Якутия), Лицевой счет № 20075035130</w:t>
            </w:r>
          </w:p>
          <w:p>
            <w:pPr>
              <w:spacing w:after="20"/>
            </w:pPr>
            <w:r>
              <w:rPr>
                <w:sz w:val="18"/>
              </w:rPr>
              <w:t>Тел: +7 (4112) 31-90-84</w:t>
            </w:r>
          </w:p>
          <w:p>
            <w:pPr>
              <w:spacing w:after="20"/>
            </w:pPr>
            <w:r>
              <w:rPr>
                <w:sz w:val="18"/>
              </w:rPr>
              <w:t>E-mail: diring@mail.ru</w:t>
            </w:r>
          </w:p>
          <w:p>
            <w:pPr>
              <w:spacing w:after="20"/>
            </w:pPr>
            <w:r>
              <w:rPr>
                <w:sz w:val="18"/>
              </w:rPr>
            </w:r>
          </w:p>
          <w:p>
            <w:pPr>
              <w:spacing w:after="20"/>
            </w:pPr>
            <w:r>
              <w:rPr>
                <w:sz w:val="18"/>
              </w:rPr>
              <w:t>И.о. директора</w:t>
            </w:r>
          </w:p>
          <w:p>
            <w:pPr>
              <w:spacing w:after="20"/>
            </w:pPr>
            <w:r>
              <w:rPr>
                <w:sz w:val="18"/>
              </w:rPr>
            </w:r>
          </w:p>
          <w:p>
            <w:pPr>
              <w:spacing w:after="20"/>
            </w:pPr>
            <w:r>
              <w:rPr>
                <w:sz w:val="18"/>
              </w:rPr>
              <w:t>_______________ / Хохолов А.А.</w:t>
            </w:r>
          </w:p>
        </w:tc>
        <w:tc>
          <w:tcPr>
            <w:tcW w:type="dxa" w:w="4986"/>
          </w:tcPr>
          <w:p>
            <w:pPr>
              <w:spacing w:after="20"/>
            </w:pPr>
            <w:r/>
            <w:r>
              <w:rPr>
                <w:b/>
                <w:sz w:val="18"/>
              </w:rPr>
              <w:t>ООО «АСТРА ГРУПП»</w:t>
            </w:r>
          </w:p>
          <w:p>
            <w:pPr>
              <w:spacing w:after="20"/>
            </w:pPr>
            <w:r>
              <w:rPr>
                <w:sz w:val="18"/>
              </w:rPr>
              <w:t>Юридический адрес: 677008, Республика Саха (Якутия), г. Якутск,</w:t>
            </w:r>
          </w:p>
          <w:p>
            <w:pPr>
              <w:spacing w:after="20"/>
            </w:pPr>
            <w:r>
              <w:rPr>
                <w:sz w:val="18"/>
              </w:rPr>
              <w:t>Хатын-Юряхское шоссе 6 км, д. 112/2</w:t>
            </w:r>
          </w:p>
          <w:p>
            <w:pPr>
              <w:spacing w:after="20"/>
            </w:pPr>
            <w:r>
              <w:rPr>
                <w:sz w:val="18"/>
              </w:rPr>
              <w:t>Фактический адрес: 677008, Республика Саха (Якутия), г. Якутск,</w:t>
            </w:r>
          </w:p>
          <w:p>
            <w:pPr>
              <w:spacing w:after="20"/>
            </w:pPr>
            <w:r>
              <w:rPr>
                <w:sz w:val="18"/>
              </w:rPr>
              <w:t>Хатын-Юряхское шоссе 6 км, д. 112/2</w:t>
            </w:r>
          </w:p>
          <w:p>
            <w:pPr>
              <w:spacing w:after="20"/>
            </w:pPr>
            <w:r>
              <w:rPr>
                <w:sz w:val="18"/>
              </w:rPr>
              <w:t>ОГРН 1251400010322</w:t>
            </w:r>
          </w:p>
          <w:p>
            <w:pPr>
              <w:spacing w:after="20"/>
            </w:pPr>
            <w:r>
              <w:rPr>
                <w:sz w:val="18"/>
              </w:rPr>
              <w:t>ИНН/КПП 1400053030/140001001</w:t>
            </w:r>
          </w:p>
          <w:p>
            <w:pPr>
              <w:spacing w:after="20"/>
            </w:pPr>
            <w:r>
              <w:rPr>
                <w:sz w:val="18"/>
              </w:rPr>
              <w:t>Р/с 40702810720000274568</w:t>
            </w:r>
          </w:p>
          <w:p>
            <w:pPr>
              <w:spacing w:after="20"/>
            </w:pPr>
            <w:r>
              <w:rPr>
                <w:sz w:val="18"/>
              </w:rPr>
              <w:t>Банк: ООО «Банк Точка»</w:t>
            </w:r>
          </w:p>
          <w:p>
            <w:pPr>
              <w:spacing w:after="20"/>
            </w:pPr>
            <w:r>
              <w:rPr>
                <w:sz w:val="18"/>
              </w:rPr>
              <w:t>К/с 30101810745374525104</w:t>
            </w:r>
          </w:p>
          <w:p>
            <w:pPr>
              <w:spacing w:after="20"/>
            </w:pPr>
            <w:r>
              <w:rPr>
                <w:sz w:val="18"/>
              </w:rPr>
              <w:t>БИК 044525104</w:t>
            </w:r>
          </w:p>
          <w:p>
            <w:pPr>
              <w:spacing w:after="20"/>
            </w:pPr>
            <w:r>
              <w:rPr>
                <w:sz w:val="18"/>
              </w:rPr>
            </w:r>
          </w:p>
          <w:p>
            <w:pPr>
              <w:spacing w:after="20"/>
            </w:pPr>
            <w:r>
              <w:rPr>
                <w:sz w:val="18"/>
              </w:rPr>
              <w:t>Генеральный директор</w:t>
            </w:r>
          </w:p>
          <w:p>
            <w:pPr>
              <w:spacing w:after="20"/>
            </w:pPr>
            <w:r>
              <w:rPr>
                <w:sz w:val="18"/>
              </w:rPr>
            </w:r>
          </w:p>
          <w:p>
            <w:pPr>
              <w:spacing w:after="20"/>
            </w:pPr>
            <w:r>
              <w:rPr>
                <w:sz w:val="18"/>
              </w:rPr>
              <w:t>_______________ / Ядрихинский С.А.</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