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 w:val="0"/>
          <w:i w:val="0"/>
          <w:color w:val="5A636E"/>
          <w:sz w:val="20"/>
        </w:rPr>
        <w:t>ГБУ «Арктический научно-исследовательский центр Республики Саха (Якутия)»</w:t>
      </w:r>
    </w:p>
    <w:p>
      <w:pPr>
        <w:spacing w:after="360"/>
        <w:jc w:val="center"/>
      </w:pPr>
      <w:r>
        <w:rPr>
          <w:b w:val="0"/>
          <w:i w:val="0"/>
          <w:color w:val="5A636E"/>
          <w:sz w:val="20"/>
        </w:rPr>
        <w:t>Официальный сайт аниц.рф</w:t>
      </w:r>
    </w:p>
    <w:p>
      <w:pPr>
        <w:spacing w:after="80"/>
        <w:jc w:val="center"/>
      </w:pPr>
      <w:r>
        <w:rPr>
          <w:b/>
          <w:i w:val="0"/>
          <w:color w:val="0E4A6E"/>
          <w:sz w:val="36"/>
        </w:rPr>
        <w:t>Инструкция администратора</w:t>
      </w:r>
    </w:p>
    <w:p>
      <w:pPr>
        <w:spacing w:after="80"/>
        <w:jc w:val="center"/>
      </w:pPr>
      <w:r>
        <w:rPr>
          <w:b w:val="0"/>
          <w:i/>
          <w:sz w:val="22"/>
        </w:rPr>
        <w:t>управление доступом, настройки, обслуживание и публичный API</w:t>
      </w:r>
    </w:p>
    <w:p>
      <w:pPr>
        <w:spacing w:after="320"/>
        <w:jc w:val="center"/>
      </w:pPr>
      <w:r>
        <w:rPr>
          <w:b w:val="0"/>
          <w:i w:val="0"/>
          <w:color w:val="5A636E"/>
          <w:sz w:val="19"/>
        </w:rPr>
        <w:t>Договор № 01/09/26-2 · Исполнитель ООО «АСТРА ГРУПП» · октябрь 2026</w:t>
      </w:r>
    </w:p>
    <w:p>
      <w:pPr>
        <w:pStyle w:val="Heading1"/>
      </w:pPr>
      <w:r>
        <w:t>1. Пользователи и права</w:t>
      </w:r>
    </w:p>
    <w:p>
      <w:pPr>
        <w:pStyle w:val="ListNumber"/>
        <w:spacing w:after="40"/>
      </w:pPr>
      <w:r>
        <w:t>Раздел «Пользователи» → «Новый пользователь».</w:t>
      </w:r>
    </w:p>
    <w:p>
      <w:pPr>
        <w:pStyle w:val="ListNumber"/>
        <w:spacing w:after="40"/>
      </w:pPr>
      <w:r>
        <w:t>Укажите имя, адрес почты (это логин) и пароль; выберите роль.</w:t>
      </w:r>
    </w:p>
    <w:p>
      <w:pPr>
        <w:pStyle w:val="ListNumber"/>
        <w:spacing w:after="40"/>
      </w:pPr>
      <w:r>
        <w:t>При необходимости во вкладке доступа отметьте разделы вручную — например, откройте «Обращения» сотруднику приёмной. «Сбросить к умолчаниям роли» возвращает стандартный набор.</w:t>
      </w:r>
    </w:p>
    <w:p>
      <w:pPr>
        <w:pStyle w:val="ListNumber"/>
        <w:spacing w:after="40"/>
      </w:pPr>
      <w:r>
        <w:t>Сообщите сотруднику логин и пароль лично, не в общих чатах.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835"/>
            <w:shd w:val="clear" w:color="auto" w:fill="0E4A6E"/>
          </w:tcPr>
          <w:p>
            <w:r>
              <w:rPr>
                <w:b/>
                <w:color w:val="FFFFFF"/>
                <w:sz w:val="19"/>
              </w:rPr>
              <w:t>Роль</w:t>
            </w:r>
          </w:p>
        </w:tc>
        <w:tc>
          <w:tcPr>
            <w:tcW w:type="dxa" w:w="6803"/>
            <w:shd w:val="clear" w:color="auto" w:fill="0E4A6E"/>
          </w:tcPr>
          <w:p>
            <w:r>
              <w:rPr>
                <w:b/>
                <w:color w:val="FFFFFF"/>
                <w:sz w:val="19"/>
              </w:rPr>
              <w:t>Разделы по умолчанию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/>
                <w:sz w:val="19"/>
              </w:rPr>
              <w:t>Администратор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sz w:val="19"/>
              </w:rPr>
              <w:t>Все разделы, пользователи и настройки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/>
                <w:sz w:val="19"/>
              </w:rPr>
              <w:t>Редактор новостей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sz w:val="19"/>
              </w:rPr>
              <w:t>Новости, база знаний, медиа, кросс-постинг, тикеты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/>
                <w:sz w:val="19"/>
              </w:rPr>
              <w:t>Научный сотрудник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sz w:val="19"/>
              </w:rPr>
              <w:t>База знаний, проекты, публикации, тикеты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/>
                <w:sz w:val="19"/>
              </w:rPr>
              <w:t>Специалист по кадрам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sz w:val="19"/>
              </w:rPr>
              <w:t>База знаний, подразделения, сотрудники, документы, тикеты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>
              <w:rPr>
                <w:b/>
                <w:sz w:val="19"/>
              </w:rPr>
              <w:t>Специалист по закупкам</w:t>
            </w:r>
          </w:p>
        </w:tc>
        <w:tc>
          <w:tcPr>
            <w:tcW w:type="dxa" w:w="6803"/>
          </w:tcPr>
          <w:p>
            <w:pPr>
              <w:spacing w:after="20"/>
            </w:pPr>
            <w:r>
              <w:rPr>
                <w:sz w:val="19"/>
              </w:rPr>
              <w:t>База знаний, документы, закупки, тикеты</w:t>
            </w:r>
          </w:p>
        </w:tc>
      </w:tr>
    </w:tbl>
    <w:p/>
    <w:p>
      <w:pPr>
        <w:spacing w:after="100"/>
      </w:pPr>
      <w:r>
        <w:rPr>
          <w:b w:val="0"/>
          <w:i w:val="0"/>
        </w:rPr>
        <w:t>Уволившемуся сотруднику сразу смените пароль — доступ закроется, а его материалы на сайте останутся.</w:t>
      </w:r>
    </w:p>
    <w:p>
      <w:pPr>
        <w:pStyle w:val="Heading1"/>
      </w:pPr>
      <w:r>
        <w:t>2. Настройки сайта</w:t>
      </w:r>
    </w:p>
    <w:p>
      <w:pPr>
        <w:spacing w:after="100"/>
      </w:pPr>
      <w:r>
        <w:rPr>
          <w:b w:val="0"/>
          <w:i w:val="0"/>
        </w:rPr>
        <w:t>Раздел «Настройки» → «Конфигурация сайта»: название и описание сайта, телефон, электронная почта и адрес (показываются в шапке и подвале), ссылки на соцсети (Telegram, ВКонтакте, MAX, Одноклассники), содержимое robots.txt. Изменения применяются сразу.</w:t>
      </w:r>
    </w:p>
    <w:p>
      <w:pPr>
        <w:pStyle w:val="Heading1"/>
      </w:pPr>
      <w:r>
        <w:t>3. Кросс-постинг</w:t>
      </w:r>
    </w:p>
    <w:p>
      <w:pPr>
        <w:spacing w:after="100"/>
      </w:pPr>
      <w:r>
        <w:rPr>
          <w:b w:val="0"/>
          <w:i w:val="0"/>
        </w:rPr>
        <w:t>Публикация в соцсетях работает для площадок, к которым подключены учётные данные учреждения. Для подключения новой площадки передайте исполнителю: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0E4A6E"/>
          </w:tcPr>
          <w:p>
            <w:r>
              <w:rPr>
                <w:b/>
                <w:color w:val="FFFFFF"/>
                <w:sz w:val="19"/>
              </w:rPr>
              <w:t>Площадка</w:t>
            </w:r>
          </w:p>
        </w:tc>
        <w:tc>
          <w:tcPr>
            <w:tcW w:type="dxa" w:w="7370"/>
            <w:shd w:val="clear" w:color="auto" w:fill="0E4A6E"/>
          </w:tcPr>
          <w:p>
            <w:r>
              <w:rPr>
                <w:b/>
                <w:color w:val="FFFFFF"/>
                <w:sz w:val="19"/>
              </w:rPr>
              <w:t>Что нужно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9"/>
              </w:rPr>
              <w:t>Telegram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  <w:t>Бот, добавленный администратором в канал; токен бота и адрес канала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9"/>
              </w:rPr>
              <w:t>ВКонтакте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  <w:t>Токен доступа сообщества и идентификатор группы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9"/>
              </w:rPr>
              <w:t>MAX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  <w:t>Бот, добавленный в канал; токен бота и идентификатор канала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9"/>
              </w:rPr>
              <w:t>Яндекс.Дзен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  <w:t>Данные доступа к каналу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9"/>
              </w:rPr>
              <w:t>Одноклассники</w:t>
            </w:r>
          </w:p>
        </w:tc>
        <w:tc>
          <w:tcPr>
            <w:tcW w:type="dxa" w:w="7370"/>
          </w:tcPr>
          <w:p>
            <w:pPr>
              <w:spacing w:after="20"/>
            </w:pPr>
            <w:r>
              <w:rPr>
                <w:sz w:val="19"/>
              </w:rPr>
              <w:t>Идентификатор приложения, публичный и секретный ключи, токен доступа, идентификатор группы</w:t>
            </w:r>
          </w:p>
        </w:tc>
      </w:tr>
    </w:tbl>
    <w:p/>
    <w:p>
      <w:pPr>
        <w:spacing w:after="100"/>
      </w:pPr>
      <w:r>
        <w:rPr>
          <w:b w:val="0"/>
          <w:i w:val="0"/>
        </w:rPr>
        <w:t>Результат каждой отправки виден в разделе «Кросс-постинг»; неудачную отправку можно повторить.</w:t>
      </w:r>
    </w:p>
    <w:p>
      <w:pPr>
        <w:pStyle w:val="Heading1"/>
      </w:pPr>
      <w:r>
        <w:t>4. Обращения граждан</w:t>
      </w:r>
    </w:p>
    <w:p>
      <w:pPr>
        <w:pStyle w:val="ListBullet"/>
        <w:spacing w:after="40"/>
      </w:pPr>
      <w:r>
        <w:rPr>
          <w:b/>
        </w:rPr>
        <w:t>Как приходят:</w:t>
      </w:r>
      <w:r>
        <w:t xml:space="preserve"> форма «Контакты» на сайте сохраняет обращение в раздел «Обращения». Ни одно обращение не теряется, даже если почта не настроена.</w:t>
      </w:r>
    </w:p>
    <w:p>
      <w:pPr>
        <w:pStyle w:val="ListBullet"/>
        <w:spacing w:after="40"/>
      </w:pPr>
      <w:r>
        <w:rPr>
          <w:b/>
        </w:rPr>
        <w:t>Кто разбирает:</w:t>
      </w:r>
      <w:r>
        <w:t xml:space="preserve"> выдайте ответственному сотруднику доступ к разделу «Обращения» (п. 1).</w:t>
      </w:r>
    </w:p>
    <w:p>
      <w:pPr>
        <w:pStyle w:val="ListBullet"/>
        <w:spacing w:after="40"/>
      </w:pPr>
      <w:r>
        <w:rPr>
          <w:b/>
        </w:rPr>
        <w:t>Уведомления:</w:t>
      </w:r>
      <w:r>
        <w:t xml:space="preserve"> исполнитель может настроить мгновенное уведомление о новых обращениях в Telegram или MAX и дублирование на почту учреждения — сообщите адрес чата или почты.</w:t>
      </w:r>
    </w:p>
    <w:p>
      <w:pPr>
        <w:pStyle w:val="Heading1"/>
      </w:pPr>
      <w:r>
        <w:t>5. Обслуживание (выполняет исполнитель)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  <w:shd w:val="clear" w:color="auto" w:fill="0E4A6E"/>
          </w:tcPr>
          <w:p>
            <w:r>
              <w:rPr>
                <w:b/>
                <w:color w:val="FFFFFF"/>
                <w:sz w:val="19"/>
              </w:rPr>
              <w:t>Что</w:t>
            </w:r>
          </w:p>
        </w:tc>
        <w:tc>
          <w:tcPr>
            <w:tcW w:type="dxa" w:w="7654"/>
            <w:shd w:val="clear" w:color="auto" w:fill="0E4A6E"/>
          </w:tcPr>
          <w:p>
            <w:r>
              <w:rPr>
                <w:b/>
                <w:color w:val="FFFFFF"/>
                <w:sz w:val="19"/>
              </w:rPr>
              <w:t>Как устроено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b/>
                <w:sz w:val="19"/>
              </w:rPr>
              <w:t>Размещение</w:t>
            </w:r>
          </w:p>
        </w:tc>
        <w:tc>
          <w:tcPr>
            <w:tcW w:type="dxa" w:w="7654"/>
          </w:tcPr>
          <w:p>
            <w:pPr>
              <w:spacing w:after="20"/>
            </w:pPr>
            <w:r>
              <w:rPr>
                <w:sz w:val="19"/>
              </w:rPr>
              <w:t>Выделенный сервер исполнителя, защищённое соединение (HTTPS), сертификат продлевается автоматически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b/>
                <w:sz w:val="19"/>
              </w:rPr>
              <w:t>Резервные копии</w:t>
            </w:r>
          </w:p>
        </w:tc>
        <w:tc>
          <w:tcPr>
            <w:tcW w:type="dxa" w:w="7654"/>
          </w:tcPr>
          <w:p>
            <w:pPr>
              <w:spacing w:after="20"/>
            </w:pPr>
            <w:r>
              <w:rPr>
                <w:sz w:val="19"/>
              </w:rPr>
              <w:t>База данных копируется каждую ночь; копии хранятся на сервере, перед существенными изменениями делается дополнительная копия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b/>
                <w:sz w:val="19"/>
              </w:rPr>
              <w:t>Мониторинг</w:t>
            </w:r>
          </w:p>
        </w:tc>
        <w:tc>
          <w:tcPr>
            <w:tcW w:type="dxa" w:w="7654"/>
          </w:tcPr>
          <w:p>
            <w:pPr>
              <w:spacing w:after="20"/>
            </w:pPr>
            <w:r>
              <w:rPr>
                <w:sz w:val="19"/>
              </w:rPr>
              <w:t>Доступность сайта проверяется каждые 5 минут с другого сервера; при сбое исполнитель получает оповещение. Журнал проверок — основа отчёта о доступности (не ниже 99 % по договору)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b/>
                <w:sz w:val="19"/>
              </w:rPr>
              <w:t>Поиск</w:t>
            </w:r>
          </w:p>
        </w:tc>
        <w:tc>
          <w:tcPr>
            <w:tcW w:type="dxa" w:w="7654"/>
          </w:tcPr>
          <w:p>
            <w:pPr>
              <w:spacing w:after="20"/>
            </w:pPr>
            <w:r>
              <w:rPr>
                <w:sz w:val="19"/>
              </w:rPr>
              <w:t>Индекс поиска обновляется каждые 10 минут по всем разделам; новости и база знаний — сразу при сохранении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b/>
                <w:sz w:val="19"/>
              </w:rPr>
              <w:t>Обновления</w:t>
            </w:r>
          </w:p>
        </w:tc>
        <w:tc>
          <w:tcPr>
            <w:tcW w:type="dxa" w:w="7654"/>
          </w:tcPr>
          <w:p>
            <w:pPr>
              <w:spacing w:after="20"/>
            </w:pPr>
            <w:r>
              <w:rPr>
                <w:sz w:val="19"/>
              </w:rPr>
              <w:t>Обновления системы и программ устанавливаются исполнителем с проверкой работоспособности; при неудачной сборке автоматически возвращается предыдущая версия</w:t>
            </w:r>
          </w:p>
        </w:tc>
      </w:tr>
      <w:tr>
        <w:tc>
          <w:tcPr>
            <w:tcW w:type="dxa" w:w="1984"/>
          </w:tcPr>
          <w:p>
            <w:pPr>
              <w:spacing w:after="20"/>
            </w:pPr>
            <w:r>
              <w:rPr>
                <w:b/>
                <w:sz w:val="19"/>
              </w:rPr>
              <w:t>Сроки</w:t>
            </w:r>
          </w:p>
        </w:tc>
        <w:tc>
          <w:tcPr>
            <w:tcW w:type="dxa" w:w="7654"/>
          </w:tcPr>
          <w:p>
            <w:pPr>
              <w:spacing w:after="20"/>
            </w:pPr>
            <w:r>
              <w:rPr>
                <w:sz w:val="19"/>
              </w:rPr>
              <w:t>Недоступность сайта — устранение в течение 24 часов; прочие работы — в рабочие дни</w:t>
            </w:r>
          </w:p>
        </w:tc>
      </w:tr>
    </w:tbl>
    <w:p/>
    <w:p>
      <w:pPr>
        <w:pStyle w:val="Heading1"/>
      </w:pPr>
      <w:r>
        <w:t>6. Публичный программный интерфейс (API)</w:t>
      </w:r>
    </w:p>
    <w:p>
      <w:pPr>
        <w:spacing w:after="100"/>
      </w:pPr>
      <w:r>
        <w:rPr>
          <w:b w:val="0"/>
          <w:i w:val="0"/>
        </w:rPr>
        <w:t>API позволяет сторонним системам получать данные сайта. Доступ — по ключу, который выдаёт исполнитель. Ключ передаётся в заголовке каждого запроса:</w:t>
      </w:r>
    </w:p>
    <w:p>
      <w:pPr>
        <w:spacing w:after="120"/>
        <w:ind w:left="283"/>
      </w:pPr>
      <w:r>
        <w:rPr>
          <w:rFonts w:ascii="Consolas" w:hAnsi="Consolas" w:eastAsia="Consolas"/>
          <w:sz w:val="19"/>
        </w:rPr>
        <w:t>Authorization: Bearer &lt;ключ&gt;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268"/>
            <w:shd w:val="clear" w:color="auto" w:fill="0E4A6E"/>
          </w:tcPr>
          <w:p>
            <w:r>
              <w:rPr>
                <w:b/>
                <w:color w:val="FFFFFF"/>
                <w:sz w:val="19"/>
              </w:rPr>
              <w:t>Адрес</w:t>
            </w:r>
          </w:p>
        </w:tc>
        <w:tc>
          <w:tcPr>
            <w:tcW w:type="dxa" w:w="3685"/>
            <w:shd w:val="clear" w:color="auto" w:fill="0E4A6E"/>
          </w:tcPr>
          <w:p>
            <w:r>
              <w:rPr>
                <w:b/>
                <w:color w:val="FFFFFF"/>
                <w:sz w:val="19"/>
              </w:rPr>
              <w:t>Что возвращает</w:t>
            </w:r>
          </w:p>
        </w:tc>
        <w:tc>
          <w:tcPr>
            <w:tcW w:type="dxa" w:w="3685"/>
            <w:shd w:val="clear" w:color="auto" w:fill="0E4A6E"/>
          </w:tcPr>
          <w:p>
            <w:r>
              <w:rPr>
                <w:b/>
                <w:color w:val="FFFFFF"/>
                <w:sz w:val="19"/>
              </w:rPr>
              <w:t>Параметры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9"/>
              </w:rPr>
              <w:t>GET /api/v1/search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sz w:val="19"/>
              </w:rPr>
              <w:t>Поиск по всем разделам сайта (с учётом морфологии и опечаток): раздел, заголовок, ссылка, фрагмент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sz w:val="19"/>
              </w:rPr>
              <w:t>q — запрос (от 2 символов); type — раздел (news, knowledge, pages, document, project, publication, procurement, department, team, media, partner); limit — до 50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9"/>
              </w:rPr>
              <w:t>GET /api/v1/stats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sz w:val="19"/>
              </w:rPr>
              <w:t>Сводная статистика сайта: количество материалов по разделам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9"/>
              </w:rPr>
              <w:t>GET /api/v1/departments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sz w:val="19"/>
              </w:rPr>
              <w:t>Подразделения с руководителями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9"/>
              </w:rPr>
              <w:t>GET /api/v1/knowledge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sz w:val="19"/>
              </w:rPr>
              <w:t>Опубликованные материалы базы знаний</w:t>
            </w:r>
          </w:p>
        </w:tc>
        <w:tc>
          <w:tcPr>
            <w:tcW w:type="dxa" w:w="3685"/>
          </w:tcPr>
          <w:p>
            <w:pPr>
              <w:spacing w:after="20"/>
            </w:pPr>
            <w:r>
              <w:rPr>
                <w:sz w:val="19"/>
              </w:rPr>
              <w:t>q, category, department, limit (до 100), offset</w:t>
            </w:r>
          </w:p>
        </w:tc>
      </w:tr>
    </w:tbl>
    <w:p/>
    <w:p>
      <w:pPr>
        <w:spacing w:after="40"/>
      </w:pPr>
      <w:r>
        <w:rPr>
          <w:b/>
          <w:i w:val="0"/>
        </w:rPr>
        <w:t>Пример запроса:</w:t>
      </w:r>
    </w:p>
    <w:p>
      <w:pPr>
        <w:spacing w:after="120"/>
        <w:ind w:left="283"/>
      </w:pPr>
      <w:r>
        <w:rPr>
          <w:rFonts w:ascii="Consolas" w:hAnsi="Consolas" w:eastAsia="Consolas"/>
          <w:sz w:val="19"/>
        </w:rPr>
        <w:t>curl -H "Authorization: Bearer &lt;ключ&gt;" "https://аниц.рф/api/v1/search?q=лапидарий&amp;limit=5"</w:t>
      </w:r>
    </w:p>
    <w:p>
      <w:pPr>
        <w:spacing w:after="100"/>
      </w:pPr>
      <w:r>
        <w:rPr>
          <w:b w:val="0"/>
          <w:i w:val="0"/>
        </w:rPr>
        <w:t>Ответ — JSON: поле data со списком результатов и поле meta со сводкой. Без ключа или с неверным ключом API отвечает кодом 401.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E4A6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E4A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