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6"/>
        </w:rPr>
        <w:t>АКТ № 1</w:t>
      </w:r>
    </w:p>
    <w:p>
      <w:pPr>
        <w:spacing w:after="80"/>
        <w:jc w:val="center"/>
      </w:pPr>
      <w:r>
        <w:rPr>
          <w:b/>
        </w:rPr>
        <w:t>сдачи-приёмки выполненных работ</w:t>
      </w:r>
    </w:p>
    <w:p>
      <w:pPr>
        <w:spacing w:after="200"/>
        <w:jc w:val="center"/>
      </w:pPr>
      <w:r>
        <w:rPr>
          <w:b w:val="0"/>
        </w:rPr>
        <w:t>к договору № 01/09/26-2 от «21» августа 2026 г.</w:t>
      </w:r>
    </w:p>
    <w:p>
      <w:pPr>
        <w:spacing w:after="200"/>
      </w:pPr>
      <w:r>
        <w:t>г. Якутск</w:t>
      </w:r>
      <w:r>
        <w:tab/>
        <w:tab/>
        <w:tab/>
        <w:tab/>
        <w:tab/>
        <w:tab/>
      </w:r>
      <w:r>
        <w:t>«____» __________ 2026 г.</w:t>
      </w:r>
    </w:p>
    <w:p>
      <w:pPr>
        <w:spacing w:after="160"/>
        <w:jc w:val="both"/>
      </w:pPr>
      <w:r>
        <w:rPr>
          <w:b w:val="0"/>
        </w:rPr>
        <w:t>Государственное бюджетное учреждение «Арктический научно-исследовательский центр Республики Саха (Якутия)», именуемое в дальнейшем «Заказчик», в лице вр.и.о. директора Хохолова Артура Аркадьевича, действующего на основании приказа Минобрнауки РС(Я) от 30.07.2026 г. №09-21/180, с одной стороны, и Общество с ограниченной ответственностью «АСТРА ГРУПП», именуемое в дальнейшем «Исполнитель», в лице генерального директора Ядрихинского Сергея Александровича, действующего на основании Устава, с другой стороны, составили настоящий Акт о нижеследующем.</w:t>
      </w:r>
    </w:p>
    <w:p>
      <w:pPr>
        <w:spacing w:after="120"/>
      </w:pPr>
      <w:r>
        <w:rPr>
          <w:b/>
        </w:rPr>
        <w:t>1. Предмет приёмки</w:t>
      </w:r>
    </w:p>
    <w:p>
      <w:pPr>
        <w:spacing w:after="80"/>
        <w:jc w:val="both"/>
      </w:pPr>
      <w:r>
        <w:rPr>
          <w:b w:val="0"/>
        </w:rPr>
        <w:t>1.1. Исполнитель выполнил, а Заказчик принял работы по договору № 01/09/26-2 от «21» августа 2026 г. — развитие информационной системы Заказчика, официального сайта аниц.рф, её техническое сопровождение и серверное размещение.</w:t>
      </w:r>
    </w:p>
    <w:p>
      <w:pPr>
        <w:spacing w:after="120"/>
      </w:pPr>
      <w:r>
        <w:rPr>
          <w:b/>
        </w:rPr>
        <w:t>2. Перечень выполненных работ</w:t>
      </w:r>
    </w:p>
    <w:p>
      <w:pPr>
        <w:spacing w:after="80"/>
        <w:jc w:val="both"/>
      </w:pPr>
      <w:r>
        <w:rPr>
          <w:b w:val="0"/>
        </w:rPr>
        <w:t>2.1. По итогам работ Система обеспечивает:</w:t>
      </w:r>
    </w:p>
    <w:p>
      <w:pPr>
        <w:pStyle w:val="ListBullet"/>
        <w:spacing w:after="40"/>
        <w:ind w:left="454"/>
      </w:pPr>
      <w:r>
        <w:rPr>
          <w:sz w:val="22"/>
        </w:rPr>
        <w:t>единый поиск по материалам всех разделов сайта с учётом морфологии русского языка и устойчивостью к опечаткам, с указанием раздела и ссылкой на исходный материал;</w:t>
      </w:r>
    </w:p>
    <w:p>
      <w:pPr>
        <w:pStyle w:val="ListBullet"/>
        <w:spacing w:after="40"/>
        <w:ind w:left="454"/>
      </w:pPr>
      <w:r>
        <w:rPr>
          <w:sz w:val="22"/>
        </w:rPr>
        <w:t>поисковая оптимизация: автоматическое формирование robots.txt и sitemap.xml, метатеги Open Graph и Twitter Card, файл llms.txt для роботов интеллектуальных сервисов;</w:t>
      </w:r>
    </w:p>
    <w:p>
      <w:pPr>
        <w:pStyle w:val="ListBullet"/>
        <w:spacing w:after="40"/>
        <w:ind w:left="454"/>
      </w:pPr>
      <w:r>
        <w:rPr>
          <w:sz w:val="22"/>
        </w:rPr>
        <w:t>раздел «Документы» с навигацией по разделам и загрузкой файлов;</w:t>
      </w:r>
    </w:p>
    <w:p>
      <w:pPr>
        <w:pStyle w:val="ListBullet"/>
        <w:spacing w:after="40"/>
        <w:ind w:left="454"/>
      </w:pPr>
      <w:r>
        <w:rPr>
          <w:sz w:val="22"/>
        </w:rPr>
        <w:t>раздел «Медиа» — фото- и видеогалерея учреждения;</w:t>
      </w:r>
    </w:p>
    <w:p>
      <w:pPr>
        <w:pStyle w:val="ListBullet"/>
        <w:spacing w:after="40"/>
        <w:ind w:left="454"/>
      </w:pPr>
      <w:r>
        <w:rPr>
          <w:sz w:val="22"/>
        </w:rPr>
        <w:t>раздел «Команда» — сведения о работниках учреждения;</w:t>
      </w:r>
    </w:p>
    <w:p>
      <w:pPr>
        <w:pStyle w:val="ListBullet"/>
        <w:spacing w:after="40"/>
        <w:ind w:left="454"/>
      </w:pPr>
      <w:r>
        <w:rPr>
          <w:sz w:val="22"/>
        </w:rPr>
        <w:t>раздел «Партнёры» с логотипами и ссылками;</w:t>
      </w:r>
    </w:p>
    <w:p>
      <w:pPr>
        <w:pStyle w:val="ListBullet"/>
        <w:spacing w:after="40"/>
        <w:ind w:left="454"/>
      </w:pPr>
      <w:r>
        <w:rPr>
          <w:sz w:val="22"/>
        </w:rPr>
        <w:t>раздел «Закупки» с поддержкой ссылок на ЕИС;</w:t>
      </w:r>
    </w:p>
    <w:p>
      <w:pPr>
        <w:pStyle w:val="ListBullet"/>
        <w:spacing w:after="40"/>
        <w:ind w:left="454"/>
      </w:pPr>
      <w:r>
        <w:rPr>
          <w:sz w:val="22"/>
        </w:rPr>
        <w:t>раздел «Проекты» с рубрикацией;</w:t>
      </w:r>
    </w:p>
    <w:p>
      <w:pPr>
        <w:pStyle w:val="ListBullet"/>
        <w:spacing w:after="40"/>
        <w:ind w:left="454"/>
      </w:pPr>
      <w:r>
        <w:rPr>
          <w:sz w:val="22"/>
        </w:rPr>
        <w:t>раздел «Публикации» — научные труды работников;</w:t>
      </w:r>
    </w:p>
    <w:p>
      <w:pPr>
        <w:pStyle w:val="ListBullet"/>
        <w:spacing w:after="40"/>
        <w:ind w:left="454"/>
      </w:pPr>
      <w:r>
        <w:rPr>
          <w:sz w:val="22"/>
        </w:rPr>
        <w:t>раздел «Подразделения» — структура учреждения;</w:t>
      </w:r>
    </w:p>
    <w:p>
      <w:pPr>
        <w:pStyle w:val="ListBullet"/>
        <w:spacing w:after="40"/>
        <w:ind w:left="454"/>
      </w:pPr>
      <w:r>
        <w:rPr>
          <w:sz w:val="22"/>
        </w:rPr>
        <w:t>раздел «Обращения» — приём обращений с публичной части сайта с сохранением в административной панели, статусами обработки и комментарием сотрудника;</w:t>
      </w:r>
    </w:p>
    <w:p>
      <w:pPr>
        <w:pStyle w:val="ListBullet"/>
        <w:spacing w:after="40"/>
        <w:ind w:left="454"/>
      </w:pPr>
      <w:r>
        <w:rPr>
          <w:sz w:val="22"/>
        </w:rPr>
        <w:t>произвольные страницы, создаваемые через административную панель;</w:t>
      </w:r>
    </w:p>
    <w:p>
      <w:pPr>
        <w:pStyle w:val="ListBullet"/>
        <w:spacing w:after="40"/>
        <w:ind w:left="454"/>
      </w:pPr>
      <w:r>
        <w:rPr>
          <w:sz w:val="22"/>
        </w:rPr>
        <w:t>файловый менеджер с загрузкой и кадрированием изображений;</w:t>
      </w:r>
    </w:p>
    <w:p>
      <w:pPr>
        <w:pStyle w:val="ListBullet"/>
        <w:spacing w:after="40"/>
        <w:ind w:left="454"/>
      </w:pPr>
      <w:r>
        <w:rPr>
          <w:sz w:val="22"/>
        </w:rPr>
        <w:t>управление категориями материалов без перезапуска системы;</w:t>
      </w:r>
    </w:p>
    <w:p>
      <w:pPr>
        <w:pStyle w:val="ListBullet"/>
        <w:spacing w:after="40"/>
        <w:ind w:left="454"/>
      </w:pPr>
      <w:r>
        <w:rPr>
          <w:sz w:val="22"/>
        </w:rPr>
        <w:t>указание даты публикации материала вручную;</w:t>
      </w:r>
    </w:p>
    <w:p>
      <w:pPr>
        <w:pStyle w:val="ListBullet"/>
        <w:spacing w:after="40"/>
        <w:ind w:left="454"/>
      </w:pPr>
      <w:r>
        <w:rPr>
          <w:sz w:val="22"/>
        </w:rPr>
        <w:t>публичный программный интерфейс (API) для интеграции со сторонними сервисами: поиск, статистика, подразделения, база знаний;</w:t>
      </w:r>
    </w:p>
    <w:p>
      <w:pPr>
        <w:pStyle w:val="ListBullet"/>
        <w:spacing w:after="40"/>
        <w:ind w:left="454"/>
      </w:pPr>
      <w:r>
        <w:rPr>
          <w:sz w:val="22"/>
        </w:rPr>
        <w:t>разграничение прав доступа работников Заказчика по ролям;</w:t>
      </w:r>
    </w:p>
    <w:p>
      <w:pPr>
        <w:pStyle w:val="ListBullet"/>
        <w:spacing w:after="40"/>
        <w:ind w:left="454"/>
      </w:pPr>
      <w:r>
        <w:rPr>
          <w:sz w:val="22"/>
        </w:rPr>
        <w:t>механизм публикации материалов на внешних площадках: выбор площадок при создании материала, журнал публикаций и повторная отправка при ошибке; подключены площадки Telegram и MAX — материал публикуется с обложкой и текстом, при превышении объёма — со ссылкой на полную версию на сайте;</w:t>
      </w:r>
    </w:p>
    <w:p>
      <w:pPr>
        <w:pStyle w:val="ListBullet"/>
        <w:spacing w:after="40"/>
        <w:ind w:left="454"/>
      </w:pPr>
      <w:r>
        <w:rPr>
          <w:sz w:val="22"/>
        </w:rPr>
        <w:t>мониторинг доступности Системы с автоматическим оповещением и журналом проверок для подтверждения показателя доступности;</w:t>
      </w:r>
    </w:p>
    <w:p>
      <w:pPr>
        <w:pStyle w:val="ListBullet"/>
        <w:spacing w:after="40"/>
        <w:ind w:left="454"/>
      </w:pPr>
      <w:r>
        <w:rPr>
          <w:sz w:val="22"/>
        </w:rPr>
        <w:t>передана документация: руководство пользователя административной панели, описание функций редактора, инструкция администратора с описанием публичного программного интерфейса (API).</w:t>
      </w:r>
    </w:p>
    <w:p>
      <w:pPr>
        <w:spacing w:after="80"/>
        <w:jc w:val="both"/>
      </w:pPr>
      <w:r>
        <w:rPr>
          <w:b w:val="0"/>
        </w:rPr>
        <w:t>2.2. Система размещена на выделенном виртуальном сервере, доступна по адресу аниц.рф, работает по защищённому протоколу. Обеспечены мониторинг доступности, резервное копирование данных, установка обновлений системного программного обеспечения и продление сертификата безопасности.</w:t>
      </w:r>
    </w:p>
    <w:p>
      <w:pPr>
        <w:spacing w:after="80"/>
        <w:jc w:val="both"/>
      </w:pPr>
      <w:r>
        <w:rPr>
          <w:b w:val="0"/>
        </w:rPr>
        <w:t>2.3. Техническое сопровождение Системы осуществляется в порядке и в сроки, предусмотренные разделом 3 технического задания.</w:t>
      </w:r>
    </w:p>
    <w:p>
      <w:pPr>
        <w:spacing w:after="120"/>
      </w:pPr>
      <w:r>
        <w:rPr>
          <w:b/>
        </w:rPr>
        <w:t>3. Не предъявляется к приёмке настоящим Актом</w:t>
      </w:r>
    </w:p>
    <w:p>
      <w:pPr>
        <w:spacing w:after="80"/>
        <w:jc w:val="both"/>
      </w:pPr>
      <w:r>
        <w:rPr>
          <w:b w:val="0"/>
        </w:rPr>
        <w:t>3.1. Следующие работы не входят в состав принимаемых по настоящему Акту и выполняются после предоставления Заказчиком необходимых данных и материалов (пункт 6 технического задания, пункт 2.6 договора):</w:t>
      </w:r>
    </w:p>
    <w:p>
      <w:pPr>
        <w:pStyle w:val="ListBullet"/>
        <w:spacing w:after="40"/>
        <w:ind w:left="454"/>
      </w:pPr>
      <w:r>
        <w:rPr>
          <w:sz w:val="22"/>
        </w:rPr>
        <w:t>подключение площадок ВКонтакте, Яндекс.Дзен и Одноклассники — ожидаются учётные данные и разрешения Заказчика (пункт 2.6 договора); для ВКонтакте требуется разрешение администрации ВКонтакте на публикацию от имени сообщества;</w:t>
      </w:r>
    </w:p>
    <w:p>
      <w:pPr>
        <w:pStyle w:val="ListBullet"/>
        <w:spacing w:after="40"/>
        <w:ind w:left="454"/>
      </w:pPr>
      <w:r>
        <w:rPr>
          <w:sz w:val="22"/>
        </w:rPr>
        <w:t>наполнение базы знаний материалами Заказчика — материалы не переданы;</w:t>
      </w:r>
    </w:p>
    <w:p>
      <w:pPr>
        <w:pStyle w:val="ListBullet"/>
        <w:spacing w:after="40"/>
        <w:ind w:left="454"/>
      </w:pPr>
      <w:r>
        <w:rPr>
          <w:sz w:val="22"/>
        </w:rPr>
        <w:t>наполнение раздела «Публикации» научными трудами работников — материалы не переданы.</w:t>
      </w:r>
    </w:p>
    <w:p>
      <w:pPr>
        <w:spacing w:after="80"/>
        <w:jc w:val="both"/>
      </w:pPr>
      <w:r>
        <w:rPr>
          <w:b w:val="0"/>
        </w:rPr>
        <w:t>3.2. Приёмка указанных работ оформляется отдельным актом.</w:t>
      </w:r>
    </w:p>
    <w:p>
      <w:pPr>
        <w:spacing w:after="120"/>
      </w:pPr>
      <w:r>
        <w:rPr>
          <w:b/>
        </w:rPr>
        <w:t>4. Стоимость выполненных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Наименование работ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Стоимость, руб.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Работы по развитию Системы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100 000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Техническое сопровождение Системы (3 месяца)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75 000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Серверное размещение и обслуживание сервера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25 000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rPr>
                <w:b/>
                <w:sz w:val="20"/>
              </w:rPr>
              <w:t>ИТОГО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200 000</w:t>
            </w:r>
          </w:p>
        </w:tc>
      </w:tr>
    </w:tbl>
    <w:p/>
    <w:p>
      <w:pPr>
        <w:spacing w:after="80"/>
        <w:jc w:val="both"/>
      </w:pPr>
      <w:r>
        <w:rPr>
          <w:b w:val="0"/>
        </w:rPr>
        <w:t>4.1. Общая стоимость выполненных работ составляет 200 000 руб. 00 коп. НДС не облагается в связи с применением Исполнителем упрощённой системы налогообложения.</w:t>
      </w:r>
    </w:p>
    <w:p>
      <w:pPr>
        <w:spacing w:after="80"/>
        <w:jc w:val="both"/>
      </w:pPr>
      <w:r>
        <w:rPr>
          <w:b w:val="0"/>
        </w:rPr>
        <w:t>4.2. Расчёты производятся в порядке, предусмотренном разделом 3 договора.</w:t>
      </w:r>
    </w:p>
    <w:p>
      <w:pPr>
        <w:spacing w:after="120"/>
      </w:pPr>
      <w:r>
        <w:rPr>
          <w:b/>
        </w:rPr>
        <w:t>5. Заключение</w:t>
      </w:r>
    </w:p>
    <w:p>
      <w:pPr>
        <w:spacing w:after="80"/>
        <w:jc w:val="both"/>
      </w:pPr>
      <w:r>
        <w:rPr>
          <w:b w:val="0"/>
        </w:rPr>
        <w:t>5.1. Работы выполнены в полном объёме, предусмотренном настоящим Актом, с надлежащим качеством. Заказчик претензий по объёму, качеству и срокам выполнения работ не имеет.</w:t>
      </w:r>
    </w:p>
    <w:p>
      <w:pPr>
        <w:spacing w:after="240"/>
        <w:jc w:val="both"/>
      </w:pPr>
      <w:r>
        <w:rPr>
          <w:b w:val="0"/>
        </w:rPr>
        <w:t>5.2. Настоящий Акт составлен в двух экземплярах, имеющих равную юридическую силу, по одному для каждой из Сторон.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Заказчик: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Исполнитель: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ГБУ «Арктический научно-исследовательский центр Республики Саха (Якутия)»</w:t>
            </w:r>
          </w:p>
          <w:p>
            <w:pPr>
              <w:spacing w:after="20"/>
            </w:pPr>
            <w:r>
              <w:rPr>
                <w:sz w:val="18"/>
              </w:rPr>
              <w:t>Юридический адрес: 677018, Республика Саха (Якутия), г. Якутск, пр. Ленина, 30</w:t>
            </w:r>
          </w:p>
          <w:p>
            <w:pPr>
              <w:spacing w:after="20"/>
            </w:pPr>
            <w:r>
              <w:rPr>
                <w:sz w:val="18"/>
              </w:rPr>
              <w:t>Фактический адрес: 677000, Республика Саха (Якутия), г. Якутск, ул. Курашова, 22</w:t>
            </w:r>
          </w:p>
          <w:p>
            <w:pPr>
              <w:spacing w:after="20"/>
            </w:pPr>
            <w:r>
              <w:rPr>
                <w:sz w:val="18"/>
              </w:rPr>
              <w:t>ОГРН 1041402057146</w:t>
            </w:r>
          </w:p>
          <w:p>
            <w:pPr>
              <w:spacing w:after="20"/>
            </w:pPr>
            <w:r>
              <w:rPr>
                <w:sz w:val="18"/>
              </w:rPr>
              <w:t>ИНН/КПП 1435152441/143501001</w:t>
            </w:r>
          </w:p>
          <w:p>
            <w:pPr>
              <w:spacing w:after="20"/>
            </w:pPr>
            <w:r>
              <w:rPr>
                <w:sz w:val="18"/>
              </w:rPr>
              <w:t>Банк: ОКЦ № 6 ДГУ БАНКА РОССИИ//УФК по Республике Саха (Якутия) г. Якутск</w:t>
            </w:r>
          </w:p>
          <w:p>
            <w:pPr>
              <w:spacing w:after="20"/>
            </w:pPr>
            <w:r>
              <w:rPr>
                <w:sz w:val="18"/>
              </w:rPr>
              <w:t>БИК 019805001</w:t>
            </w:r>
          </w:p>
          <w:p>
            <w:pPr>
              <w:spacing w:after="20"/>
            </w:pPr>
            <w:r>
              <w:rPr>
                <w:sz w:val="18"/>
              </w:rPr>
              <w:t>Казначейский счет 03224643980000001601</w:t>
            </w:r>
          </w:p>
          <w:p>
            <w:pPr>
              <w:spacing w:after="20"/>
            </w:pPr>
            <w:r>
              <w:rPr>
                <w:sz w:val="18"/>
              </w:rPr>
              <w:t>Корреспондентский счет 40102810345370000085</w:t>
            </w:r>
          </w:p>
          <w:p>
            <w:pPr>
              <w:spacing w:after="20"/>
            </w:pPr>
            <w:r>
              <w:rPr>
                <w:sz w:val="18"/>
              </w:rPr>
              <w:t>Министерство финансов Республики Саха (Якутия), Лицевой счет № 20075035130</w:t>
            </w:r>
          </w:p>
          <w:p>
            <w:pPr>
              <w:spacing w:after="20"/>
            </w:pPr>
            <w:r>
              <w:rPr>
                <w:sz w:val="18"/>
              </w:rPr>
              <w:t>Тел: +7 (4112) 31-90-84</w:t>
            </w:r>
          </w:p>
          <w:p>
            <w:pPr>
              <w:spacing w:after="20"/>
            </w:pPr>
            <w:r>
              <w:rPr>
                <w:sz w:val="18"/>
              </w:rPr>
              <w:t>E-mail: diring@mail.ru</w:t>
            </w:r>
          </w:p>
          <w:p>
            <w:pPr>
              <w:spacing w:after="20"/>
            </w:pPr>
            <w:r>
              <w:rPr>
                <w:sz w:val="18"/>
              </w:rPr>
            </w:r>
          </w:p>
          <w:p>
            <w:pPr>
              <w:spacing w:after="20"/>
            </w:pPr>
            <w:r>
              <w:rPr>
                <w:sz w:val="18"/>
              </w:rPr>
              <w:t>Вр.и.о. директора</w:t>
            </w:r>
          </w:p>
          <w:p>
            <w:pPr>
              <w:spacing w:after="20"/>
            </w:pPr>
            <w:r>
              <w:rPr>
                <w:sz w:val="18"/>
              </w:rPr>
            </w:r>
          </w:p>
          <w:p>
            <w:pPr>
              <w:spacing w:after="20"/>
            </w:pPr>
            <w:r>
              <w:rPr>
                <w:sz w:val="18"/>
              </w:rPr>
              <w:t>_______________ / Хохолов А.А.</w:t>
            </w:r>
          </w:p>
        </w:tc>
        <w:tc>
          <w:tcPr>
            <w:tcW w:type="dxa" w:w="498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ООО «АСТРА ГРУПП»</w:t>
            </w:r>
          </w:p>
          <w:p>
            <w:pPr>
              <w:spacing w:after="20"/>
            </w:pPr>
            <w:r>
              <w:rPr>
                <w:sz w:val="18"/>
              </w:rPr>
              <w:t>Юридический адрес: 677008, Республика Саха (Якутия), г. Якутск,</w:t>
            </w:r>
          </w:p>
          <w:p>
            <w:pPr>
              <w:spacing w:after="20"/>
            </w:pPr>
            <w:r>
              <w:rPr>
                <w:sz w:val="18"/>
              </w:rPr>
              <w:t>Хатын-Юряхское шоссе 6 км, д. 112/2</w:t>
            </w:r>
          </w:p>
          <w:p>
            <w:pPr>
              <w:spacing w:after="20"/>
            </w:pPr>
            <w:r>
              <w:rPr>
                <w:sz w:val="18"/>
              </w:rPr>
              <w:t>Фактический адрес: 677008, Республика Саха (Якутия), г. Якутск,</w:t>
            </w:r>
          </w:p>
          <w:p>
            <w:pPr>
              <w:spacing w:after="20"/>
            </w:pPr>
            <w:r>
              <w:rPr>
                <w:sz w:val="18"/>
              </w:rPr>
              <w:t>Хатын-Юряхское шоссе 6 км, д. 112/2</w:t>
            </w:r>
          </w:p>
          <w:p>
            <w:pPr>
              <w:spacing w:after="20"/>
            </w:pPr>
            <w:r>
              <w:rPr>
                <w:sz w:val="18"/>
              </w:rPr>
              <w:t>ОГРН 1251400010322</w:t>
            </w:r>
          </w:p>
          <w:p>
            <w:pPr>
              <w:spacing w:after="20"/>
            </w:pPr>
            <w:r>
              <w:rPr>
                <w:sz w:val="18"/>
              </w:rPr>
              <w:t>ИНН/КПП 1400053030/140001001</w:t>
            </w:r>
          </w:p>
          <w:p>
            <w:pPr>
              <w:spacing w:after="20"/>
            </w:pPr>
            <w:r>
              <w:rPr>
                <w:sz w:val="18"/>
              </w:rPr>
              <w:t>Р/с 40702810720000274568</w:t>
            </w:r>
          </w:p>
          <w:p>
            <w:pPr>
              <w:spacing w:after="20"/>
            </w:pPr>
            <w:r>
              <w:rPr>
                <w:sz w:val="18"/>
              </w:rPr>
              <w:t>Банк: ООО «Банк Точка»</w:t>
            </w:r>
          </w:p>
          <w:p>
            <w:pPr>
              <w:spacing w:after="20"/>
            </w:pPr>
            <w:r>
              <w:rPr>
                <w:sz w:val="18"/>
              </w:rPr>
              <w:t>К/с 30101810745374525104</w:t>
            </w:r>
          </w:p>
          <w:p>
            <w:pPr>
              <w:spacing w:after="20"/>
            </w:pPr>
            <w:r>
              <w:rPr>
                <w:sz w:val="18"/>
              </w:rPr>
              <w:t>БИК 044525104</w:t>
            </w:r>
          </w:p>
          <w:p>
            <w:pPr>
              <w:spacing w:after="20"/>
            </w:pPr>
            <w:r>
              <w:rPr>
                <w:sz w:val="18"/>
              </w:rPr>
            </w:r>
          </w:p>
          <w:p>
            <w:pPr>
              <w:spacing w:after="20"/>
            </w:pPr>
            <w:r>
              <w:rPr>
                <w:sz w:val="18"/>
              </w:rPr>
              <w:t>Генеральный директор</w:t>
            </w:r>
          </w:p>
          <w:p>
            <w:pPr>
              <w:spacing w:after="20"/>
            </w:pPr>
            <w:r>
              <w:rPr>
                <w:sz w:val="18"/>
              </w:rPr>
            </w:r>
          </w:p>
          <w:p>
            <w:pPr>
              <w:spacing w:after="20"/>
            </w:pPr>
            <w:r>
              <w:rPr>
                <w:sz w:val="18"/>
              </w:rPr>
              <w:t>_______________ / Ядрихинский С.А.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