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Exhibit B</w:t>
      </w:r>
    </w:p>
    <w:p>
      <w:pPr/>
      <w:r>
        <w:t>Lease Agreement Signed by Kim Davis</w:t>
      </w:r>
    </w:p>
    <w:p>
      <w:pPr/>
      <w:r>
        <w:br/>
        <w:t>DESCRIPTION:</w:t>
      </w:r>
    </w:p>
    <w:p>
      <w:pPr/>
      <w:r>
        <w:t>Lease document signed by Kim Davis, showing lack of legal entity designation and inconsistency with alleged landlord Shady Oaks Park MHP LLC. Establishes ambiguity, coercion, and entity misrepresentation.</w:t>
      </w:r>
    </w:p>
    <w:p>
      <w:pPr/>
      <w:r>
        <w:br/>
        <w:t>VERIFICATION:</w:t>
      </w:r>
    </w:p>
    <w:p>
      <w:pPr/>
      <w:r>
        <w:t>I, Andrew J. Pigors, declare under penalty of perjury that the attached document labeled Exhibit B is a true and correct copy of the described record or communication. This exhibit is submitted in support of the Motion to Vacate Judgment for Extrinsic Fraud, pursuant to MCR 2.612(C)(1)(c), and is incorporated by reference into the sworn affidavit submitted 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