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– Motion to Stay + Void Judgment</w:t>
      </w:r>
    </w:p>
    <w:p>
      <w:r>
        <w:t>Exhibit A: Affidavit of Truth – Entity Misrepresentation</w:t>
      </w:r>
    </w:p>
    <w:p>
      <w:r>
        <w:t>Exhibit B: EGLE Sewage Violation Records (2024–2025)</w:t>
      </w:r>
    </w:p>
    <w:p>
      <w:r>
        <w:t>Exhibit C: True North/MDHHS Housing Assistance Records</w:t>
      </w:r>
    </w:p>
    <w:p>
      <w:r>
        <w:t>Exhibit D: Unapplied Check Stubs / Billing Ledgers</w:t>
      </w:r>
    </w:p>
    <w:p>
      <w:r>
        <w:t>Exhibit E: Homes of America v. Shady Oaks Takeover Affidavit</w:t>
      </w:r>
    </w:p>
    <w:p>
      <w:r>
        <w:t>Exhibit F: LARA Entity Status Records</w:t>
      </w:r>
    </w:p>
    <w:p>
      <w:r>
        <w:t>Exhibit G: Lease Coercion Evidence – Cricklewood Transfer</w:t>
      </w:r>
    </w:p>
    <w:p>
      <w:r>
        <w:t>Exhibit H: Resident Flyers / MHAction / Community Notices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