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a1caf66308331a673734a5c505fed44c3a79408"/>
    <w:p>
      <w:pPr>
        <w:pStyle w:val="Heading1"/>
      </w:pPr>
      <w:r>
        <w:t xml:space="preserve">Comprehensive Extraction of Violations, Falsehoods, and Procedural Defects (MEEK1–MEEK4)</w:t>
      </w:r>
    </w:p>
    <w:bookmarkStart w:id="28" w:name="X03bdea15c8e19bd7da3b5c428b33e69dbce82a3"/>
    <w:p>
      <w:pPr>
        <w:pStyle w:val="Heading2"/>
      </w:pPr>
      <w:r>
        <w:t xml:space="preserve">I. Master Chronological Timeline of Harm and Violations</w:t>
      </w:r>
    </w:p>
    <w:p>
      <w:pPr>
        <w:pStyle w:val="Compact"/>
        <w:numPr>
          <w:ilvl w:val="0"/>
          <w:numId w:val="1001"/>
        </w:numPr>
      </w:pPr>
      <w:r>
        <w:rPr>
          <w:b/>
          <w:bCs/>
        </w:rPr>
        <w:t xml:space="preserve">Oct 15, 2023</w:t>
      </w:r>
      <w:r>
        <w:t xml:space="preserve"> </w:t>
      </w:r>
      <w:r>
        <w:t xml:space="preserve">–</w:t>
      </w:r>
      <w:r>
        <w:t xml:space="preserve"> </w:t>
      </w:r>
      <w:r>
        <w:rPr>
          <w:i/>
          <w:iCs/>
        </w:rPr>
        <w:t xml:space="preserve">False Allegation:</w:t>
      </w:r>
      <w:r>
        <w:t xml:space="preserve"> </w:t>
      </w:r>
      <w:r>
        <w:t xml:space="preserve">Emily Watson alleges that Andrew Pigors assaulted her during a parenting exchange; police found</w:t>
      </w:r>
      <w:r>
        <w:t xml:space="preserve"> </w:t>
      </w:r>
      <w:r>
        <w:rPr>
          <w:b/>
          <w:bCs/>
        </w:rPr>
        <w:t xml:space="preserve">no evidence</w:t>
      </w:r>
      <w:r>
        <w:t xml:space="preserve"> </w:t>
      </w:r>
      <w:r>
        <w:t xml:space="preserve">to support this claim</w:t>
      </w:r>
      <w:hyperlink r:id="rId21">
        <w:r>
          <w:rPr>
            <w:rStyle w:val="Hyperlink"/>
          </w:rPr>
          <w:t xml:space="preserve">[1]</w:t>
        </w:r>
      </w:hyperlink>
      <w:r>
        <w:t xml:space="preserve">.</w:t>
      </w:r>
      <w:r>
        <w:t xml:space="preserve"> </w:t>
      </w:r>
      <w:r>
        <w:rPr>
          <w:i/>
          <w:iCs/>
        </w:rPr>
        <w:t xml:space="preserve">(MEEK3: False PPO basis)</w:t>
      </w:r>
    </w:p>
    <w:p>
      <w:pPr>
        <w:pStyle w:val="Compact"/>
        <w:numPr>
          <w:ilvl w:val="0"/>
          <w:numId w:val="1001"/>
        </w:numPr>
      </w:pPr>
      <w:r>
        <w:rPr>
          <w:b/>
          <w:bCs/>
        </w:rPr>
        <w:t xml:space="preserve">Nov 12, 2023</w:t>
      </w:r>
      <w:r>
        <w:t xml:space="preserve"> </w:t>
      </w:r>
      <w:r>
        <w:t xml:space="preserve">–</w:t>
      </w:r>
      <w:r>
        <w:t xml:space="preserve"> </w:t>
      </w:r>
      <w:r>
        <w:rPr>
          <w:i/>
          <w:iCs/>
        </w:rPr>
        <w:t xml:space="preserve">Fabricated Crisis:</w:t>
      </w:r>
      <w:r>
        <w:t xml:space="preserve"> </w:t>
      </w:r>
      <w:r>
        <w:t xml:space="preserve">Emily falsely reports Andrew as suicidal, triggering a police welfare check; first responders determined the report was baseless and</w:t>
      </w:r>
      <w:r>
        <w:t xml:space="preserve"> </w:t>
      </w:r>
      <w:r>
        <w:rPr>
          <w:b/>
          <w:bCs/>
        </w:rPr>
        <w:t xml:space="preserve">manipulative</w:t>
      </w:r>
      <w:hyperlink r:id="rId21">
        <w:r>
          <w:rPr>
            <w:rStyle w:val="Hyperlink"/>
          </w:rPr>
          <w:t xml:space="preserve">[2]</w:t>
        </w:r>
      </w:hyperlink>
      <w:r>
        <w:t xml:space="preserve">.</w:t>
      </w:r>
      <w:r>
        <w:t xml:space="preserve"> </w:t>
      </w:r>
      <w:r>
        <w:rPr>
          <w:i/>
          <w:iCs/>
        </w:rPr>
        <w:t xml:space="preserve">(MEEK3: False report)</w:t>
      </w:r>
    </w:p>
    <w:p>
      <w:pPr>
        <w:pStyle w:val="Compact"/>
        <w:numPr>
          <w:ilvl w:val="0"/>
          <w:numId w:val="1001"/>
        </w:numPr>
      </w:pPr>
      <w:r>
        <w:rPr>
          <w:b/>
          <w:bCs/>
        </w:rPr>
        <w:t xml:space="preserve">Nov 16, 2023</w:t>
      </w:r>
      <w:r>
        <w:t xml:space="preserve"> </w:t>
      </w:r>
      <w:r>
        <w:t xml:space="preserve">–</w:t>
      </w:r>
      <w:r>
        <w:t xml:space="preserve"> </w:t>
      </w:r>
      <w:r>
        <w:rPr>
          <w:i/>
          <w:iCs/>
        </w:rPr>
        <w:t xml:space="preserve">Poisoning Accusation:</w:t>
      </w:r>
      <w:r>
        <w:t xml:space="preserve"> </w:t>
      </w:r>
      <w:r>
        <w:t xml:space="preserve">Emily accuses Andrew of poisoning her with arsenic (pointing to a mason jar of “unknown liquid”); medical evaluations confirm her symptoms were from hypertension,</w:t>
      </w:r>
      <w:r>
        <w:t xml:space="preserve"> </w:t>
      </w:r>
      <w:r>
        <w:rPr>
          <w:b/>
          <w:bCs/>
        </w:rPr>
        <w:t xml:space="preserve">not poisoning</w:t>
      </w:r>
      <w:hyperlink r:id="rId21">
        <w:r>
          <w:rPr>
            <w:rStyle w:val="Hyperlink"/>
          </w:rPr>
          <w:t xml:space="preserve">[3]</w:t>
        </w:r>
      </w:hyperlink>
      <w:r>
        <w:t xml:space="preserve">.</w:t>
      </w:r>
      <w:r>
        <w:t xml:space="preserve"> </w:t>
      </w:r>
      <w:r>
        <w:rPr>
          <w:i/>
          <w:iCs/>
        </w:rPr>
        <w:t xml:space="preserve">(MEEK3: False accusation)</w:t>
      </w:r>
    </w:p>
    <w:p>
      <w:pPr>
        <w:pStyle w:val="Compact"/>
        <w:numPr>
          <w:ilvl w:val="0"/>
          <w:numId w:val="1001"/>
        </w:numPr>
      </w:pPr>
      <w:r>
        <w:rPr>
          <w:b/>
          <w:bCs/>
        </w:rPr>
        <w:t xml:space="preserve">Dec 4–5, 2023</w:t>
      </w:r>
      <w:r>
        <w:t xml:space="preserve"> </w:t>
      </w:r>
      <w:r>
        <w:t xml:space="preserve">–</w:t>
      </w:r>
      <w:r>
        <w:t xml:space="preserve"> </w:t>
      </w:r>
      <w:r>
        <w:rPr>
          <w:i/>
          <w:iCs/>
        </w:rPr>
        <w:t xml:space="preserve">PPO Granted:</w:t>
      </w:r>
      <w:r>
        <w:t xml:space="preserve"> </w:t>
      </w:r>
      <w:r>
        <w:t xml:space="preserve">Emily obtains an</w:t>
      </w:r>
      <w:r>
        <w:t xml:space="preserve"> </w:t>
      </w:r>
      <w:r>
        <w:rPr>
          <w:b/>
          <w:bCs/>
        </w:rPr>
        <w:t xml:space="preserve">ex parte Personal Protection Order</w:t>
      </w:r>
      <w:r>
        <w:t xml:space="preserve"> </w:t>
      </w:r>
      <w:r>
        <w:t xml:space="preserve">(Case No. 2023-5907-PP) signed by Judge Jenny McNeill, enjoining Andrew</w:t>
      </w:r>
      <w:hyperlink r:id="rId22">
        <w:r>
          <w:rPr>
            <w:rStyle w:val="Hyperlink"/>
          </w:rPr>
          <w:t xml:space="preserve">[4]</w:t>
        </w:r>
      </w:hyperlink>
      <w:r>
        <w:t xml:space="preserve">. Emily’s father</w:t>
      </w:r>
      <w:r>
        <w:t xml:space="preserve"> </w:t>
      </w:r>
      <w:r>
        <w:rPr>
          <w:b/>
          <w:bCs/>
        </w:rPr>
        <w:t xml:space="preserve">Albert Watson served</w:t>
      </w:r>
      <w:r>
        <w:t xml:space="preserve"> </w:t>
      </w:r>
      <w:r>
        <w:t xml:space="preserve">the PPO on Andrew, even calling police afterward to report service</w:t>
      </w:r>
      <w:hyperlink r:id="rId22">
        <w:r>
          <w:rPr>
            <w:rStyle w:val="Hyperlink"/>
          </w:rPr>
          <w:t xml:space="preserve">[5]</w:t>
        </w:r>
      </w:hyperlink>
      <w:r>
        <w:t xml:space="preserve">.</w:t>
      </w:r>
      <w:r>
        <w:t xml:space="preserve"> </w:t>
      </w:r>
      <w:r>
        <w:rPr>
          <w:i/>
          <w:iCs/>
        </w:rPr>
        <w:t xml:space="preserve">(MEEK3: PPO misuse; MEEK4: judicial involvement)</w:t>
      </w:r>
    </w:p>
    <w:p>
      <w:pPr>
        <w:numPr>
          <w:ilvl w:val="0"/>
          <w:numId w:val="1001"/>
        </w:numPr>
      </w:pPr>
      <w:r>
        <w:rPr>
          <w:b/>
          <w:bCs/>
        </w:rPr>
        <w:t xml:space="preserve">Late 2023</w:t>
      </w:r>
      <w:r>
        <w:t xml:space="preserve"> </w:t>
      </w:r>
      <w:r>
        <w:t xml:space="preserve">–</w:t>
      </w:r>
      <w:r>
        <w:t xml:space="preserve"> </w:t>
      </w:r>
      <w:r>
        <w:rPr>
          <w:i/>
          <w:iCs/>
        </w:rPr>
        <w:t xml:space="preserve">No Charges Filed:</w:t>
      </w:r>
      <w:r>
        <w:t xml:space="preserve"> </w:t>
      </w:r>
      <w:r>
        <w:t xml:space="preserve">Between Oct–Dec 2023, Emily (or her family) initiated</w:t>
      </w:r>
      <w:r>
        <w:t xml:space="preserve"> </w:t>
      </w:r>
      <w:r>
        <w:rPr>
          <w:b/>
          <w:bCs/>
        </w:rPr>
        <w:t xml:space="preserve">multiple police reports</w:t>
      </w:r>
      <w:r>
        <w:t xml:space="preserve"> </w:t>
      </w:r>
      <w:r>
        <w:t xml:space="preserve">(at least 7) against Andrew;</w:t>
      </w:r>
      <w:r>
        <w:t xml:space="preserve"> </w:t>
      </w:r>
      <w:r>
        <w:rPr>
          <w:b/>
          <w:bCs/>
        </w:rPr>
        <w:t xml:space="preserve">none</w:t>
      </w:r>
      <w:r>
        <w:t xml:space="preserve"> </w:t>
      </w:r>
      <w:r>
        <w:t xml:space="preserve">resulted in arrest or charges</w:t>
      </w:r>
      <w:hyperlink r:id="rId23">
        <w:r>
          <w:rPr>
            <w:rStyle w:val="Hyperlink"/>
          </w:rPr>
          <w:t xml:space="preserve">[6]</w:t>
        </w:r>
      </w:hyperlink>
      <w:r>
        <w:t xml:space="preserve">.</w:t>
      </w:r>
      <w:r>
        <w:t xml:space="preserve"> </w:t>
      </w:r>
      <w:r>
        <w:rPr>
          <w:i/>
          <w:iCs/>
        </w:rPr>
        <w:t xml:space="preserve">(MEEK3: Pattern of unfounded allegations)</w:t>
      </w:r>
    </w:p>
    <w:p>
      <w:pPr>
        <w:numPr>
          <w:ilvl w:val="0"/>
          <w:numId w:val="1001"/>
        </w:numPr>
      </w:pPr>
      <w:r>
        <w:rPr>
          <w:b/>
          <w:bCs/>
        </w:rPr>
        <w:t xml:space="preserve">Mar 26, 2024</w:t>
      </w:r>
      <w:r>
        <w:t xml:space="preserve"> </w:t>
      </w:r>
      <w:r>
        <w:t xml:space="preserve">–</w:t>
      </w:r>
      <w:r>
        <w:t xml:space="preserve"> </w:t>
      </w:r>
      <w:r>
        <w:rPr>
          <w:i/>
          <w:iCs/>
        </w:rPr>
        <w:t xml:space="preserve">Custody Interference:</w:t>
      </w:r>
      <w:r>
        <w:t xml:space="preserve"> </w:t>
      </w:r>
      <w:r>
        <w:t xml:space="preserve">Emily abruptly withholds the parties’ minor son (LDW) from Andrew, violating their parenting schedule. Andrew reports a</w:t>
      </w:r>
      <w:r>
        <w:t xml:space="preserve"> </w:t>
      </w:r>
      <w:r>
        <w:rPr>
          <w:b/>
          <w:bCs/>
        </w:rPr>
        <w:t xml:space="preserve">custody interference</w:t>
      </w:r>
      <w:r>
        <w:t xml:space="preserve"> </w:t>
      </w:r>
      <w:r>
        <w:t xml:space="preserve">incident to Norton Shores Police on this date</w:t>
      </w:r>
      <w:hyperlink r:id="rId22">
        <w:r>
          <w:rPr>
            <w:rStyle w:val="Hyperlink"/>
          </w:rPr>
          <w:t xml:space="preserve">[7]</w:t>
        </w:r>
      </w:hyperlink>
      <w:hyperlink r:id="rId22">
        <w:r>
          <w:rPr>
            <w:rStyle w:val="Hyperlink"/>
          </w:rPr>
          <w:t xml:space="preserve">[8]</w:t>
        </w:r>
      </w:hyperlink>
      <w:r>
        <w:t xml:space="preserve">. Emily refuses to produce the child for Easter parenting time, prompting Andrew to seek emergency court relief</w:t>
      </w:r>
      <w:hyperlink r:id="rId21">
        <w:r>
          <w:rPr>
            <w:rStyle w:val="Hyperlink"/>
          </w:rPr>
          <w:t xml:space="preserve">[9]</w:t>
        </w:r>
      </w:hyperlink>
      <w:r>
        <w:t xml:space="preserve">.</w:t>
      </w:r>
      <w:r>
        <w:t xml:space="preserve"> </w:t>
      </w:r>
      <w:r>
        <w:rPr>
          <w:i/>
          <w:iCs/>
        </w:rPr>
        <w:t xml:space="preserve">(MEEK2: Parenting time denial; MEEK3: Retaliation via child)</w:t>
      </w:r>
    </w:p>
    <w:p>
      <w:pPr>
        <w:pStyle w:val="Compact"/>
        <w:numPr>
          <w:ilvl w:val="0"/>
          <w:numId w:val="1001"/>
        </w:numPr>
      </w:pPr>
      <w:r>
        <w:rPr>
          <w:b/>
          <w:bCs/>
        </w:rPr>
        <w:t xml:space="preserve">Mar 29, 2024</w:t>
      </w:r>
      <w:r>
        <w:t xml:space="preserve"> </w:t>
      </w:r>
      <w:r>
        <w:t xml:space="preserve">–</w:t>
      </w:r>
      <w:r>
        <w:t xml:space="preserve"> </w:t>
      </w:r>
      <w:r>
        <w:rPr>
          <w:i/>
          <w:iCs/>
        </w:rPr>
        <w:t xml:space="preserve">Police Involvement:</w:t>
      </w:r>
      <w:r>
        <w:t xml:space="preserve"> </w:t>
      </w:r>
      <w:r>
        <w:t xml:space="preserve">With the child still withheld, a conflict occurs at</w:t>
      </w:r>
      <w:r>
        <w:t xml:space="preserve"> </w:t>
      </w:r>
      <w:r>
        <w:rPr>
          <w:b/>
          <w:bCs/>
        </w:rPr>
        <w:t xml:space="preserve">1143 E. Norton Ave</w:t>
      </w:r>
      <w:r>
        <w:t xml:space="preserve"> </w:t>
      </w:r>
      <w:r>
        <w:t xml:space="preserve">(Watson family residence). A caller (Lori Watson, Emily’s mother) tells police an “unwanted person” (Andrew) is at the location</w:t>
      </w:r>
      <w:hyperlink r:id="rId22">
        <w:r>
          <w:rPr>
            <w:rStyle w:val="Hyperlink"/>
          </w:rPr>
          <w:t xml:space="preserve">[10]</w:t>
        </w:r>
      </w:hyperlink>
      <w:r>
        <w:t xml:space="preserve">. No crime is found, underscoring the</w:t>
      </w:r>
      <w:r>
        <w:t xml:space="preserve"> </w:t>
      </w:r>
      <w:r>
        <w:rPr>
          <w:b/>
          <w:bCs/>
        </w:rPr>
        <w:t xml:space="preserve">civil nature</w:t>
      </w:r>
      <w:r>
        <w:t xml:space="preserve"> </w:t>
      </w:r>
      <w:r>
        <w:t xml:space="preserve">of the dispute.</w:t>
      </w:r>
      <w:r>
        <w:t xml:space="preserve"> </w:t>
      </w:r>
      <w:r>
        <w:rPr>
          <w:i/>
          <w:iCs/>
        </w:rPr>
        <w:t xml:space="preserve">(MEEK2: Parenting time denial; MEEK3: family hostility)</w:t>
      </w:r>
    </w:p>
    <w:p>
      <w:pPr>
        <w:pStyle w:val="Compact"/>
        <w:numPr>
          <w:ilvl w:val="0"/>
          <w:numId w:val="1001"/>
        </w:numPr>
      </w:pPr>
      <w:r>
        <w:rPr>
          <w:b/>
          <w:bCs/>
        </w:rPr>
        <w:t xml:space="preserve">Apr 1, 2024</w:t>
      </w:r>
      <w:r>
        <w:t xml:space="preserve"> </w:t>
      </w:r>
      <w:r>
        <w:t xml:space="preserve">–</w:t>
      </w:r>
      <w:r>
        <w:t xml:space="preserve"> </w:t>
      </w:r>
      <w:r>
        <w:rPr>
          <w:i/>
          <w:iCs/>
        </w:rPr>
        <w:t xml:space="preserve">Custody Case Filed:</w:t>
      </w:r>
      <w:r>
        <w:t xml:space="preserve"> </w:t>
      </w:r>
      <w:r>
        <w:t xml:space="preserve">Andrew files a custody/child-support action in 14th Circuit Family Court (Case No. 24-01507-DC) against Emily</w:t>
      </w:r>
      <w:hyperlink r:id="rId23">
        <w:r>
          <w:rPr>
            <w:rStyle w:val="Hyperlink"/>
          </w:rPr>
          <w:t xml:space="preserve">[11]</w:t>
        </w:r>
      </w:hyperlink>
      <w:r>
        <w:t xml:space="preserve">. Judge McNeill is assigned.</w:t>
      </w:r>
      <w:r>
        <w:t xml:space="preserve"> </w:t>
      </w:r>
      <w:r>
        <w:rPr>
          <w:i/>
          <w:iCs/>
        </w:rPr>
        <w:t xml:space="preserve">(MEEK2)</w:t>
      </w:r>
    </w:p>
    <w:p>
      <w:pPr>
        <w:pStyle w:val="Compact"/>
        <w:numPr>
          <w:ilvl w:val="0"/>
          <w:numId w:val="1001"/>
        </w:numPr>
      </w:pPr>
      <w:r>
        <w:rPr>
          <w:b/>
          <w:bCs/>
        </w:rPr>
        <w:t xml:space="preserve">Apr 2, 2024</w:t>
      </w:r>
      <w:r>
        <w:t xml:space="preserve"> </w:t>
      </w:r>
      <w:r>
        <w:t xml:space="preserve">–</w:t>
      </w:r>
      <w:r>
        <w:t xml:space="preserve"> </w:t>
      </w:r>
      <w:r>
        <w:rPr>
          <w:i/>
          <w:iCs/>
        </w:rPr>
        <w:t xml:space="preserve">Welfare Check:</w:t>
      </w:r>
      <w:r>
        <w:t xml:space="preserve"> </w:t>
      </w:r>
      <w:r>
        <w:t xml:space="preserve">Emily contacts police again, leading to a reported</w:t>
      </w:r>
      <w:r>
        <w:t xml:space="preserve"> </w:t>
      </w:r>
      <w:r>
        <w:rPr>
          <w:b/>
          <w:bCs/>
        </w:rPr>
        <w:t xml:space="preserve">“check well-being”</w:t>
      </w:r>
      <w:r>
        <w:t xml:space="preserve"> </w:t>
      </w:r>
      <w:r>
        <w:t xml:space="preserve">call at Andrew’s address</w:t>
      </w:r>
      <w:hyperlink r:id="rId22">
        <w:r>
          <w:rPr>
            <w:rStyle w:val="Hyperlink"/>
          </w:rPr>
          <w:t xml:space="preserve">[12]</w:t>
        </w:r>
      </w:hyperlink>
      <w:r>
        <w:t xml:space="preserve">. No emergency is found.</w:t>
      </w:r>
      <w:r>
        <w:t xml:space="preserve"> </w:t>
      </w:r>
      <w:r>
        <w:rPr>
          <w:i/>
          <w:iCs/>
        </w:rPr>
        <w:t xml:space="preserve">(MEEK3: Harassment via authorities)</w:t>
      </w:r>
    </w:p>
    <w:p>
      <w:pPr>
        <w:pStyle w:val="Compact"/>
        <w:numPr>
          <w:ilvl w:val="0"/>
          <w:numId w:val="1001"/>
        </w:numPr>
      </w:pPr>
      <w:r>
        <w:rPr>
          <w:b/>
          <w:bCs/>
        </w:rPr>
        <w:t xml:space="preserve">Apr 14–15, 2024</w:t>
      </w:r>
      <w:r>
        <w:t xml:space="preserve"> </w:t>
      </w:r>
      <w:r>
        <w:t xml:space="preserve">–</w:t>
      </w:r>
      <w:r>
        <w:t xml:space="preserve"> </w:t>
      </w:r>
      <w:r>
        <w:rPr>
          <w:i/>
          <w:iCs/>
        </w:rPr>
        <w:t xml:space="preserve">Eviction Settlement:</w:t>
      </w:r>
      <w:r>
        <w:t xml:space="preserve"> </w:t>
      </w:r>
      <w:r>
        <w:t xml:space="preserve">In an unrelated landlord–tenant matter, Andrew’s landlord (Shady Oaks MHP LLC) and Andrew reach a</w:t>
      </w:r>
      <w:r>
        <w:t xml:space="preserve"> </w:t>
      </w:r>
      <w:r>
        <w:rPr>
          <w:b/>
          <w:bCs/>
        </w:rPr>
        <w:t xml:space="preserve">conditional dismissal</w:t>
      </w:r>
      <w:r>
        <w:t xml:space="preserve"> </w:t>
      </w:r>
      <w:r>
        <w:t xml:space="preserve">of an eviction case (60th Dist. Ct. Case No. 2025-250616-LT)</w:t>
      </w:r>
      <w:hyperlink r:id="rId24">
        <w:r>
          <w:rPr>
            <w:rStyle w:val="Hyperlink"/>
          </w:rPr>
          <w:t xml:space="preserve">[13]</w:t>
        </w:r>
      </w:hyperlink>
      <w:r>
        <w:t xml:space="preserve">. The agreement (entered 4/15/2024) presumably required actions by both sides.</w:t>
      </w:r>
      <w:r>
        <w:t xml:space="preserve"> </w:t>
      </w:r>
      <w:r>
        <w:rPr>
          <w:i/>
          <w:iCs/>
        </w:rPr>
        <w:t xml:space="preserve">(MEEK1: Housing)</w:t>
      </w:r>
    </w:p>
    <w:p>
      <w:pPr>
        <w:pStyle w:val="Compact"/>
        <w:numPr>
          <w:ilvl w:val="0"/>
          <w:numId w:val="1001"/>
        </w:numPr>
      </w:pPr>
      <w:r>
        <w:rPr>
          <w:b/>
          <w:bCs/>
        </w:rPr>
        <w:t xml:space="preserve">Apr 16, 2024</w:t>
      </w:r>
      <w:r>
        <w:t xml:space="preserve"> </w:t>
      </w:r>
      <w:r>
        <w:t xml:space="preserve">–</w:t>
      </w:r>
      <w:r>
        <w:t xml:space="preserve"> </w:t>
      </w:r>
      <w:r>
        <w:rPr>
          <w:i/>
          <w:iCs/>
        </w:rPr>
        <w:t xml:space="preserve">Admission of No Arrears:</w:t>
      </w:r>
      <w:r>
        <w:t xml:space="preserve"> </w:t>
      </w:r>
      <w:r>
        <w:t xml:space="preserve">At a court hearing, the landlord’s counsel</w:t>
      </w:r>
      <w:r>
        <w:t xml:space="preserve"> </w:t>
      </w:r>
      <w:r>
        <w:rPr>
          <w:b/>
          <w:bCs/>
        </w:rPr>
        <w:t xml:space="preserve">acknowledges Andrew owed no rent through end of 2024</w:t>
      </w:r>
      <w:r>
        <w:t xml:space="preserve"> </w:t>
      </w:r>
      <w:r>
        <w:t xml:space="preserve">(government COVID relief had paid his rent)</w:t>
      </w:r>
      <w:hyperlink r:id="rId24">
        <w:r>
          <w:rPr>
            <w:rStyle w:val="Hyperlink"/>
          </w:rPr>
          <w:t xml:space="preserve">[14]</w:t>
        </w:r>
      </w:hyperlink>
      <w:r>
        <w:t xml:space="preserve">. This undercuts the basis for any nonpayment eviction.</w:t>
      </w:r>
      <w:r>
        <w:t xml:space="preserve"> </w:t>
      </w:r>
      <w:r>
        <w:rPr>
          <w:i/>
          <w:iCs/>
        </w:rPr>
        <w:t xml:space="preserve">(MEEK1: Contradiction in landlord’s claim)</w:t>
      </w:r>
    </w:p>
    <w:p>
      <w:pPr>
        <w:pStyle w:val="Compact"/>
        <w:numPr>
          <w:ilvl w:val="0"/>
          <w:numId w:val="1001"/>
        </w:numPr>
      </w:pPr>
      <w:r>
        <w:rPr>
          <w:b/>
          <w:bCs/>
        </w:rPr>
        <w:t xml:space="preserve">Apr 16, 2024</w:t>
      </w:r>
      <w:r>
        <w:t xml:space="preserve"> </w:t>
      </w:r>
      <w:r>
        <w:t xml:space="preserve">–</w:t>
      </w:r>
      <w:r>
        <w:t xml:space="preserve"> </w:t>
      </w:r>
      <w:r>
        <w:rPr>
          <w:i/>
          <w:iCs/>
        </w:rPr>
        <w:t xml:space="preserve">Custody Order:</w:t>
      </w:r>
      <w:r>
        <w:t xml:space="preserve"> </w:t>
      </w:r>
      <w:r>
        <w:t xml:space="preserve">On the same date in the custody case, a</w:t>
      </w:r>
      <w:r>
        <w:t xml:space="preserve"> </w:t>
      </w:r>
      <w:r>
        <w:rPr>
          <w:b/>
          <w:bCs/>
        </w:rPr>
        <w:t xml:space="preserve">temporary order</w:t>
      </w:r>
      <w:r>
        <w:t xml:space="preserve"> </w:t>
      </w:r>
      <w:r>
        <w:t xml:space="preserve">or parenting-time arrangement is likely set. (Andrew maintained an Established Custodial Environment with alternating weekends</w:t>
      </w:r>
      <w:hyperlink r:id="rId23">
        <w:r>
          <w:rPr>
            <w:rStyle w:val="Hyperlink"/>
          </w:rPr>
          <w:t xml:space="preserve">[15]</w:t>
        </w:r>
      </w:hyperlink>
      <w:r>
        <w:t xml:space="preserve">.) Emily works for the Kent County family division, raising a potential</w:t>
      </w:r>
      <w:r>
        <w:t xml:space="preserve"> </w:t>
      </w:r>
      <w:r>
        <w:rPr>
          <w:b/>
          <w:bCs/>
        </w:rPr>
        <w:t xml:space="preserve">conflict of interest</w:t>
      </w:r>
      <w:r>
        <w:t xml:space="preserve"> </w:t>
      </w:r>
      <w:r>
        <w:t xml:space="preserve">under Judge McNeill’s oversight</w:t>
      </w:r>
      <w:hyperlink r:id="rId23">
        <w:r>
          <w:rPr>
            <w:rStyle w:val="Hyperlink"/>
          </w:rPr>
          <w:t xml:space="preserve">[15]</w:t>
        </w:r>
      </w:hyperlink>
      <w:r>
        <w:t xml:space="preserve">.</w:t>
      </w:r>
      <w:r>
        <w:t xml:space="preserve"> </w:t>
      </w:r>
      <w:r>
        <w:rPr>
          <w:i/>
          <w:iCs/>
        </w:rPr>
        <w:t xml:space="preserve">(MEEK2; MEEK4)</w:t>
      </w:r>
    </w:p>
    <w:p>
      <w:pPr>
        <w:pStyle w:val="Compact"/>
        <w:numPr>
          <w:ilvl w:val="0"/>
          <w:numId w:val="1001"/>
        </w:numPr>
      </w:pPr>
      <w:r>
        <w:rPr>
          <w:b/>
          <w:bCs/>
        </w:rPr>
        <w:t xml:space="preserve">May 2, 2024</w:t>
      </w:r>
      <w:r>
        <w:t xml:space="preserve"> </w:t>
      </w:r>
      <w:r>
        <w:t xml:space="preserve">–</w:t>
      </w:r>
      <w:r>
        <w:t xml:space="preserve"> </w:t>
      </w:r>
      <w:r>
        <w:rPr>
          <w:i/>
          <w:iCs/>
        </w:rPr>
        <w:t xml:space="preserve">Parenting Time Restored:</w:t>
      </w:r>
      <w:r>
        <w:t xml:space="preserve"> </w:t>
      </w:r>
      <w:r>
        <w:t xml:space="preserve">After six weeks of deprivation, Andrew’s parenting time with LDW is</w:t>
      </w:r>
      <w:r>
        <w:t xml:space="preserve"> </w:t>
      </w:r>
      <w:r>
        <w:rPr>
          <w:b/>
          <w:bCs/>
        </w:rPr>
        <w:t xml:space="preserve">restored by an ex parte court order</w:t>
      </w:r>
      <w:hyperlink r:id="rId21">
        <w:r>
          <w:rPr>
            <w:rStyle w:val="Hyperlink"/>
          </w:rPr>
          <w:t xml:space="preserve">[16]</w:t>
        </w:r>
      </w:hyperlink>
      <w:r>
        <w:t xml:space="preserve">. The court intervenes to enforce parenting time, suggesting it found Emily’s withholding unjustified.</w:t>
      </w:r>
      <w:r>
        <w:t xml:space="preserve"> </w:t>
      </w:r>
      <w:r>
        <w:rPr>
          <w:i/>
          <w:iCs/>
        </w:rPr>
        <w:t xml:space="preserve">(MEEK2: Due process remedy)</w:t>
      </w:r>
    </w:p>
    <w:p>
      <w:pPr>
        <w:pStyle w:val="Compact"/>
        <w:numPr>
          <w:ilvl w:val="0"/>
          <w:numId w:val="1001"/>
        </w:numPr>
      </w:pPr>
      <w:r>
        <w:rPr>
          <w:b/>
          <w:bCs/>
        </w:rPr>
        <w:t xml:space="preserve">May 8, 2024</w:t>
      </w:r>
      <w:r>
        <w:t xml:space="preserve"> </w:t>
      </w:r>
      <w:r>
        <w:t xml:space="preserve">–</w:t>
      </w:r>
      <w:r>
        <w:t xml:space="preserve"> </w:t>
      </w:r>
      <w:r>
        <w:rPr>
          <w:i/>
          <w:iCs/>
        </w:rPr>
        <w:t xml:space="preserve">Eviction Case Reopened:</w:t>
      </w:r>
      <w:r>
        <w:t xml:space="preserve"> </w:t>
      </w:r>
      <w:r>
        <w:t xml:space="preserve">The settlement in the eviction case unravels. Andrew moves to</w:t>
      </w:r>
      <w:r>
        <w:t xml:space="preserve"> </w:t>
      </w:r>
      <w:r>
        <w:rPr>
          <w:b/>
          <w:bCs/>
        </w:rPr>
        <w:t xml:space="preserve">reopen</w:t>
      </w:r>
      <w:r>
        <w:t xml:space="preserve"> </w:t>
      </w:r>
      <w:r>
        <w:t xml:space="preserve">the case, citing the landlord’s breaches (e.g. failing to fix sewage issues or new retaliatory acts)</w:t>
      </w:r>
      <w:hyperlink r:id="rId24">
        <w:r>
          <w:rPr>
            <w:rStyle w:val="Hyperlink"/>
          </w:rPr>
          <w:t xml:space="preserve">[17]</w:t>
        </w:r>
      </w:hyperlink>
      <w:r>
        <w:t xml:space="preserve">. The landlord likewise moves to reinstate their claims by end of May</w:t>
      </w:r>
      <w:hyperlink r:id="rId24">
        <w:r>
          <w:rPr>
            <w:rStyle w:val="Hyperlink"/>
          </w:rPr>
          <w:t xml:space="preserve">[17]</w:t>
        </w:r>
      </w:hyperlink>
      <w:r>
        <w:t xml:space="preserve">.</w:t>
      </w:r>
      <w:r>
        <w:t xml:space="preserve"> </w:t>
      </w:r>
      <w:r>
        <w:rPr>
          <w:i/>
          <w:iCs/>
        </w:rPr>
        <w:t xml:space="preserve">(MEEK1: Retaliation)</w:t>
      </w:r>
    </w:p>
    <w:p>
      <w:pPr>
        <w:pStyle w:val="Compact"/>
        <w:numPr>
          <w:ilvl w:val="0"/>
          <w:numId w:val="1001"/>
        </w:numPr>
      </w:pPr>
      <w:r>
        <w:rPr>
          <w:b/>
          <w:bCs/>
        </w:rPr>
        <w:t xml:space="preserve">Aug 7–09, 2024</w:t>
      </w:r>
      <w:r>
        <w:t xml:space="preserve"> </w:t>
      </w:r>
      <w:r>
        <w:t xml:space="preserve">–</w:t>
      </w:r>
      <w:r>
        <w:t xml:space="preserve"> </w:t>
      </w:r>
      <w:r>
        <w:rPr>
          <w:i/>
          <w:iCs/>
        </w:rPr>
        <w:t xml:space="preserve">Police Reports:</w:t>
      </w:r>
      <w:r>
        <w:t xml:space="preserve"> </w:t>
      </w:r>
      <w:r>
        <w:t xml:space="preserve">Multiple Norton Shores PD reports are generated for incidents around these dates, involving allegations of harassment and PPO violations during custody exchanges (e.g. Case #NS2505044 on 8/7/24 for “harassing calls” and custody dispute)</w:t>
      </w:r>
      <w:hyperlink r:id="rId22">
        <w:r>
          <w:rPr>
            <w:rStyle w:val="Hyperlink"/>
          </w:rPr>
          <w:t xml:space="preserve">[18]</w:t>
        </w:r>
      </w:hyperlink>
      <w:hyperlink r:id="rId22">
        <w:r>
          <w:rPr>
            <w:rStyle w:val="Hyperlink"/>
          </w:rPr>
          <w:t xml:space="preserve">[19]</w:t>
        </w:r>
      </w:hyperlink>
      <w:r>
        <w:t xml:space="preserve">. These incidents reflect continued conflict but no criminal charges.</w:t>
      </w:r>
      <w:r>
        <w:t xml:space="preserve"> </w:t>
      </w:r>
      <w:r>
        <w:rPr>
          <w:i/>
          <w:iCs/>
        </w:rPr>
        <w:t xml:space="preserve">(MEEK2 &amp; MEEK3)</w:t>
      </w:r>
    </w:p>
    <w:p>
      <w:pPr>
        <w:pStyle w:val="Compact"/>
        <w:numPr>
          <w:ilvl w:val="0"/>
          <w:numId w:val="1001"/>
        </w:numPr>
      </w:pPr>
      <w:r>
        <w:rPr>
          <w:b/>
          <w:bCs/>
        </w:rPr>
        <w:t xml:space="preserve">Aug 23, 2024</w:t>
      </w:r>
      <w:r>
        <w:t xml:space="preserve"> </w:t>
      </w:r>
      <w:r>
        <w:t xml:space="preserve">–</w:t>
      </w:r>
      <w:r>
        <w:t xml:space="preserve"> </w:t>
      </w:r>
      <w:r>
        <w:rPr>
          <w:i/>
          <w:iCs/>
        </w:rPr>
        <w:t xml:space="preserve">Custody Case “Closed”:</w:t>
      </w:r>
      <w:r>
        <w:t xml:space="preserve"> </w:t>
      </w:r>
      <w:r>
        <w:t xml:space="preserve">The custody/support case is</w:t>
      </w:r>
      <w:r>
        <w:t xml:space="preserve"> </w:t>
      </w:r>
      <w:r>
        <w:rPr>
          <w:b/>
          <w:bCs/>
        </w:rPr>
        <w:t xml:space="preserve">marked closed</w:t>
      </w:r>
      <w:r>
        <w:t xml:space="preserve"> </w:t>
      </w:r>
      <w:r>
        <w:t xml:space="preserve">(perhaps indicating entry of a final custody order or consent judgment)</w:t>
      </w:r>
      <w:hyperlink r:id="rId23">
        <w:r>
          <w:rPr>
            <w:rStyle w:val="Hyperlink"/>
          </w:rPr>
          <w:t xml:space="preserve">[11]</w:t>
        </w:r>
      </w:hyperlink>
      <w:r>
        <w:t xml:space="preserve">. However, post-judgment motions and PPO-related issues continue under Judge McNeill’s jurisdiction</w:t>
      </w:r>
      <w:hyperlink r:id="rId23">
        <w:r>
          <w:rPr>
            <w:rStyle w:val="Hyperlink"/>
          </w:rPr>
          <w:t xml:space="preserve">[11]</w:t>
        </w:r>
      </w:hyperlink>
      <w:r>
        <w:t xml:space="preserve">.</w:t>
      </w:r>
      <w:r>
        <w:t xml:space="preserve"> </w:t>
      </w:r>
      <w:r>
        <w:rPr>
          <w:i/>
          <w:iCs/>
        </w:rPr>
        <w:t xml:space="preserve">(MEEK2)</w:t>
      </w:r>
    </w:p>
    <w:p>
      <w:pPr>
        <w:pStyle w:val="Compact"/>
        <w:numPr>
          <w:ilvl w:val="0"/>
          <w:numId w:val="1001"/>
        </w:numPr>
      </w:pPr>
      <w:r>
        <w:rPr>
          <w:b/>
          <w:bCs/>
        </w:rPr>
        <w:t xml:space="preserve">Oct 20, 2024</w:t>
      </w:r>
      <w:r>
        <w:t xml:space="preserve"> </w:t>
      </w:r>
      <w:r>
        <w:t xml:space="preserve">–</w:t>
      </w:r>
      <w:r>
        <w:t xml:space="preserve"> </w:t>
      </w:r>
      <w:r>
        <w:rPr>
          <w:i/>
          <w:iCs/>
        </w:rPr>
        <w:t xml:space="preserve">Exchange Confrontation:</w:t>
      </w:r>
      <w:r>
        <w:t xml:space="preserve"> </w:t>
      </w:r>
      <w:r>
        <w:t xml:space="preserve">During a scheduled exchange, Emily’s father</w:t>
      </w:r>
      <w:r>
        <w:t xml:space="preserve"> </w:t>
      </w:r>
      <w:r>
        <w:rPr>
          <w:b/>
          <w:bCs/>
        </w:rPr>
        <w:t xml:space="preserve">Albert Watson forcibly takes the child</w:t>
      </w:r>
      <w:r>
        <w:t xml:space="preserve"> </w:t>
      </w:r>
      <w:r>
        <w:t xml:space="preserve">from Andrew’s arms and throws paperwork at him (purported PPO show-cause documents) while mocking him</w:t>
      </w:r>
      <w:hyperlink r:id="rId21">
        <w:r>
          <w:rPr>
            <w:rStyle w:val="Hyperlink"/>
          </w:rPr>
          <w:t xml:space="preserve">[20]</w:t>
        </w:r>
      </w:hyperlink>
      <w:r>
        <w:t xml:space="preserve">. This traumatic incident deprives Andrew of parenting time and exemplifies third-party interference.</w:t>
      </w:r>
      <w:r>
        <w:t xml:space="preserve"> </w:t>
      </w:r>
      <w:r>
        <w:rPr>
          <w:i/>
          <w:iCs/>
        </w:rPr>
        <w:t xml:space="preserve">(MEEK2: Custody interference; MEEK3: PPO harassment)</w:t>
      </w:r>
    </w:p>
    <w:p>
      <w:pPr>
        <w:pStyle w:val="Compact"/>
        <w:numPr>
          <w:ilvl w:val="0"/>
          <w:numId w:val="1001"/>
        </w:numPr>
      </w:pPr>
      <w:r>
        <w:rPr>
          <w:b/>
          <w:bCs/>
        </w:rPr>
        <w:t xml:space="preserve">Oct 30, 2024</w:t>
      </w:r>
      <w:r>
        <w:t xml:space="preserve"> </w:t>
      </w:r>
      <w:r>
        <w:t xml:space="preserve">–</w:t>
      </w:r>
      <w:r>
        <w:t xml:space="preserve"> </w:t>
      </w:r>
      <w:r>
        <w:rPr>
          <w:i/>
          <w:iCs/>
        </w:rPr>
        <w:t xml:space="preserve">PPO Show-Cause Dismissal:</w:t>
      </w:r>
      <w:r>
        <w:t xml:space="preserve"> </w:t>
      </w:r>
      <w:r>
        <w:t xml:space="preserve">A third PPO contempt proceeding (“Show Cause #3”) is held and ultimately</w:t>
      </w:r>
      <w:r>
        <w:t xml:space="preserve"> </w:t>
      </w:r>
      <w:r>
        <w:rPr>
          <w:b/>
          <w:bCs/>
        </w:rPr>
        <w:t xml:space="preserve">dismissed</w:t>
      </w:r>
      <w:r>
        <w:t xml:space="preserve"> </w:t>
      </w:r>
      <w:r>
        <w:t xml:space="preserve">by the court for lack of proof</w:t>
      </w:r>
      <w:hyperlink r:id="rId23">
        <w:r>
          <w:rPr>
            <w:rStyle w:val="Hyperlink"/>
          </w:rPr>
          <w:t xml:space="preserve">[21]</w:t>
        </w:r>
      </w:hyperlink>
      <w:r>
        <w:t xml:space="preserve">. (A transcript from a late-Oct 2024 hearing reflects that the allegations did not warrant sanction.) Andrew asserts that Emily’s claims were unsubstantiated and the dismissal confirms it.</w:t>
      </w:r>
      <w:r>
        <w:t xml:space="preserve"> </w:t>
      </w:r>
      <w:r>
        <w:rPr>
          <w:i/>
          <w:iCs/>
        </w:rPr>
        <w:t xml:space="preserve">(MEEK3: False accusation cleared)</w:t>
      </w:r>
    </w:p>
    <w:p>
      <w:pPr>
        <w:pStyle w:val="Compact"/>
        <w:numPr>
          <w:ilvl w:val="0"/>
          <w:numId w:val="1001"/>
        </w:numPr>
      </w:pPr>
      <w:r>
        <w:rPr>
          <w:b/>
          <w:bCs/>
        </w:rPr>
        <w:t xml:space="preserve">Oct–Nov 2024</w:t>
      </w:r>
      <w:r>
        <w:t xml:space="preserve"> </w:t>
      </w:r>
      <w:r>
        <w:t xml:space="preserve">–</w:t>
      </w:r>
      <w:r>
        <w:t xml:space="preserve"> </w:t>
      </w:r>
      <w:r>
        <w:rPr>
          <w:i/>
          <w:iCs/>
        </w:rPr>
        <w:t xml:space="preserve">Child Withholding Again:</w:t>
      </w:r>
      <w:r>
        <w:t xml:space="preserve"> </w:t>
      </w:r>
      <w:r>
        <w:t xml:space="preserve">Emily unilaterally extends a “vacation” and</w:t>
      </w:r>
      <w:r>
        <w:t xml:space="preserve"> </w:t>
      </w:r>
      <w:r>
        <w:rPr>
          <w:b/>
          <w:bCs/>
        </w:rPr>
        <w:t xml:space="preserve">withholds LDW for nearly a month</w:t>
      </w:r>
      <w:r>
        <w:t xml:space="preserve"> </w:t>
      </w:r>
      <w:r>
        <w:t xml:space="preserve">(Oct 20–Nov 15), causing Andrew to miss Halloween, the child’s birthday, and other visits</w:t>
      </w:r>
      <w:hyperlink r:id="rId21">
        <w:r>
          <w:rPr>
            <w:rStyle w:val="Hyperlink"/>
          </w:rPr>
          <w:t xml:space="preserve">[16]</w:t>
        </w:r>
      </w:hyperlink>
      <w:r>
        <w:t xml:space="preserve">. Contact is only reinstated after court intervention in mid-November.</w:t>
      </w:r>
      <w:r>
        <w:t xml:space="preserve"> </w:t>
      </w:r>
      <w:r>
        <w:rPr>
          <w:i/>
          <w:iCs/>
        </w:rPr>
        <w:t xml:space="preserve">(MEEK2: Retaliatory withholding)</w:t>
      </w:r>
    </w:p>
    <w:p>
      <w:pPr>
        <w:pStyle w:val="Compact"/>
        <w:numPr>
          <w:ilvl w:val="0"/>
          <w:numId w:val="1001"/>
        </w:numPr>
      </w:pPr>
      <w:r>
        <w:rPr>
          <w:b/>
          <w:bCs/>
        </w:rPr>
        <w:t xml:space="preserve">Oct 31, 2024</w:t>
      </w:r>
      <w:r>
        <w:t xml:space="preserve"> </w:t>
      </w:r>
      <w:r>
        <w:t xml:space="preserve">–</w:t>
      </w:r>
      <w:r>
        <w:t xml:space="preserve"> </w:t>
      </w:r>
      <w:r>
        <w:rPr>
          <w:i/>
          <w:iCs/>
        </w:rPr>
        <w:t xml:space="preserve">PPO Amended:</w:t>
      </w:r>
      <w:r>
        <w:t xml:space="preserve"> </w:t>
      </w:r>
      <w:r>
        <w:t xml:space="preserve">The NSPD records show the court issued a “</w:t>
      </w:r>
      <w:r>
        <w:rPr>
          <w:b/>
          <w:bCs/>
        </w:rPr>
        <w:t xml:space="preserve">2nd Amended Notice</w:t>
      </w:r>
      <w:r>
        <w:t xml:space="preserve">” for the PPO on this date</w:t>
      </w:r>
      <w:hyperlink r:id="rId22">
        <w:r>
          <w:rPr>
            <w:rStyle w:val="Hyperlink"/>
          </w:rPr>
          <w:t xml:space="preserve">[22]</w:t>
        </w:r>
      </w:hyperlink>
      <w:r>
        <w:t xml:space="preserve">. (Likely adjustments to the PPO’s terms or extension of its duration.) This suggests the PPO remained active into late 2024, possibly modified as circumstances evolved.</w:t>
      </w:r>
      <w:r>
        <w:t xml:space="preserve"> </w:t>
      </w:r>
      <w:r>
        <w:rPr>
          <w:i/>
          <w:iCs/>
        </w:rPr>
        <w:t xml:space="preserve">(MEEK3)</w:t>
      </w:r>
    </w:p>
    <w:p>
      <w:pPr>
        <w:numPr>
          <w:ilvl w:val="0"/>
          <w:numId w:val="1001"/>
        </w:numPr>
      </w:pPr>
      <w:r>
        <w:rPr>
          <w:b/>
          <w:bCs/>
        </w:rPr>
        <w:t xml:space="preserve">Dec 5, 2024</w:t>
      </w:r>
      <w:r>
        <w:t xml:space="preserve"> </w:t>
      </w:r>
      <w:r>
        <w:t xml:space="preserve">–</w:t>
      </w:r>
      <w:r>
        <w:t xml:space="preserve"> </w:t>
      </w:r>
      <w:r>
        <w:rPr>
          <w:i/>
          <w:iCs/>
        </w:rPr>
        <w:t xml:space="preserve">PPO Near Expiry:</w:t>
      </w:r>
      <w:r>
        <w:t xml:space="preserve"> </w:t>
      </w:r>
      <w:r>
        <w:t xml:space="preserve">One year from issuance, the PPO would expire unless extended. There is no record of a new PPO filing by Emily after 2023-5907-PP, implying the PPO may have</w:t>
      </w:r>
      <w:r>
        <w:t xml:space="preserve"> </w:t>
      </w:r>
      <w:r>
        <w:rPr>
          <w:b/>
          <w:bCs/>
        </w:rPr>
        <w:t xml:space="preserve">expired by Dec 2024</w:t>
      </w:r>
      <w:r>
        <w:t xml:space="preserve">. (NSPD logs show no new PPO case number in 2024; the last amendment was in Oct 2024</w:t>
      </w:r>
      <w:hyperlink r:id="rId22">
        <w:r>
          <w:rPr>
            <w:rStyle w:val="Hyperlink"/>
          </w:rPr>
          <w:t xml:space="preserve">[22]</w:t>
        </w:r>
      </w:hyperlink>
      <w:r>
        <w:t xml:space="preserve">.) Emily’s strategy shifts to other legal tactics thereafter.</w:t>
      </w:r>
      <w:r>
        <w:t xml:space="preserve"> </w:t>
      </w:r>
      <w:r>
        <w:rPr>
          <w:i/>
          <w:iCs/>
        </w:rPr>
        <w:t xml:space="preserve">(MEEK3)</w:t>
      </w:r>
    </w:p>
    <w:p>
      <w:pPr>
        <w:numPr>
          <w:ilvl w:val="0"/>
          <w:numId w:val="1001"/>
        </w:numPr>
      </w:pPr>
      <w:r>
        <w:rPr>
          <w:b/>
          <w:bCs/>
        </w:rPr>
        <w:t xml:space="preserve">Feb 2025</w:t>
      </w:r>
      <w:r>
        <w:t xml:space="preserve"> </w:t>
      </w:r>
      <w:r>
        <w:t xml:space="preserve">–</w:t>
      </w:r>
      <w:r>
        <w:t xml:space="preserve"> </w:t>
      </w:r>
      <w:r>
        <w:rPr>
          <w:i/>
          <w:iCs/>
        </w:rPr>
        <w:t xml:space="preserve">Contempt &amp; Incarceration:</w:t>
      </w:r>
      <w:r>
        <w:t xml:space="preserve"> </w:t>
      </w:r>
      <w:r>
        <w:t xml:space="preserve">During ongoing PPO proceedings, Judge McNeill finds Andrew in</w:t>
      </w:r>
      <w:r>
        <w:t xml:space="preserve"> </w:t>
      </w:r>
      <w:r>
        <w:rPr>
          <w:b/>
          <w:bCs/>
        </w:rPr>
        <w:t xml:space="preserve">criminal contempt</w:t>
      </w:r>
      <w:r>
        <w:t xml:space="preserve"> </w:t>
      </w:r>
      <w:r>
        <w:t xml:space="preserve">(reportedly for “yelling” during a child exchange) and jails him</w:t>
      </w:r>
      <w:hyperlink r:id="rId23">
        <w:r>
          <w:rPr>
            <w:rStyle w:val="Hyperlink"/>
          </w:rPr>
          <w:t xml:space="preserve">[23]</w:t>
        </w:r>
      </w:hyperlink>
      <w:r>
        <w:t xml:space="preserve">. This extraordinary measure, based on a minor alleged infraction, causes Andrew to</w:t>
      </w:r>
      <w:r>
        <w:t xml:space="preserve"> </w:t>
      </w:r>
      <w:r>
        <w:rPr>
          <w:b/>
          <w:bCs/>
        </w:rPr>
        <w:t xml:space="preserve">lose his job</w:t>
      </w:r>
      <w:r>
        <w:t xml:space="preserve"> </w:t>
      </w:r>
      <w:r>
        <w:t xml:space="preserve">and income</w:t>
      </w:r>
      <w:hyperlink r:id="rId23">
        <w:r>
          <w:rPr>
            <w:rStyle w:val="Hyperlink"/>
          </w:rPr>
          <w:t xml:space="preserve">[23]</w:t>
        </w:r>
      </w:hyperlink>
      <w:r>
        <w:t xml:space="preserve">.</w:t>
      </w:r>
      <w:r>
        <w:t xml:space="preserve"> </w:t>
      </w:r>
      <w:r>
        <w:rPr>
          <w:i/>
          <w:iCs/>
        </w:rPr>
        <w:t xml:space="preserve">(MEEK3: Overzealous enforcement; MEEK4: due process concern)</w:t>
      </w:r>
    </w:p>
    <w:p>
      <w:pPr>
        <w:pStyle w:val="Compact"/>
        <w:numPr>
          <w:ilvl w:val="0"/>
          <w:numId w:val="1001"/>
        </w:numPr>
      </w:pPr>
      <w:r>
        <w:rPr>
          <w:b/>
          <w:bCs/>
        </w:rPr>
        <w:t xml:space="preserve">Mar 2025</w:t>
      </w:r>
      <w:r>
        <w:t xml:space="preserve"> </w:t>
      </w:r>
      <w:r>
        <w:t xml:space="preserve">–</w:t>
      </w:r>
      <w:r>
        <w:t xml:space="preserve"> </w:t>
      </w:r>
      <w:r>
        <w:rPr>
          <w:i/>
          <w:iCs/>
        </w:rPr>
        <w:t xml:space="preserve">Suppression of Defense:</w:t>
      </w:r>
      <w:r>
        <w:t xml:space="preserve"> </w:t>
      </w:r>
      <w:r>
        <w:t xml:space="preserve">At a March 2025 contempt hearing, Andrew experiences “judicial muting” – Judge McNeill allegedly</w:t>
      </w:r>
      <w:r>
        <w:t xml:space="preserve"> </w:t>
      </w:r>
      <w:r>
        <w:rPr>
          <w:b/>
          <w:bCs/>
        </w:rPr>
        <w:t xml:space="preserve">limited his ability to speak or present evidence</w:t>
      </w:r>
      <w:r>
        <w:t xml:space="preserve">, and even Andrew’s attorney (court-appointed Mandi Martini) provided</w:t>
      </w:r>
      <w:r>
        <w:t xml:space="preserve"> </w:t>
      </w:r>
      <w:r>
        <w:rPr>
          <w:b/>
          <w:bCs/>
        </w:rPr>
        <w:t xml:space="preserve">ineffective assistance</w:t>
      </w:r>
      <w:hyperlink r:id="rId23">
        <w:r>
          <w:rPr>
            <w:rStyle w:val="Hyperlink"/>
          </w:rPr>
          <w:t xml:space="preserve">[24]</w:t>
        </w:r>
      </w:hyperlink>
      <w:r>
        <w:t xml:space="preserve">. This raises serious due process issues about Andrew’s ability to defend himself in PPO violation proceedings.</w:t>
      </w:r>
      <w:r>
        <w:t xml:space="preserve"> </w:t>
      </w:r>
      <w:r>
        <w:rPr>
          <w:i/>
          <w:iCs/>
        </w:rPr>
        <w:t xml:space="preserve">(MEEK4: Judicial misconduct)</w:t>
      </w:r>
    </w:p>
    <w:p>
      <w:pPr>
        <w:pStyle w:val="Compact"/>
        <w:numPr>
          <w:ilvl w:val="0"/>
          <w:numId w:val="1001"/>
        </w:numPr>
      </w:pPr>
      <w:r>
        <w:rPr>
          <w:b/>
          <w:bCs/>
        </w:rPr>
        <w:t xml:space="preserve">Mar 2025</w:t>
      </w:r>
      <w:r>
        <w:t xml:space="preserve"> </w:t>
      </w:r>
      <w:r>
        <w:t xml:space="preserve">–</w:t>
      </w:r>
      <w:r>
        <w:t xml:space="preserve"> </w:t>
      </w:r>
      <w:r>
        <w:rPr>
          <w:i/>
          <w:iCs/>
        </w:rPr>
        <w:t xml:space="preserve">Landlord Ledger Fraud:</w:t>
      </w:r>
      <w:r>
        <w:t xml:space="preserve"> </w:t>
      </w:r>
      <w:r>
        <w:t xml:space="preserve">Meanwhile in the housing matter, Shady Oaks (Homes of America) refuses to correct its rent ledger after large CERA payments. They carry over</w:t>
      </w:r>
      <w:r>
        <w:t xml:space="preserve"> </w:t>
      </w:r>
      <w:r>
        <w:rPr>
          <w:b/>
          <w:bCs/>
        </w:rPr>
        <w:t xml:space="preserve">bogus fees</w:t>
      </w:r>
      <w:r>
        <w:t xml:space="preserve"> </w:t>
      </w:r>
      <w:r>
        <w:t xml:space="preserve">(e.g. trash removal charges not in the lease) to falsely inflate Andrew’s balance</w:t>
      </w:r>
      <w:hyperlink r:id="rId24">
        <w:r>
          <w:rPr>
            <w:rStyle w:val="Hyperlink"/>
          </w:rPr>
          <w:t xml:space="preserve">[25]</w:t>
        </w:r>
      </w:hyperlink>
      <w:hyperlink r:id="rId24">
        <w:r>
          <w:rPr>
            <w:rStyle w:val="Hyperlink"/>
          </w:rPr>
          <w:t xml:space="preserve">[26]</w:t>
        </w:r>
      </w:hyperlink>
      <w:r>
        <w:t xml:space="preserve">. This appears aimed at manufacturing a default.</w:t>
      </w:r>
      <w:r>
        <w:t xml:space="preserve"> </w:t>
      </w:r>
      <w:r>
        <w:rPr>
          <w:i/>
          <w:iCs/>
        </w:rPr>
        <w:t xml:space="preserve">(MEEK1: Fraudulent billing)</w:t>
      </w:r>
    </w:p>
    <w:p>
      <w:pPr>
        <w:pStyle w:val="Compact"/>
        <w:numPr>
          <w:ilvl w:val="0"/>
          <w:numId w:val="1001"/>
        </w:numPr>
      </w:pPr>
      <w:r>
        <w:rPr>
          <w:b/>
          <w:bCs/>
        </w:rPr>
        <w:t xml:space="preserve">May 20, 2025</w:t>
      </w:r>
      <w:r>
        <w:t xml:space="preserve"> </w:t>
      </w:r>
      <w:r>
        <w:t xml:space="preserve">–</w:t>
      </w:r>
      <w:r>
        <w:t xml:space="preserve"> </w:t>
      </w:r>
      <w:r>
        <w:rPr>
          <w:i/>
          <w:iCs/>
        </w:rPr>
        <w:t xml:space="preserve">Water Shutoff Retaliation:</w:t>
      </w:r>
      <w:r>
        <w:t xml:space="preserve"> </w:t>
      </w:r>
      <w:r>
        <w:t xml:space="preserve">With the eviction case reopened and pending, Shady Oaks staff</w:t>
      </w:r>
      <w:r>
        <w:t xml:space="preserve"> </w:t>
      </w:r>
      <w:r>
        <w:rPr>
          <w:b/>
          <w:bCs/>
        </w:rPr>
        <w:t xml:space="preserve">shut off water service</w:t>
      </w:r>
      <w:r>
        <w:t xml:space="preserve"> </w:t>
      </w:r>
      <w:r>
        <w:t xml:space="preserve">to Andrew’s home</w:t>
      </w:r>
      <w:r>
        <w:t xml:space="preserve"> </w:t>
      </w:r>
      <w:r>
        <w:rPr>
          <w:b/>
          <w:bCs/>
        </w:rPr>
        <w:t xml:space="preserve">without notice</w:t>
      </w:r>
      <w:hyperlink r:id="rId24">
        <w:r>
          <w:rPr>
            <w:rStyle w:val="Hyperlink"/>
          </w:rPr>
          <w:t xml:space="preserve">[27]</w:t>
        </w:r>
      </w:hyperlink>
      <w:r>
        <w:t xml:space="preserve">. Andrew’s toddler son was present, and the family had no water for drinking or sanitation</w:t>
      </w:r>
      <w:hyperlink r:id="rId24">
        <w:r>
          <w:rPr>
            <w:rStyle w:val="Hyperlink"/>
          </w:rPr>
          <w:t xml:space="preserve">[28]</w:t>
        </w:r>
      </w:hyperlink>
      <w:r>
        <w:t xml:space="preserve">. This act – intended to drive them out – is</w:t>
      </w:r>
      <w:r>
        <w:t xml:space="preserve"> </w:t>
      </w:r>
      <w:r>
        <w:rPr>
          <w:b/>
          <w:bCs/>
        </w:rPr>
        <w:t xml:space="preserve">illegal</w:t>
      </w:r>
      <w:r>
        <w:t xml:space="preserve"> </w:t>
      </w:r>
      <w:r>
        <w:t xml:space="preserve">under Michigan’s anti-lockout law (MCL 600.2918(2)(f))</w:t>
      </w:r>
      <w:hyperlink r:id="rId24">
        <w:r>
          <w:rPr>
            <w:rStyle w:val="Hyperlink"/>
          </w:rPr>
          <w:t xml:space="preserve">[29]</w:t>
        </w:r>
      </w:hyperlink>
      <w:hyperlink r:id="rId24">
        <w:r>
          <w:rPr>
            <w:rStyle w:val="Hyperlink"/>
          </w:rPr>
          <w:t xml:space="preserve">[30]</w:t>
        </w:r>
      </w:hyperlink>
      <w:r>
        <w:t xml:space="preserve">. Andrew notes this as clear</w:t>
      </w:r>
      <w:r>
        <w:t xml:space="preserve"> </w:t>
      </w:r>
      <w:r>
        <w:rPr>
          <w:b/>
          <w:bCs/>
        </w:rPr>
        <w:t xml:space="preserve">retaliation</w:t>
      </w:r>
      <w:r>
        <w:t xml:space="preserve"> </w:t>
      </w:r>
      <w:r>
        <w:t xml:space="preserve">for asserting his rights.</w:t>
      </w:r>
      <w:r>
        <w:t xml:space="preserve"> </w:t>
      </w:r>
      <w:r>
        <w:rPr>
          <w:i/>
          <w:iCs/>
        </w:rPr>
        <w:t xml:space="preserve">(MEEK1: Landlord retaliation; health/safety violation)</w:t>
      </w:r>
    </w:p>
    <w:p>
      <w:pPr>
        <w:pStyle w:val="Compact"/>
        <w:numPr>
          <w:ilvl w:val="0"/>
          <w:numId w:val="1001"/>
        </w:numPr>
      </w:pPr>
      <w:r>
        <w:rPr>
          <w:b/>
          <w:bCs/>
        </w:rPr>
        <w:t xml:space="preserve">June 9, 2025</w:t>
      </w:r>
      <w:r>
        <w:t xml:space="preserve"> </w:t>
      </w:r>
      <w:r>
        <w:t xml:space="preserve">–</w:t>
      </w:r>
      <w:r>
        <w:t xml:space="preserve"> </w:t>
      </w:r>
      <w:r>
        <w:rPr>
          <w:i/>
          <w:iCs/>
        </w:rPr>
        <w:t xml:space="preserve">Eviction Judgment:</w:t>
      </w:r>
      <w:r>
        <w:t xml:space="preserve"> </w:t>
      </w:r>
      <w:r>
        <w:t xml:space="preserve">Muskegon District Court (Hon. Maria Ladas Hoopes) holds a hearing on the reopened eviction. The court</w:t>
      </w:r>
      <w:r>
        <w:t xml:space="preserve"> </w:t>
      </w:r>
      <w:r>
        <w:rPr>
          <w:b/>
          <w:bCs/>
        </w:rPr>
        <w:t xml:space="preserve">denies Andrew’s motions</w:t>
      </w:r>
      <w:r>
        <w:t xml:space="preserve"> </w:t>
      </w:r>
      <w:r>
        <w:t xml:space="preserve">(to dismiss or void for improper plaintiff) and</w:t>
      </w:r>
      <w:r>
        <w:t xml:space="preserve"> </w:t>
      </w:r>
      <w:r>
        <w:rPr>
          <w:b/>
          <w:bCs/>
        </w:rPr>
        <w:t xml:space="preserve">enters a Judgment of Possession</w:t>
      </w:r>
      <w:r>
        <w:t xml:space="preserve"> </w:t>
      </w:r>
      <w:r>
        <w:t xml:space="preserve">in favor of “Shady Oaks Park MHP, LLC,” issuing a Writ of Eviction</w:t>
      </w:r>
      <w:hyperlink r:id="rId24">
        <w:r>
          <w:rPr>
            <w:rStyle w:val="Hyperlink"/>
          </w:rPr>
          <w:t xml:space="preserve">[31]</w:t>
        </w:r>
      </w:hyperlink>
      <w:hyperlink r:id="rId24">
        <w:r>
          <w:rPr>
            <w:rStyle w:val="Hyperlink"/>
          </w:rPr>
          <w:t xml:space="preserve">[32]</w:t>
        </w:r>
      </w:hyperlink>
      <w:r>
        <w:t xml:space="preserve">. This outcome overlooks serious procedural defects – the named plaintiff LLC was</w:t>
      </w:r>
      <w:r>
        <w:t xml:space="preserve"> </w:t>
      </w:r>
      <w:r>
        <w:rPr>
          <w:b/>
          <w:bCs/>
        </w:rPr>
        <w:t xml:space="preserve">dissolved and lacked legal capacity</w:t>
      </w:r>
      <w:hyperlink r:id="rId24">
        <w:r>
          <w:rPr>
            <w:rStyle w:val="Hyperlink"/>
          </w:rPr>
          <w:t xml:space="preserve">[33]</w:t>
        </w:r>
      </w:hyperlink>
      <w:r>
        <w:t xml:space="preserve"> </w:t>
      </w:r>
      <w:r>
        <w:t xml:space="preserve">– an issue now raised on appeal.</w:t>
      </w:r>
      <w:r>
        <w:t xml:space="preserve"> </w:t>
      </w:r>
      <w:r>
        <w:rPr>
          <w:i/>
          <w:iCs/>
        </w:rPr>
        <w:t xml:space="preserve">(MEEK1: Void judgment; due process)</w:t>
      </w:r>
    </w:p>
    <w:p>
      <w:pPr>
        <w:pStyle w:val="Compact"/>
        <w:numPr>
          <w:ilvl w:val="0"/>
          <w:numId w:val="1001"/>
        </w:numPr>
      </w:pPr>
      <w:r>
        <w:rPr>
          <w:b/>
          <w:bCs/>
        </w:rPr>
        <w:t xml:space="preserve">June 13, 2025</w:t>
      </w:r>
      <w:r>
        <w:t xml:space="preserve"> </w:t>
      </w:r>
      <w:r>
        <w:t xml:space="preserve">–</w:t>
      </w:r>
      <w:r>
        <w:t xml:space="preserve"> </w:t>
      </w:r>
      <w:r>
        <w:rPr>
          <w:i/>
          <w:iCs/>
        </w:rPr>
        <w:t xml:space="preserve">Federal Rights Suit Filed:</w:t>
      </w:r>
      <w:r>
        <w:t xml:space="preserve"> </w:t>
      </w:r>
      <w:r>
        <w:t xml:space="preserve">Anticipating irreparable harm, Andrew files a</w:t>
      </w:r>
      <w:r>
        <w:t xml:space="preserve"> </w:t>
      </w:r>
      <w:r>
        <w:rPr>
          <w:b/>
          <w:bCs/>
        </w:rPr>
        <w:t xml:space="preserve">Verified Complaint</w:t>
      </w:r>
      <w:r>
        <w:t xml:space="preserve"> </w:t>
      </w:r>
      <w:r>
        <w:t xml:space="preserve">in the 14th Circuit Court (Case No. 2025-002760-CZ) with claims for</w:t>
      </w:r>
      <w:r>
        <w:t xml:space="preserve"> </w:t>
      </w:r>
      <w:r>
        <w:rPr>
          <w:b/>
          <w:bCs/>
        </w:rPr>
        <w:t xml:space="preserve">declaratory/injunctive relief, damages, and civil-rights violations</w:t>
      </w:r>
      <w:r>
        <w:t xml:space="preserve"> </w:t>
      </w:r>
      <w:r>
        <w:t xml:space="preserve">against Shady Oaks, Homes of America, and Alden Global</w:t>
      </w:r>
      <w:hyperlink r:id="rId24">
        <w:r>
          <w:rPr>
            <w:rStyle w:val="Hyperlink"/>
          </w:rPr>
          <w:t xml:space="preserve">[34]</w:t>
        </w:r>
      </w:hyperlink>
      <w:r>
        <w:t xml:space="preserve">. He also files an Emergency Motion for TRO to</w:t>
      </w:r>
      <w:r>
        <w:t xml:space="preserve"> </w:t>
      </w:r>
      <w:r>
        <w:rPr>
          <w:b/>
          <w:bCs/>
        </w:rPr>
        <w:t xml:space="preserve">stay the eviction</w:t>
      </w:r>
      <w:r>
        <w:t xml:space="preserve">. This new lawsuit alleges unconstitutional deprivation of property, retaliation, and other claims stemming from the landlord’s conduct.</w:t>
      </w:r>
      <w:r>
        <w:t xml:space="preserve"> </w:t>
      </w:r>
      <w:r>
        <w:rPr>
          <w:i/>
          <w:iCs/>
        </w:rPr>
        <w:t xml:space="preserve">(MEEK1: Housing; MEEK4: 14th Amend.)</w:t>
      </w:r>
    </w:p>
    <w:p>
      <w:pPr>
        <w:pStyle w:val="Compact"/>
        <w:numPr>
          <w:ilvl w:val="0"/>
          <w:numId w:val="1001"/>
        </w:numPr>
      </w:pPr>
      <w:r>
        <w:rPr>
          <w:b/>
          <w:bCs/>
        </w:rPr>
        <w:t xml:space="preserve">June 18, 2025</w:t>
      </w:r>
      <w:r>
        <w:t xml:space="preserve"> </w:t>
      </w:r>
      <w:r>
        <w:t xml:space="preserve">–</w:t>
      </w:r>
      <w:r>
        <w:t xml:space="preserve"> </w:t>
      </w:r>
      <w:r>
        <w:rPr>
          <w:i/>
          <w:iCs/>
        </w:rPr>
        <w:t xml:space="preserve">TRO Denied:</w:t>
      </w:r>
      <w:r>
        <w:t xml:space="preserve"> </w:t>
      </w:r>
      <w:r>
        <w:t xml:space="preserve">Circuit Judge Kenneth Hoopes</w:t>
      </w:r>
      <w:r>
        <w:t xml:space="preserve"> </w:t>
      </w:r>
      <w:r>
        <w:rPr>
          <w:b/>
          <w:bCs/>
        </w:rPr>
        <w:t xml:space="preserve">denies</w:t>
      </w:r>
      <w:r>
        <w:t xml:space="preserve"> </w:t>
      </w:r>
      <w:r>
        <w:t xml:space="preserve">Andrew’s ex parte TRO request, finding that the strict requirements for immediate injunctive relief (under MCR 3.310) were not met</w:t>
      </w:r>
      <w:hyperlink r:id="rId25">
        <w:r>
          <w:rPr>
            <w:rStyle w:val="Hyperlink"/>
          </w:rPr>
          <w:t xml:space="preserve">[35]</w:t>
        </w:r>
      </w:hyperlink>
      <w:r>
        <w:t xml:space="preserve">. The court directs that any preliminary injunction must be pursued on notice</w:t>
      </w:r>
      <w:hyperlink r:id="rId25">
        <w:r>
          <w:rPr>
            <w:rStyle w:val="Hyperlink"/>
          </w:rPr>
          <w:t xml:space="preserve">[36]</w:t>
        </w:r>
      </w:hyperlink>
      <w:r>
        <w:t xml:space="preserve">. This denial leaves Andrew without protection as the eviction clock runs out.</w:t>
      </w:r>
      <w:r>
        <w:t xml:space="preserve"> </w:t>
      </w:r>
      <w:r>
        <w:rPr>
          <w:i/>
          <w:iCs/>
        </w:rPr>
        <w:t xml:space="preserve">(MEEK1: Procedural)</w:t>
      </w:r>
    </w:p>
    <w:p>
      <w:pPr>
        <w:pStyle w:val="Compact"/>
        <w:numPr>
          <w:ilvl w:val="0"/>
          <w:numId w:val="1001"/>
        </w:numPr>
      </w:pPr>
      <w:r>
        <w:rPr>
          <w:b/>
          <w:bCs/>
        </w:rPr>
        <w:t xml:space="preserve">July 14, 2025</w:t>
      </w:r>
      <w:r>
        <w:t xml:space="preserve"> </w:t>
      </w:r>
      <w:r>
        <w:t xml:space="preserve">–</w:t>
      </w:r>
      <w:r>
        <w:t xml:space="preserve"> </w:t>
      </w:r>
      <w:r>
        <w:rPr>
          <w:i/>
          <w:iCs/>
        </w:rPr>
        <w:t xml:space="preserve">Forced Eviction &amp; Destruction:</w:t>
      </w:r>
      <w:r>
        <w:t xml:space="preserve"> </w:t>
      </w:r>
      <w:r>
        <w:t xml:space="preserve">Muskegon County deputies execute the Writ of Eviction.</w:t>
      </w:r>
      <w:r>
        <w:t xml:space="preserve"> </w:t>
      </w:r>
      <w:r>
        <w:rPr>
          <w:b/>
          <w:bCs/>
        </w:rPr>
        <w:t xml:space="preserve">Andrew and his son are forcibly removed</w:t>
      </w:r>
      <w:r>
        <w:t xml:space="preserve"> </w:t>
      </w:r>
      <w:r>
        <w:t xml:space="preserve">from their home, which is then</w:t>
      </w:r>
      <w:r>
        <w:t xml:space="preserve"> </w:t>
      </w:r>
      <w:r>
        <w:rPr>
          <w:b/>
          <w:bCs/>
        </w:rPr>
        <w:t xml:space="preserve">demolished and cleared out</w:t>
      </w:r>
      <w:r>
        <w:t xml:space="preserve"> </w:t>
      </w:r>
      <w:r>
        <w:t xml:space="preserve">by park agents</w:t>
      </w:r>
      <w:hyperlink r:id="rId24">
        <w:r>
          <w:rPr>
            <w:rStyle w:val="Hyperlink"/>
          </w:rPr>
          <w:t xml:space="preserve">[37]</w:t>
        </w:r>
      </w:hyperlink>
      <w:hyperlink r:id="rId24">
        <w:r>
          <w:rPr>
            <w:rStyle w:val="Hyperlink"/>
          </w:rPr>
          <w:t xml:space="preserve">[38]</w:t>
        </w:r>
      </w:hyperlink>
      <w:r>
        <w:t xml:space="preserve">. Staff for Homes of America drill out the locks,</w:t>
      </w:r>
      <w:r>
        <w:t xml:space="preserve"> </w:t>
      </w:r>
      <w:r>
        <w:rPr>
          <w:b/>
          <w:bCs/>
        </w:rPr>
        <w:t xml:space="preserve">haul off or destroy all of Andrew’s personal property</w:t>
      </w:r>
      <w:r>
        <w:t xml:space="preserve">, and even post a “FREE” sign on his belongings to invite scavengers</w:t>
      </w:r>
      <w:hyperlink r:id="rId24">
        <w:r>
          <w:rPr>
            <w:rStyle w:val="Hyperlink"/>
          </w:rPr>
          <w:t xml:space="preserve">[39]</w:t>
        </w:r>
      </w:hyperlink>
      <w:r>
        <w:t xml:space="preserve">. Andrew’s titled mobile home (his residence) is treated as park-owned and razed – a</w:t>
      </w:r>
      <w:r>
        <w:t xml:space="preserve"> </w:t>
      </w:r>
      <w:r>
        <w:rPr>
          <w:b/>
          <w:bCs/>
        </w:rPr>
        <w:t xml:space="preserve">complete obliteration of his property without due process</w:t>
      </w:r>
      <w:hyperlink r:id="rId24">
        <w:r>
          <w:rPr>
            <w:rStyle w:val="Hyperlink"/>
          </w:rPr>
          <w:t xml:space="preserve">[40]</w:t>
        </w:r>
      </w:hyperlink>
      <w:hyperlink r:id="rId24">
        <w:r>
          <w:rPr>
            <w:rStyle w:val="Hyperlink"/>
          </w:rPr>
          <w:t xml:space="preserve">[41]</w:t>
        </w:r>
      </w:hyperlink>
      <w:r>
        <w:t xml:space="preserve">. The family is left literally homeless on that day.</w:t>
      </w:r>
      <w:r>
        <w:t xml:space="preserve"> </w:t>
      </w:r>
      <w:r>
        <w:rPr>
          <w:i/>
          <w:iCs/>
        </w:rPr>
        <w:t xml:space="preserve">(MEEK1: Illegal self-help; conversion; IIED)</w:t>
      </w:r>
    </w:p>
    <w:p>
      <w:pPr>
        <w:pStyle w:val="Compact"/>
        <w:numPr>
          <w:ilvl w:val="0"/>
          <w:numId w:val="1001"/>
        </w:numPr>
      </w:pPr>
      <w:r>
        <w:rPr>
          <w:b/>
          <w:bCs/>
        </w:rPr>
        <w:t xml:space="preserve">July 16, 2025</w:t>
      </w:r>
      <w:r>
        <w:t xml:space="preserve"> </w:t>
      </w:r>
      <w:r>
        <w:t xml:space="preserve">–</w:t>
      </w:r>
      <w:r>
        <w:t xml:space="preserve"> </w:t>
      </w:r>
      <w:r>
        <w:rPr>
          <w:i/>
          <w:iCs/>
        </w:rPr>
        <w:t xml:space="preserve">Circuit Court Hearing (Ex Parte):</w:t>
      </w:r>
      <w:r>
        <w:t xml:space="preserve"> </w:t>
      </w:r>
      <w:r>
        <w:t xml:space="preserve">Shortly after the eviction, Judge K. Hoopes hears Andrew’s</w:t>
      </w:r>
      <w:r>
        <w:t xml:space="preserve"> </w:t>
      </w:r>
      <w:r>
        <w:rPr>
          <w:b/>
          <w:bCs/>
        </w:rPr>
        <w:t xml:space="preserve">motion for an emergency stay</w:t>
      </w:r>
      <w:r>
        <w:t xml:space="preserve"> </w:t>
      </w:r>
      <w:r>
        <w:t xml:space="preserve">of the eviction (filed before removal). The court treats Andrew’s pleading as akin to an improper appeal of the district case and notes the Circuit</w:t>
      </w:r>
      <w:r>
        <w:t xml:space="preserve"> </w:t>
      </w:r>
      <w:r>
        <w:rPr>
          <w:b/>
          <w:bCs/>
        </w:rPr>
        <w:t xml:space="preserve">“has no jurisdiction over the District Court matter.”</w:t>
      </w:r>
      <w:r>
        <w:t xml:space="preserve"> </w:t>
      </w:r>
      <w:r>
        <w:t xml:space="preserve">(Order dated July 16, 2025)</w:t>
      </w:r>
      <w:hyperlink r:id="rId25">
        <w:r>
          <w:rPr>
            <w:rStyle w:val="Hyperlink"/>
          </w:rPr>
          <w:t xml:space="preserve">[42]</w:t>
        </w:r>
      </w:hyperlink>
      <w:r>
        <w:t xml:space="preserve">. However, the court does allow Andrew to file supplemental exhibits (e.g. on the corporate shell game: linking Homes of America/Alden to Shady Oaks) by July 7, 2025</w:t>
      </w:r>
      <w:hyperlink r:id="rId25">
        <w:r>
          <w:rPr>
            <w:rStyle w:val="Hyperlink"/>
          </w:rPr>
          <w:t xml:space="preserve">[43]</w:t>
        </w:r>
      </w:hyperlink>
      <w:hyperlink r:id="rId25">
        <w:r>
          <w:rPr>
            <w:rStyle w:val="Hyperlink"/>
          </w:rPr>
          <w:t xml:space="preserve">[44]</w:t>
        </w:r>
      </w:hyperlink>
      <w:r>
        <w:t xml:space="preserve">. In effect, the Circuit Court declines to halt the eviction but leaves the door open for Andrew’s damages case to proceed with proper evidence.</w:t>
      </w:r>
      <w:r>
        <w:t xml:space="preserve"> </w:t>
      </w:r>
      <w:r>
        <w:rPr>
          <w:i/>
          <w:iCs/>
        </w:rPr>
        <w:t xml:space="preserve">(MEEK1: Procedural hurdle)</w:t>
      </w:r>
    </w:p>
    <w:p>
      <w:pPr>
        <w:pStyle w:val="Compact"/>
        <w:numPr>
          <w:ilvl w:val="0"/>
          <w:numId w:val="1001"/>
        </w:numPr>
      </w:pPr>
      <w:r>
        <w:rPr>
          <w:b/>
          <w:bCs/>
        </w:rPr>
        <w:t xml:space="preserve">Aug 8, 2025</w:t>
      </w:r>
      <w:r>
        <w:t xml:space="preserve"> </w:t>
      </w:r>
      <w:r>
        <w:t xml:space="preserve">–</w:t>
      </w:r>
      <w:r>
        <w:t xml:space="preserve"> </w:t>
      </w:r>
      <w:r>
        <w:rPr>
          <w:i/>
          <w:iCs/>
        </w:rPr>
        <w:t xml:space="preserve">Ex Parte Custody Suspension:</w:t>
      </w:r>
      <w:r>
        <w:t xml:space="preserve"> </w:t>
      </w:r>
      <w:r>
        <w:t xml:space="preserve">Without advance notice to Andrew, Judge McNeill signs an</w:t>
      </w:r>
      <w:r>
        <w:t xml:space="preserve"> </w:t>
      </w:r>
      <w:r>
        <w:rPr>
          <w:b/>
          <w:bCs/>
        </w:rPr>
        <w:t xml:space="preserve">ex parte order suspending Andrew’s parenting time</w:t>
      </w:r>
      <w:r>
        <w:t xml:space="preserve"> </w:t>
      </w:r>
      <w:r>
        <w:t xml:space="preserve">in the family case</w:t>
      </w:r>
      <w:hyperlink r:id="rId23">
        <w:r>
          <w:rPr>
            <w:rStyle w:val="Hyperlink"/>
          </w:rPr>
          <w:t xml:space="preserve">[45]</w:t>
        </w:r>
      </w:hyperlink>
      <w:r>
        <w:t xml:space="preserve">. This occurs shortly after Emily files a motion (alleging whatever new issues), and the order is entered</w:t>
      </w:r>
      <w:r>
        <w:t xml:space="preserve"> </w:t>
      </w:r>
      <w:r>
        <w:rPr>
          <w:b/>
          <w:bCs/>
        </w:rPr>
        <w:t xml:space="preserve">without a hearing</w:t>
      </w:r>
      <w:r>
        <w:t xml:space="preserve">. The order</w:t>
      </w:r>
      <w:r>
        <w:t xml:space="preserve"> </w:t>
      </w:r>
      <w:r>
        <w:rPr>
          <w:b/>
          <w:bCs/>
        </w:rPr>
        <w:t xml:space="preserve">lacks specific factual findings</w:t>
      </w:r>
      <w:r>
        <w:t xml:space="preserve"> </w:t>
      </w:r>
      <w:r>
        <w:t xml:space="preserve">and was not preceded by an evidentiary review, which Andrew contends is a</w:t>
      </w:r>
      <w:r>
        <w:t xml:space="preserve"> </w:t>
      </w:r>
      <w:r>
        <w:rPr>
          <w:b/>
          <w:bCs/>
        </w:rPr>
        <w:t xml:space="preserve">procedural defect</w:t>
      </w:r>
      <w:r>
        <w:t xml:space="preserve"> </w:t>
      </w:r>
      <w:r>
        <w:t xml:space="preserve">in violation of MCR 3.207 and due process requirements</w:t>
      </w:r>
      <w:hyperlink r:id="rId23">
        <w:r>
          <w:rPr>
            <w:rStyle w:val="Hyperlink"/>
          </w:rPr>
          <w:t xml:space="preserve">[46]</w:t>
        </w:r>
      </w:hyperlink>
      <w:r>
        <w:t xml:space="preserve">. Andrew receives a mailed copy of the order (postmarked ~8/14/2025) but</w:t>
      </w:r>
      <w:r>
        <w:t xml:space="preserve"> </w:t>
      </w:r>
      <w:r>
        <w:rPr>
          <w:b/>
          <w:bCs/>
        </w:rPr>
        <w:t xml:space="preserve">not the underlying motion or evidence</w:t>
      </w:r>
      <w:r>
        <w:t xml:space="preserve">, hampering his ability to respond</w:t>
      </w:r>
      <w:hyperlink r:id="rId23">
        <w:r>
          <w:rPr>
            <w:rStyle w:val="Hyperlink"/>
          </w:rPr>
          <w:t xml:space="preserve">[47]</w:t>
        </w:r>
      </w:hyperlink>
      <w:r>
        <w:t xml:space="preserve">.</w:t>
      </w:r>
      <w:r>
        <w:t xml:space="preserve"> </w:t>
      </w:r>
      <w:r>
        <w:rPr>
          <w:i/>
          <w:iCs/>
        </w:rPr>
        <w:t xml:space="preserve">(MEEK2: Custody; MEEK4: due process)</w:t>
      </w:r>
    </w:p>
    <w:p>
      <w:pPr>
        <w:pStyle w:val="Compact"/>
        <w:numPr>
          <w:ilvl w:val="0"/>
          <w:numId w:val="1001"/>
        </w:numPr>
      </w:pPr>
      <w:r>
        <w:rPr>
          <w:b/>
          <w:bCs/>
        </w:rPr>
        <w:t xml:space="preserve">Aug 12, 2025</w:t>
      </w:r>
      <w:r>
        <w:t xml:space="preserve"> </w:t>
      </w:r>
      <w:r>
        <w:t xml:space="preserve">–</w:t>
      </w:r>
      <w:r>
        <w:t xml:space="preserve"> </w:t>
      </w:r>
      <w:r>
        <w:rPr>
          <w:i/>
          <w:iCs/>
        </w:rPr>
        <w:t xml:space="preserve">Attempted Dismissal of Housing Case:</w:t>
      </w:r>
      <w:r>
        <w:t xml:space="preserve"> </w:t>
      </w:r>
      <w:r>
        <w:t xml:space="preserve">Defense counsel for Shady Oaks and Homes of America,</w:t>
      </w:r>
      <w:r>
        <w:t xml:space="preserve"> </w:t>
      </w:r>
      <w:r>
        <w:rPr>
          <w:b/>
          <w:bCs/>
        </w:rPr>
        <w:t xml:space="preserve">Aaron D. Cox’s firm</w:t>
      </w:r>
      <w:r>
        <w:t xml:space="preserve">, submits a</w:t>
      </w:r>
      <w:r>
        <w:t xml:space="preserve"> </w:t>
      </w:r>
      <w:r>
        <w:rPr>
          <w:b/>
          <w:bCs/>
        </w:rPr>
        <w:t xml:space="preserve">Proposed Order of Dismissal</w:t>
      </w:r>
      <w:r>
        <w:t xml:space="preserve"> </w:t>
      </w:r>
      <w:r>
        <w:t xml:space="preserve">in Andrew’s 14th Circuit case under the 7-day presentment rule</w:t>
      </w:r>
      <w:hyperlink r:id="rId26">
        <w:r>
          <w:rPr>
            <w:rStyle w:val="Hyperlink"/>
          </w:rPr>
          <w:t xml:space="preserve">[48]</w:t>
        </w:r>
      </w:hyperlink>
      <w:r>
        <w:t xml:space="preserve">. The proposed order asks to dismiss Andrew’s complaint</w:t>
      </w:r>
      <w:r>
        <w:t xml:space="preserve"> </w:t>
      </w:r>
      <w:r>
        <w:rPr>
          <w:i/>
          <w:iCs/>
        </w:rPr>
        <w:t xml:space="preserve">with prejudice</w:t>
      </w:r>
      <w:r>
        <w:t xml:space="preserve">, arguing it is barred by</w:t>
      </w:r>
      <w:r>
        <w:t xml:space="preserve"> </w:t>
      </w:r>
      <w:r>
        <w:rPr>
          <w:b/>
          <w:bCs/>
        </w:rPr>
        <w:t xml:space="preserve">res judicata/collateral estoppel</w:t>
      </w:r>
      <w:r>
        <w:t xml:space="preserve"> </w:t>
      </w:r>
      <w:r>
        <w:t xml:space="preserve">from the prior 60th District eviction (Case No. 25186592GC)</w:t>
      </w:r>
      <w:hyperlink r:id="rId26">
        <w:r>
          <w:rPr>
            <w:rStyle w:val="Hyperlink"/>
          </w:rPr>
          <w:t xml:space="preserve">[49]</w:t>
        </w:r>
      </w:hyperlink>
      <w:hyperlink r:id="rId26">
        <w:r>
          <w:rPr>
            <w:rStyle w:val="Hyperlink"/>
          </w:rPr>
          <w:t xml:space="preserve">[50]</w:t>
        </w:r>
      </w:hyperlink>
      <w:r>
        <w:t xml:space="preserve">. They assert Andrew’s claims are duplicative of issues already decided.</w:t>
      </w:r>
      <w:r>
        <w:t xml:space="preserve"> </w:t>
      </w:r>
      <w:r>
        <w:rPr>
          <w:i/>
          <w:iCs/>
        </w:rPr>
        <w:t xml:space="preserve">(MEEK1: Procedural maneuver)</w:t>
      </w:r>
    </w:p>
    <w:p>
      <w:pPr>
        <w:pStyle w:val="Compact"/>
        <w:numPr>
          <w:ilvl w:val="0"/>
          <w:numId w:val="1001"/>
        </w:numPr>
      </w:pPr>
      <w:r>
        <w:rPr>
          <w:b/>
          <w:bCs/>
        </w:rPr>
        <w:t xml:space="preserve">Aug 20, 2025</w:t>
      </w:r>
      <w:r>
        <w:t xml:space="preserve"> </w:t>
      </w:r>
      <w:r>
        <w:t xml:space="preserve">–</w:t>
      </w:r>
      <w:r>
        <w:t xml:space="preserve"> </w:t>
      </w:r>
      <w:r>
        <w:rPr>
          <w:i/>
          <w:iCs/>
        </w:rPr>
        <w:t xml:space="preserve">Objection to Dismissal &amp; Affidavit:</w:t>
      </w:r>
      <w:r>
        <w:t xml:space="preserve"> </w:t>
      </w:r>
      <w:r>
        <w:t xml:space="preserve">Andrew timely files a</w:t>
      </w:r>
      <w:r>
        <w:t xml:space="preserve"> </w:t>
      </w:r>
      <w:r>
        <w:rPr>
          <w:b/>
          <w:bCs/>
        </w:rPr>
        <w:t xml:space="preserve">written Objection</w:t>
      </w:r>
      <w:r>
        <w:t xml:space="preserve"> </w:t>
      </w:r>
      <w:r>
        <w:t xml:space="preserve">to the proposed dismissal order, invoking MCR 2.602(B)(3)</w:t>
      </w:r>
      <w:hyperlink r:id="rId26">
        <w:r>
          <w:rPr>
            <w:rStyle w:val="Hyperlink"/>
          </w:rPr>
          <w:t xml:space="preserve">[51]</w:t>
        </w:r>
      </w:hyperlink>
      <w:r>
        <w:t xml:space="preserve">. In his objection (verified under oath), he details</w:t>
      </w:r>
      <w:r>
        <w:t xml:space="preserve"> </w:t>
      </w:r>
      <w:r>
        <w:rPr>
          <w:b/>
          <w:bCs/>
        </w:rPr>
        <w:t xml:space="preserve">multiple ongoing legal violations by the landlords post-eviction</w:t>
      </w:r>
      <w:r>
        <w:t xml:space="preserve"> </w:t>
      </w:r>
      <w:r>
        <w:t xml:space="preserve">and</w:t>
      </w:r>
      <w:r>
        <w:t xml:space="preserve"> </w:t>
      </w:r>
      <w:r>
        <w:rPr>
          <w:b/>
          <w:bCs/>
        </w:rPr>
        <w:t xml:space="preserve">procedural defects</w:t>
      </w:r>
      <w:r>
        <w:t xml:space="preserve"> </w:t>
      </w:r>
      <w:r>
        <w:t xml:space="preserve">in the proposed order: (a)</w:t>
      </w:r>
      <w:r>
        <w:t xml:space="preserve"> </w:t>
      </w:r>
      <w:r>
        <w:rPr>
          <w:b/>
          <w:bCs/>
        </w:rPr>
        <w:t xml:space="preserve">continued illegal billing</w:t>
      </w:r>
      <w:r>
        <w:t xml:space="preserve"> </w:t>
      </w:r>
      <w:r>
        <w:t xml:space="preserve">and utility charges despite health code violations (e.g. raw sewage leaks in Feb–May 2025); (b)</w:t>
      </w:r>
      <w:r>
        <w:t xml:space="preserve"> </w:t>
      </w:r>
      <w:r>
        <w:rPr>
          <w:b/>
          <w:bCs/>
        </w:rPr>
        <w:t xml:space="preserve">failure to honor</w:t>
      </w:r>
      <w:r>
        <w:t xml:space="preserve"> </w:t>
      </w:r>
      <w:r>
        <w:t xml:space="preserve">the April 16, 2025 conditional settlement terms; (c)</w:t>
      </w:r>
      <w:r>
        <w:t xml:space="preserve"> </w:t>
      </w:r>
      <w:r>
        <w:rPr>
          <w:b/>
          <w:bCs/>
        </w:rPr>
        <w:t xml:space="preserve">forged or inflated charges</w:t>
      </w:r>
      <w:r>
        <w:t xml:space="preserve"> </w:t>
      </w:r>
      <w:r>
        <w:t xml:space="preserve">added after lease expiration (post-March 28, 2025); (d) unauthorized fees and</w:t>
      </w:r>
      <w:r>
        <w:t xml:space="preserve"> </w:t>
      </w:r>
      <w:r>
        <w:rPr>
          <w:b/>
          <w:bCs/>
        </w:rPr>
        <w:t xml:space="preserve">improper shutoffs</w:t>
      </w:r>
      <w:r>
        <w:t xml:space="preserve">; (e)</w:t>
      </w:r>
      <w:r>
        <w:t xml:space="preserve"> </w:t>
      </w:r>
      <w:r>
        <w:rPr>
          <w:b/>
          <w:bCs/>
        </w:rPr>
        <w:t xml:space="preserve">retaliatory acts</w:t>
      </w:r>
      <w:r>
        <w:t xml:space="preserve"> </w:t>
      </w:r>
      <w:r>
        <w:t xml:space="preserve">like the May water shutoff during his parenting time</w:t>
      </w:r>
      <w:hyperlink r:id="rId26">
        <w:r>
          <w:rPr>
            <w:rStyle w:val="Hyperlink"/>
          </w:rPr>
          <w:t xml:space="preserve">[52]</w:t>
        </w:r>
      </w:hyperlink>
      <w:r>
        <w:t xml:space="preserve">. He argues these new harms arose</w:t>
      </w:r>
      <w:r>
        <w:t xml:space="preserve"> </w:t>
      </w:r>
      <w:r>
        <w:rPr>
          <w:b/>
          <w:bCs/>
        </w:rPr>
        <w:t xml:space="preserve">after</w:t>
      </w:r>
      <w:r>
        <w:t xml:space="preserve"> </w:t>
      </w:r>
      <w:r>
        <w:t xml:space="preserve">the eviction case and thus are not precluded – Michigan’s summary proceedings</w:t>
      </w:r>
      <w:r>
        <w:t xml:space="preserve"> </w:t>
      </w:r>
      <w:r>
        <w:rPr>
          <w:b/>
          <w:bCs/>
        </w:rPr>
        <w:t xml:space="preserve">do not bar separate claims</w:t>
      </w:r>
      <w:r>
        <w:t xml:space="preserve"> </w:t>
      </w:r>
      <w:r>
        <w:t xml:space="preserve">for such relief</w:t>
      </w:r>
      <w:hyperlink r:id="rId26">
        <w:r>
          <w:rPr>
            <w:rStyle w:val="Hyperlink"/>
          </w:rPr>
          <w:t xml:space="preserve">[53]</w:t>
        </w:r>
      </w:hyperlink>
      <w:r>
        <w:t xml:space="preserve">. He emphasizes the proposed order is</w:t>
      </w:r>
      <w:r>
        <w:t xml:space="preserve"> </w:t>
      </w:r>
      <w:r>
        <w:rPr>
          <w:b/>
          <w:bCs/>
        </w:rPr>
        <w:t xml:space="preserve">factually and legally defective</w:t>
      </w:r>
      <w:r>
        <w:t xml:space="preserve">, misrepresenting his compliance and ignoring the</w:t>
      </w:r>
      <w:r>
        <w:t xml:space="preserve"> </w:t>
      </w:r>
      <w:r>
        <w:rPr>
          <w:b/>
          <w:bCs/>
        </w:rPr>
        <w:t xml:space="preserve">retaliation, fraud, and due process violations</w:t>
      </w:r>
      <w:r>
        <w:t xml:space="preserve"> </w:t>
      </w:r>
      <w:r>
        <w:t xml:space="preserve">that have occurred</w:t>
      </w:r>
      <w:hyperlink r:id="rId26">
        <w:r>
          <w:rPr>
            <w:rStyle w:val="Hyperlink"/>
          </w:rPr>
          <w:t xml:space="preserve">[54]</w:t>
        </w:r>
      </w:hyperlink>
      <w:r>
        <w:t xml:space="preserve">. Andrew demands a full hearing and jury trial, rather than a summary dismissal</w:t>
      </w:r>
      <w:hyperlink r:id="rId26">
        <w:r>
          <w:rPr>
            <w:rStyle w:val="Hyperlink"/>
          </w:rPr>
          <w:t xml:space="preserve">[55]</w:t>
        </w:r>
      </w:hyperlink>
      <w:hyperlink r:id="rId26">
        <w:r>
          <w:rPr>
            <w:rStyle w:val="Hyperlink"/>
          </w:rPr>
          <w:t xml:space="preserve">[56]</w:t>
        </w:r>
      </w:hyperlink>
      <w:r>
        <w:t xml:space="preserve">.</w:t>
      </w:r>
      <w:r>
        <w:t xml:space="preserve"> </w:t>
      </w:r>
      <w:r>
        <w:rPr>
          <w:i/>
          <w:iCs/>
        </w:rPr>
        <w:t xml:space="preserve">(MEEK1: Retaliation; MEEK4: due process)</w:t>
      </w:r>
    </w:p>
    <w:p>
      <w:pPr>
        <w:pStyle w:val="Compact"/>
        <w:numPr>
          <w:ilvl w:val="0"/>
          <w:numId w:val="1001"/>
        </w:numPr>
      </w:pPr>
      <w:r>
        <w:rPr>
          <w:b/>
          <w:bCs/>
        </w:rPr>
        <w:t xml:space="preserve">Aug 20, 2025</w:t>
      </w:r>
      <w:r>
        <w:t xml:space="preserve"> </w:t>
      </w:r>
      <w:r>
        <w:t xml:space="preserve">–</w:t>
      </w:r>
      <w:r>
        <w:t xml:space="preserve"> </w:t>
      </w:r>
      <w:r>
        <w:rPr>
          <w:i/>
          <w:iCs/>
        </w:rPr>
        <w:t xml:space="preserve">Alternate Order Proposed:</w:t>
      </w:r>
      <w:r>
        <w:t xml:space="preserve"> </w:t>
      </w:r>
      <w:r>
        <w:t xml:space="preserve">Along with his objection, Andrew submits a</w:t>
      </w:r>
      <w:r>
        <w:t xml:space="preserve"> </w:t>
      </w:r>
      <w:r>
        <w:rPr>
          <w:b/>
          <w:bCs/>
        </w:rPr>
        <w:t xml:space="preserve">Proposed Order Striking</w:t>
      </w:r>
      <w:r>
        <w:t xml:space="preserve"> </w:t>
      </w:r>
      <w:r>
        <w:t xml:space="preserve">the defendants’ “final order” and scheduling the case for jury trial</w:t>
      </w:r>
      <w:hyperlink r:id="rId26">
        <w:r>
          <w:rPr>
            <w:rStyle w:val="Hyperlink"/>
          </w:rPr>
          <w:t xml:space="preserve">[57]</w:t>
        </w:r>
      </w:hyperlink>
      <w:r>
        <w:t xml:space="preserve">. His draft order notes that</w:t>
      </w:r>
      <w:r>
        <w:t xml:space="preserve"> </w:t>
      </w:r>
      <w:r>
        <w:rPr>
          <w:b/>
          <w:bCs/>
        </w:rPr>
        <w:t xml:space="preserve">no valid finding of res judicata or frivolousness was made on the record</w:t>
      </w:r>
      <w:r>
        <w:t xml:space="preserve"> </w:t>
      </w:r>
      <w:r>
        <w:t xml:space="preserve">and that his claims are</w:t>
      </w:r>
      <w:r>
        <w:t xml:space="preserve"> </w:t>
      </w:r>
      <w:r>
        <w:rPr>
          <w:b/>
          <w:bCs/>
        </w:rPr>
        <w:t xml:space="preserve">distinct from the prior landlord-tenant (LT) case</w:t>
      </w:r>
      <w:r>
        <w:t xml:space="preserve">, involving new constitutional, statutory, and post-judgment harms</w:t>
      </w:r>
      <w:hyperlink r:id="rId26">
        <w:r>
          <w:rPr>
            <w:rStyle w:val="Hyperlink"/>
          </w:rPr>
          <w:t xml:space="preserve">[58]</w:t>
        </w:r>
      </w:hyperlink>
      <w:r>
        <w:t xml:space="preserve">.</w:t>
      </w:r>
      <w:r>
        <w:t xml:space="preserve"> </w:t>
      </w:r>
      <w:r>
        <w:rPr>
          <w:i/>
          <w:iCs/>
        </w:rPr>
        <w:t xml:space="preserve">(MEEK1 &amp; MEEK4)</w:t>
      </w:r>
    </w:p>
    <w:p>
      <w:pPr>
        <w:pStyle w:val="Compact"/>
        <w:numPr>
          <w:ilvl w:val="0"/>
          <w:numId w:val="1001"/>
        </w:numPr>
      </w:pPr>
      <w:r>
        <w:rPr>
          <w:b/>
          <w:bCs/>
        </w:rPr>
        <w:t xml:space="preserve">Sep 9, 2025</w:t>
      </w:r>
      <w:r>
        <w:t xml:space="preserve"> </w:t>
      </w:r>
      <w:r>
        <w:t xml:space="preserve">–</w:t>
      </w:r>
      <w:r>
        <w:t xml:space="preserve"> </w:t>
      </w:r>
      <w:r>
        <w:rPr>
          <w:i/>
          <w:iCs/>
        </w:rPr>
        <w:t xml:space="preserve">Custody Hearing on Suspension:</w:t>
      </w:r>
      <w:r>
        <w:t xml:space="preserve"> </w:t>
      </w:r>
      <w:r>
        <w:t xml:space="preserve">Judge McNeill holds a hearing on Andrew’s objection to the ex parte parenting-time suspension (from Aug 8). The result (Order entered 9/9/2025) is that the</w:t>
      </w:r>
      <w:r>
        <w:t xml:space="preserve"> </w:t>
      </w:r>
      <w:r>
        <w:rPr>
          <w:b/>
          <w:bCs/>
        </w:rPr>
        <w:t xml:space="preserve">suspension of parenting time is continued</w:t>
      </w:r>
      <w:r>
        <w:t xml:space="preserve">, effectively siding with Emily’s request to keep Andrew from seeing the child</w:t>
      </w:r>
      <w:hyperlink r:id="rId23">
        <w:r>
          <w:rPr>
            <w:rStyle w:val="Hyperlink"/>
          </w:rPr>
          <w:t xml:space="preserve">[45]</w:t>
        </w:r>
      </w:hyperlink>
      <w:r>
        <w:t xml:space="preserve">. Andrew asserts this order was made without the court issuing required, case-specific findings on the record (e.g. no detailed reasoning of how the child’s best interests or safety demanded suspension). He believes the judge</w:t>
      </w:r>
      <w:r>
        <w:t xml:space="preserve"> </w:t>
      </w:r>
      <w:r>
        <w:rPr>
          <w:b/>
          <w:bCs/>
        </w:rPr>
        <w:t xml:space="preserve">improperly shifted the burden onto him</w:t>
      </w:r>
      <w:r>
        <w:t xml:space="preserve"> </w:t>
      </w:r>
      <w:r>
        <w:t xml:space="preserve">to prove a negative and</w:t>
      </w:r>
      <w:r>
        <w:t xml:space="preserve"> </w:t>
      </w:r>
      <w:r>
        <w:rPr>
          <w:b/>
          <w:bCs/>
        </w:rPr>
        <w:t xml:space="preserve">ignored evidence</w:t>
      </w:r>
      <w:r>
        <w:t xml:space="preserve"> </w:t>
      </w:r>
      <w:r>
        <w:t xml:space="preserve">that the allegations were untrue.</w:t>
      </w:r>
      <w:r>
        <w:t xml:space="preserve"> </w:t>
      </w:r>
      <w:r>
        <w:rPr>
          <w:i/>
          <w:iCs/>
        </w:rPr>
        <w:t xml:space="preserve">(MEEK2: Custody; MEEK4: bias)</w:t>
      </w:r>
    </w:p>
    <w:p>
      <w:pPr>
        <w:pStyle w:val="Compact"/>
        <w:numPr>
          <w:ilvl w:val="0"/>
          <w:numId w:val="1001"/>
        </w:numPr>
      </w:pPr>
      <w:r>
        <w:rPr>
          <w:b/>
          <w:bCs/>
        </w:rPr>
        <w:t xml:space="preserve">Sep 2025</w:t>
      </w:r>
      <w:r>
        <w:t xml:space="preserve"> </w:t>
      </w:r>
      <w:r>
        <w:t xml:space="preserve">–</w:t>
      </w:r>
      <w:r>
        <w:t xml:space="preserve"> </w:t>
      </w:r>
      <w:r>
        <w:rPr>
          <w:i/>
          <w:iCs/>
        </w:rPr>
        <w:t xml:space="preserve">Ongoing Financial Harm:</w:t>
      </w:r>
      <w:r>
        <w:t xml:space="preserve"> </w:t>
      </w:r>
      <w:r>
        <w:t xml:space="preserve">Due to the contempt jailing and job loss, Andrew falls behind on support. The Friend of the Court initiates a tax</w:t>
      </w:r>
      <w:r>
        <w:t xml:space="preserve"> </w:t>
      </w:r>
      <w:r>
        <w:rPr>
          <w:b/>
          <w:bCs/>
        </w:rPr>
        <w:t xml:space="preserve">intercept/offset</w:t>
      </w:r>
      <w:r>
        <w:t xml:space="preserve"> </w:t>
      </w:r>
      <w:r>
        <w:t xml:space="preserve">for arrears. On Sep 23, 2025, Andrew prepares an</w:t>
      </w:r>
      <w:r>
        <w:t xml:space="preserve"> </w:t>
      </w:r>
      <w:r>
        <w:rPr>
          <w:b/>
          <w:bCs/>
        </w:rPr>
        <w:t xml:space="preserve">objection to the tax intercept</w:t>
      </w:r>
      <w:r>
        <w:t xml:space="preserve">, arguing that his unemployment was caused by the improper jailing and seeking relief</w:t>
      </w:r>
      <w:hyperlink r:id="rId23">
        <w:r>
          <w:rPr>
            <w:rStyle w:val="Hyperlink"/>
          </w:rPr>
          <w:t xml:space="preserve">[59]</w:t>
        </w:r>
      </w:hyperlink>
      <w:r>
        <w:t xml:space="preserve">. He also moves for a support modification given his lack of income</w:t>
      </w:r>
      <w:hyperlink r:id="rId23">
        <w:r>
          <w:rPr>
            <w:rStyle w:val="Hyperlink"/>
          </w:rPr>
          <w:t xml:space="preserve">[60]</w:t>
        </w:r>
      </w:hyperlink>
      <w:r>
        <w:t xml:space="preserve">.</w:t>
      </w:r>
      <w:r>
        <w:t xml:space="preserve"> </w:t>
      </w:r>
      <w:r>
        <w:rPr>
          <w:i/>
          <w:iCs/>
        </w:rPr>
        <w:t xml:space="preserve">(MEEK2: Child support fairness; MEEK4: remedial)</w:t>
      </w:r>
    </w:p>
    <w:p>
      <w:pPr>
        <w:pStyle w:val="Compact"/>
        <w:numPr>
          <w:ilvl w:val="0"/>
          <w:numId w:val="1001"/>
        </w:numPr>
      </w:pPr>
      <w:r>
        <w:rPr>
          <w:b/>
          <w:bCs/>
        </w:rPr>
        <w:t xml:space="preserve">Legislative Response (2023–2024):</w:t>
      </w:r>
      <w:r>
        <w:t xml:space="preserve"> </w:t>
      </w:r>
      <w:r>
        <w:t xml:space="preserve">Michigan lawmakers, reacting to patterns of abuse in mobile home communities, introduce a package of</w:t>
      </w:r>
      <w:r>
        <w:t xml:space="preserve"> </w:t>
      </w:r>
      <w:r>
        <w:rPr>
          <w:b/>
          <w:bCs/>
        </w:rPr>
        <w:t xml:space="preserve">resident protection bills</w:t>
      </w:r>
      <w:r>
        <w:t xml:space="preserve"> </w:t>
      </w:r>
      <w:r>
        <w:t xml:space="preserve">(Senate Bills 486–492 and House Bills 5157–5163). These 2023–24 bills are</w:t>
      </w:r>
      <w:r>
        <w:t xml:space="preserve"> </w:t>
      </w:r>
      <w:r>
        <w:rPr>
          <w:b/>
          <w:bCs/>
        </w:rPr>
        <w:t xml:space="preserve">explicitly tied to the bad behavior of Alden’s park operations</w:t>
      </w:r>
      <w:r>
        <w:t xml:space="preserve"> </w:t>
      </w:r>
      <w:r>
        <w:t xml:space="preserve">– such as drastic rent hikes and retaliatory evictions – like those at Shady Oaks. The proposed laws would require justification for excessive rent increases and strengthen tenant protections, directly addressing situations like Andrew’s.</w:t>
      </w:r>
      <w:r>
        <w:t xml:space="preserve"> </w:t>
      </w:r>
      <w:r>
        <w:rPr>
          <w:i/>
          <w:iCs/>
        </w:rPr>
        <w:t xml:space="preserve">(MEEK1: Public policy context)</w:t>
      </w:r>
    </w:p>
    <w:p>
      <w:pPr>
        <w:pStyle w:val="Compact"/>
        <w:numPr>
          <w:ilvl w:val="0"/>
          <w:numId w:val="1001"/>
        </w:numPr>
      </w:pPr>
      <w:r>
        <w:rPr>
          <w:b/>
          <w:bCs/>
        </w:rPr>
        <w:t xml:space="preserve">Wider Corporate Misconduct:</w:t>
      </w:r>
      <w:r>
        <w:t xml:space="preserve"> </w:t>
      </w:r>
      <w:r>
        <w:t xml:space="preserve">In a separate case in 2023, an</w:t>
      </w:r>
      <w:r>
        <w:t xml:space="preserve"> </w:t>
      </w:r>
      <w:r>
        <w:rPr>
          <w:b/>
          <w:bCs/>
        </w:rPr>
        <w:t xml:space="preserve">Alden/Homes of America executive (Yousef “Joe” Khalil)</w:t>
      </w:r>
      <w:r>
        <w:t xml:space="preserve"> </w:t>
      </w:r>
      <w:r>
        <w:t xml:space="preserve">pleaded guilty on the company’s behalf to a</w:t>
      </w:r>
      <w:r>
        <w:t xml:space="preserve"> </w:t>
      </w:r>
      <w:r>
        <w:rPr>
          <w:b/>
          <w:bCs/>
        </w:rPr>
        <w:t xml:space="preserve">criminal charge</w:t>
      </w:r>
      <w:r>
        <w:t xml:space="preserve"> </w:t>
      </w:r>
      <w:r>
        <w:t xml:space="preserve">involving a Michigan mobile home park (North Morris Estates)</w:t>
      </w:r>
      <w:hyperlink r:id="rId27">
        <w:r>
          <w:rPr>
            <w:rStyle w:val="Hyperlink"/>
          </w:rPr>
          <w:t xml:space="preserve">[61]</w:t>
        </w:r>
      </w:hyperlink>
      <w:hyperlink r:id="rId27">
        <w:r>
          <w:rPr>
            <w:rStyle w:val="Hyperlink"/>
          </w:rPr>
          <w:t xml:space="preserve">[62]</w:t>
        </w:r>
      </w:hyperlink>
      <w:r>
        <w:t xml:space="preserve">. That case involved operating without a license (and other violations) – evidence of Alden’s broader pattern of flouting regulations. This underscores that</w:t>
      </w:r>
      <w:r>
        <w:t xml:space="preserve"> </w:t>
      </w:r>
      <w:r>
        <w:rPr>
          <w:b/>
          <w:bCs/>
        </w:rPr>
        <w:t xml:space="preserve">Shady Oaks was part of a larger scheme</w:t>
      </w:r>
      <w:r>
        <w:t xml:space="preserve">: multiple shell LLCs across states under Alden’s control, often violating laws until caught.</w:t>
      </w:r>
      <w:r>
        <w:t xml:space="preserve"> </w:t>
      </w:r>
      <w:r>
        <w:rPr>
          <w:i/>
          <w:iCs/>
        </w:rPr>
        <w:t xml:space="preserve">(MEEK1: Regulatory violations; RICO pattern)</w:t>
      </w:r>
    </w:p>
    <w:bookmarkEnd w:id="28"/>
    <w:bookmarkStart w:id="29" w:name="X0baf31145caa316c7af9a697999965b7672d554"/>
    <w:p>
      <w:pPr>
        <w:pStyle w:val="Heading2"/>
      </w:pPr>
      <w:r>
        <w:t xml:space="preserve">II. MEEK1 – Housing Violations (Unlawful Eviction &amp; Landlord Retaliation)</w:t>
      </w:r>
    </w:p>
    <w:p>
      <w:pPr>
        <w:pStyle w:val="FirstParagraph"/>
      </w:pPr>
      <w:r>
        <w:rPr>
          <w:b/>
          <w:bCs/>
        </w:rPr>
        <w:t xml:space="preserve">Scope:</w:t>
      </w:r>
      <w:r>
        <w:t xml:space="preserve"> </w:t>
      </w:r>
      <w:r>
        <w:t xml:space="preserve">Shady Oaks Mobile Home Park (Homes of America/Alden Global) – Illegal and retaliatory acts surrounding Andrew’s tenancy and eviction.</w:t>
      </w:r>
    </w:p>
    <w:p>
      <w:pPr>
        <w:numPr>
          <w:ilvl w:val="0"/>
          <w:numId w:val="1002"/>
        </w:numPr>
      </w:pPr>
      <w:r>
        <w:rPr>
          <w:b/>
          <w:bCs/>
        </w:rPr>
        <w:t xml:space="preserve">Operating Without Legal Authority:</w:t>
      </w:r>
      <w:r>
        <w:t xml:space="preserve"> </w:t>
      </w:r>
      <w:r>
        <w:t xml:space="preserve">Shady Oaks Park MHP, LLC – the entity used to lease to and evict Andrew –</w:t>
      </w:r>
      <w:r>
        <w:t xml:space="preserve"> </w:t>
      </w:r>
      <w:r>
        <w:rPr>
          <w:b/>
          <w:bCs/>
        </w:rPr>
        <w:t xml:space="preserve">lost its good standing in 2022</w:t>
      </w:r>
      <w:r>
        <w:t xml:space="preserve"> </w:t>
      </w:r>
      <w:r>
        <w:t xml:space="preserve">and was not legally authorized to operate the park</w:t>
      </w:r>
      <w:hyperlink r:id="rId24">
        <w:r>
          <w:rPr>
            <w:rStyle w:val="Hyperlink"/>
          </w:rPr>
          <w:t xml:space="preserve">[63]</w:t>
        </w:r>
      </w:hyperlink>
      <w:hyperlink r:id="rId24">
        <w:r>
          <w:rPr>
            <w:rStyle w:val="Hyperlink"/>
          </w:rPr>
          <w:t xml:space="preserve">[64]</w:t>
        </w:r>
      </w:hyperlink>
      <w:r>
        <w:t xml:space="preserve">. Despite this, it was named as landlord/plaintiff in 2025. A successor LLC (“MHP II”) was formed but never disclosed to residents</w:t>
      </w:r>
      <w:hyperlink r:id="rId24">
        <w:r>
          <w:rPr>
            <w:rStyle w:val="Hyperlink"/>
          </w:rPr>
          <w:t xml:space="preserve">[65]</w:t>
        </w:r>
      </w:hyperlink>
      <w:r>
        <w:t xml:space="preserve">. This shell-game ownership means the</w:t>
      </w:r>
      <w:r>
        <w:t xml:space="preserve"> </w:t>
      </w:r>
      <w:r>
        <w:rPr>
          <w:b/>
          <w:bCs/>
        </w:rPr>
        <w:t xml:space="preserve">eviction judgment was void</w:t>
      </w:r>
      <w:r>
        <w:t xml:space="preserve"> </w:t>
      </w:r>
      <w:r>
        <w:t xml:space="preserve">ab initio due to a non-existent plaintiff</w:t>
      </w:r>
      <w:hyperlink r:id="rId24">
        <w:r>
          <w:rPr>
            <w:rStyle w:val="Hyperlink"/>
          </w:rPr>
          <w:t xml:space="preserve">[33]</w:t>
        </w:r>
      </w:hyperlink>
      <w:r>
        <w:t xml:space="preserve">.</w:t>
      </w:r>
      <w:r>
        <w:t xml:space="preserve"> </w:t>
      </w:r>
      <w:r>
        <w:rPr>
          <w:i/>
          <w:iCs/>
        </w:rPr>
        <w:t xml:space="preserve">(Violation: Due process &amp; corporate law; potentially void judgment)</w:t>
      </w:r>
    </w:p>
    <w:p>
      <w:pPr>
        <w:numPr>
          <w:ilvl w:val="0"/>
          <w:numId w:val="1002"/>
        </w:numPr>
      </w:pPr>
      <w:r>
        <w:rPr>
          <w:b/>
          <w:bCs/>
        </w:rPr>
        <w:t xml:space="preserve">Misrepresentation &amp; Fraud in Court:</w:t>
      </w:r>
      <w:r>
        <w:t xml:space="preserve"> </w:t>
      </w:r>
      <w:r>
        <w:t xml:space="preserve">Homes of America managers presented</w:t>
      </w:r>
      <w:r>
        <w:t xml:space="preserve"> </w:t>
      </w:r>
      <w:r>
        <w:rPr>
          <w:b/>
          <w:bCs/>
        </w:rPr>
        <w:t xml:space="preserve">false ledgers and claims</w:t>
      </w:r>
      <w:r>
        <w:t xml:space="preserve"> </w:t>
      </w:r>
      <w:r>
        <w:t xml:space="preserve">in the eviction case. They demanded rent under “Shady Oaks MHP, LLC” for periods when that entity had no legal capacity, and they</w:t>
      </w:r>
      <w:r>
        <w:t xml:space="preserve"> </w:t>
      </w:r>
      <w:r>
        <w:rPr>
          <w:b/>
          <w:bCs/>
        </w:rPr>
        <w:t xml:space="preserve">omitted credits</w:t>
      </w:r>
      <w:r>
        <w:t xml:space="preserve"> </w:t>
      </w:r>
      <w:r>
        <w:t xml:space="preserve">from COVID rental aid to fabricate a rent default</w:t>
      </w:r>
      <w:hyperlink r:id="rId24">
        <w:r>
          <w:rPr>
            <w:rStyle w:val="Hyperlink"/>
          </w:rPr>
          <w:t xml:space="preserve">[66]</w:t>
        </w:r>
      </w:hyperlink>
      <w:hyperlink r:id="rId24">
        <w:r>
          <w:rPr>
            <w:rStyle w:val="Hyperlink"/>
          </w:rPr>
          <w:t xml:space="preserve">[25]</w:t>
        </w:r>
      </w:hyperlink>
      <w:r>
        <w:t xml:space="preserve">. Unauthorized fees (e.g. for trash removal) were tacked on contrary to the Mobile Home Commission Act</w:t>
      </w:r>
      <w:hyperlink r:id="rId24">
        <w:r>
          <w:rPr>
            <w:rStyle w:val="Hyperlink"/>
          </w:rPr>
          <w:t xml:space="preserve">[26]</w:t>
        </w:r>
      </w:hyperlink>
      <w:r>
        <w:t xml:space="preserve">. In open court on April 16, 2025, the landlord’s counsel</w:t>
      </w:r>
      <w:r>
        <w:t xml:space="preserve"> </w:t>
      </w:r>
      <w:r>
        <w:rPr>
          <w:b/>
          <w:bCs/>
        </w:rPr>
        <w:t xml:space="preserve">admitted Andrew had no arrears through 2024</w:t>
      </w:r>
      <w:r>
        <w:t xml:space="preserve"> </w:t>
      </w:r>
      <w:r>
        <w:t xml:space="preserve">(thanks to CERA payments)</w:t>
      </w:r>
      <w:hyperlink r:id="rId24">
        <w:r>
          <w:rPr>
            <w:rStyle w:val="Hyperlink"/>
          </w:rPr>
          <w:t xml:space="preserve">[14]</w:t>
        </w:r>
      </w:hyperlink>
      <w:r>
        <w:t xml:space="preserve">, yet the eviction had been filed on</w:t>
      </w:r>
      <w:r>
        <w:t xml:space="preserve"> </w:t>
      </w:r>
      <w:r>
        <w:rPr>
          <w:b/>
          <w:bCs/>
        </w:rPr>
        <w:t xml:space="preserve">Jan 21, 2025</w:t>
      </w:r>
      <w:r>
        <w:t xml:space="preserve"> </w:t>
      </w:r>
      <w:r>
        <w:t xml:space="preserve">anyway – suggesting it was pretextual or punitive</w:t>
      </w:r>
      <w:hyperlink r:id="rId24">
        <w:r>
          <w:rPr>
            <w:rStyle w:val="Hyperlink"/>
          </w:rPr>
          <w:t xml:space="preserve">[67]</w:t>
        </w:r>
      </w:hyperlink>
      <w:r>
        <w:t xml:space="preserve">.</w:t>
      </w:r>
      <w:r>
        <w:t xml:space="preserve"> </w:t>
      </w:r>
      <w:r>
        <w:rPr>
          <w:i/>
          <w:iCs/>
        </w:rPr>
        <w:t xml:space="preserve">(Violation: Fraud on the court; perjury by omission)</w:t>
      </w:r>
    </w:p>
    <w:p>
      <w:pPr>
        <w:numPr>
          <w:ilvl w:val="0"/>
          <w:numId w:val="1002"/>
        </w:numPr>
      </w:pPr>
      <w:r>
        <w:rPr>
          <w:b/>
          <w:bCs/>
        </w:rPr>
        <w:t xml:space="preserve">Retaliatory Rent Increases:</w:t>
      </w:r>
      <w:r>
        <w:t xml:space="preserve"> </w:t>
      </w:r>
      <w:r>
        <w:t xml:space="preserve">After Alden’s takeover, Andrew’s lot rent skyrocketed from \$395 to \$720 in one year</w:t>
      </w:r>
      <w:hyperlink r:id="rId24">
        <w:r>
          <w:rPr>
            <w:rStyle w:val="Hyperlink"/>
          </w:rPr>
          <w:t xml:space="preserve">[68]</w:t>
        </w:r>
      </w:hyperlink>
      <w:r>
        <w:t xml:space="preserve">. These increases were imposed</w:t>
      </w:r>
      <w:r>
        <w:t xml:space="preserve"> </w:t>
      </w:r>
      <w:r>
        <w:rPr>
          <w:b/>
          <w:bCs/>
        </w:rPr>
        <w:t xml:space="preserve">without proper 30-day written notice</w:t>
      </w:r>
      <w:r>
        <w:t xml:space="preserve"> </w:t>
      </w:r>
      <w:r>
        <w:t xml:space="preserve">as required by law</w:t>
      </w:r>
      <w:hyperlink r:id="rId24">
        <w:r>
          <w:rPr>
            <w:rStyle w:val="Hyperlink"/>
          </w:rPr>
          <w:t xml:space="preserve">[68]</w:t>
        </w:r>
      </w:hyperlink>
      <w:r>
        <w:t xml:space="preserve">. When Andrew resisted or fell slightly behind awaiting assistance, management immediately moved to evict – consistent with Alden’s pattern of using eviction filings as a rent-collection weapon.</w:t>
      </w:r>
      <w:r>
        <w:t xml:space="preserve"> </w:t>
      </w:r>
      <w:r>
        <w:rPr>
          <w:i/>
          <w:iCs/>
        </w:rPr>
        <w:t xml:space="preserve">(Violation: MCL 125.212a notice requirement; constructive retaliatory eviction)</w:t>
      </w:r>
    </w:p>
    <w:p>
      <w:pPr>
        <w:numPr>
          <w:ilvl w:val="0"/>
          <w:numId w:val="1002"/>
        </w:numPr>
      </w:pPr>
      <w:r>
        <w:rPr>
          <w:b/>
          <w:bCs/>
        </w:rPr>
        <w:t xml:space="preserve">Health and Safety Neglect:</w:t>
      </w:r>
      <w:r>
        <w:t xml:space="preserve"> </w:t>
      </w:r>
      <w:r>
        <w:t xml:space="preserve">The park had serious habitability issues, notably</w:t>
      </w:r>
      <w:r>
        <w:t xml:space="preserve"> </w:t>
      </w:r>
      <w:r>
        <w:rPr>
          <w:b/>
          <w:bCs/>
        </w:rPr>
        <w:t xml:space="preserve">raw sewage leaks</w:t>
      </w:r>
      <w:r>
        <w:t xml:space="preserve"> </w:t>
      </w:r>
      <w:r>
        <w:t xml:space="preserve">in early 2025. Andrew’s lot was affected, yet management failed to promptly remediate. Andrew raised these breaches of the</w:t>
      </w:r>
      <w:r>
        <w:t xml:space="preserve"> </w:t>
      </w:r>
      <w:r>
        <w:rPr>
          <w:b/>
          <w:bCs/>
        </w:rPr>
        <w:t xml:space="preserve">warranty of habitability</w:t>
      </w:r>
      <w:r>
        <w:t xml:space="preserve"> </w:t>
      </w:r>
      <w:r>
        <w:t xml:space="preserve">as a defense. Instead of fixing the sewage problem, the owners tried to remove him. By agreement on April 15, 2025, the eviction was conditionally dismissed, likely in exchange for promises to remedy issues or for Andrew to vacate by a certain date</w:t>
      </w:r>
      <w:hyperlink r:id="rId24">
        <w:r>
          <w:rPr>
            <w:rStyle w:val="Hyperlink"/>
          </w:rPr>
          <w:t xml:space="preserve">[13]</w:t>
        </w:r>
      </w:hyperlink>
      <w:r>
        <w:t xml:space="preserve">. When the park</w:t>
      </w:r>
      <w:r>
        <w:t xml:space="preserve"> </w:t>
      </w:r>
      <w:r>
        <w:rPr>
          <w:b/>
          <w:bCs/>
        </w:rPr>
        <w:t xml:space="preserve">failed to fix the sewage and even cut off water</w:t>
      </w:r>
      <w:r>
        <w:t xml:space="preserve"> </w:t>
      </w:r>
      <w:r>
        <w:t xml:space="preserve">(see below), Andrew justifiably did not vacate, prompting the landlord to reinstate the case</w:t>
      </w:r>
      <w:hyperlink r:id="rId24">
        <w:r>
          <w:rPr>
            <w:rStyle w:val="Hyperlink"/>
          </w:rPr>
          <w:t xml:space="preserve">[69]</w:t>
        </w:r>
      </w:hyperlink>
      <w:r>
        <w:t xml:space="preserve">.</w:t>
      </w:r>
      <w:r>
        <w:t xml:space="preserve"> </w:t>
      </w:r>
      <w:r>
        <w:rPr>
          <w:i/>
          <w:iCs/>
        </w:rPr>
        <w:t xml:space="preserve">(Violation: MCL 554.139 (landlord duty); retaliation for reporting health violations)</w:t>
      </w:r>
    </w:p>
    <w:p>
      <w:pPr>
        <w:numPr>
          <w:ilvl w:val="0"/>
          <w:numId w:val="1002"/>
        </w:numPr>
      </w:pPr>
      <w:r>
        <w:rPr>
          <w:b/>
          <w:bCs/>
        </w:rPr>
        <w:t xml:space="preserve">Illegal Utility Shutoff (Constructive Eviction):</w:t>
      </w:r>
      <w:r>
        <w:t xml:space="preserve"> </w:t>
      </w:r>
      <w:r>
        <w:t xml:space="preserve">On May 20, 2025, park agents</w:t>
      </w:r>
      <w:r>
        <w:t xml:space="preserve"> </w:t>
      </w:r>
      <w:r>
        <w:rPr>
          <w:b/>
          <w:bCs/>
        </w:rPr>
        <w:t xml:space="preserve">shut off Andrew’s water service</w:t>
      </w:r>
      <w:r>
        <w:t xml:space="preserve"> </w:t>
      </w:r>
      <w:r>
        <w:t xml:space="preserve">with no court order or notice</w:t>
      </w:r>
      <w:hyperlink r:id="rId24">
        <w:r>
          <w:rPr>
            <w:rStyle w:val="Hyperlink"/>
          </w:rPr>
          <w:t xml:space="preserve">[27]</w:t>
        </w:r>
      </w:hyperlink>
      <w:r>
        <w:t xml:space="preserve">. This occurred while a court case was pending and while Andrew’s young son was in the home</w:t>
      </w:r>
      <w:hyperlink r:id="rId24">
        <w:r>
          <w:rPr>
            <w:rStyle w:val="Hyperlink"/>
          </w:rPr>
          <w:t xml:space="preserve">[28]</w:t>
        </w:r>
      </w:hyperlink>
      <w:r>
        <w:t xml:space="preserve">. Such action is explicitly unlawful –</w:t>
      </w:r>
      <w:r>
        <w:t xml:space="preserve"> </w:t>
      </w:r>
      <w:r>
        <w:rPr>
          <w:b/>
          <w:bCs/>
        </w:rPr>
        <w:t xml:space="preserve">“termination of services...so as to cause a constructive eviction”</w:t>
      </w:r>
      <w:r>
        <w:t xml:space="preserve"> </w:t>
      </w:r>
      <w:r>
        <w:t xml:space="preserve">is banned by Michigan’s anti-lockout statute</w:t>
      </w:r>
      <w:hyperlink r:id="rId24">
        <w:r>
          <w:rPr>
            <w:rStyle w:val="Hyperlink"/>
          </w:rPr>
          <w:t xml:space="preserve">[30]</w:t>
        </w:r>
      </w:hyperlink>
      <w:r>
        <w:t xml:space="preserve">. Andrew endured weeks without water, a clear attempt to</w:t>
      </w:r>
      <w:r>
        <w:t xml:space="preserve"> </w:t>
      </w:r>
      <w:r>
        <w:rPr>
          <w:b/>
          <w:bCs/>
        </w:rPr>
        <w:t xml:space="preserve">coerce him out</w:t>
      </w:r>
      <w:r>
        <w:t xml:space="preserve">. He documented this as retaliation for not abandoning his rights</w:t>
      </w:r>
      <w:hyperlink r:id="rId24">
        <w:r>
          <w:rPr>
            <w:rStyle w:val="Hyperlink"/>
          </w:rPr>
          <w:t xml:space="preserve">[70]</w:t>
        </w:r>
      </w:hyperlink>
      <w:r>
        <w:t xml:space="preserve">.</w:t>
      </w:r>
      <w:r>
        <w:t xml:space="preserve"> </w:t>
      </w:r>
      <w:r>
        <w:rPr>
          <w:i/>
          <w:iCs/>
        </w:rPr>
        <w:t xml:space="preserve">(Violation: MCL 600.2918(2)(f); retaliatory eviction)</w:t>
      </w:r>
    </w:p>
    <w:p>
      <w:pPr>
        <w:numPr>
          <w:ilvl w:val="0"/>
          <w:numId w:val="1002"/>
        </w:numPr>
      </w:pPr>
      <w:r>
        <w:rPr>
          <w:b/>
          <w:bCs/>
        </w:rPr>
        <w:t xml:space="preserve">Self-Help Eviction &amp; Property Destruction:</w:t>
      </w:r>
      <w:r>
        <w:t xml:space="preserve"> </w:t>
      </w:r>
      <w:r>
        <w:t xml:space="preserve">The eviction was carried out with</w:t>
      </w:r>
      <w:r>
        <w:t xml:space="preserve"> </w:t>
      </w:r>
      <w:r>
        <w:rPr>
          <w:b/>
          <w:bCs/>
        </w:rPr>
        <w:t xml:space="preserve">gross illegality</w:t>
      </w:r>
      <w:r>
        <w:t xml:space="preserve">. Instead of a supervised move-out, the park’s agents</w:t>
      </w:r>
      <w:r>
        <w:t xml:space="preserve"> </w:t>
      </w:r>
      <w:r>
        <w:rPr>
          <w:b/>
          <w:bCs/>
        </w:rPr>
        <w:t xml:space="preserve">took possession by force and destroyed property</w:t>
      </w:r>
      <w:r>
        <w:t xml:space="preserve"> </w:t>
      </w:r>
      <w:r>
        <w:t xml:space="preserve">on July 14, 2025</w:t>
      </w:r>
      <w:hyperlink r:id="rId24">
        <w:r>
          <w:rPr>
            <w:rStyle w:val="Hyperlink"/>
          </w:rPr>
          <w:t xml:space="preserve">[39]</w:t>
        </w:r>
      </w:hyperlink>
      <w:r>
        <w:t xml:space="preserve">. Andrew’s mobile home – which</w:t>
      </w:r>
      <w:r>
        <w:t xml:space="preserve"> </w:t>
      </w:r>
      <w:r>
        <w:rPr>
          <w:b/>
          <w:bCs/>
        </w:rPr>
        <w:t xml:space="preserve">he owned (titled)</w:t>
      </w:r>
      <w:r>
        <w:t xml:space="preserve"> </w:t>
      </w:r>
      <w:r>
        <w:t xml:space="preserve">– was treated as if it were park property. The locks were drilled and his home was likely demolished or hauled off. All personal belongings were either dumped,</w:t>
      </w:r>
      <w:r>
        <w:t xml:space="preserve"> </w:t>
      </w:r>
      <w:r>
        <w:rPr>
          <w:b/>
          <w:bCs/>
        </w:rPr>
        <w:t xml:space="preserve">removed by the landlord’s crew, or given away</w:t>
      </w:r>
      <w:r>
        <w:t xml:space="preserve"> </w:t>
      </w:r>
      <w:r>
        <w:t xml:space="preserve">(“FREE” sign posted)</w:t>
      </w:r>
      <w:hyperlink r:id="rId24">
        <w:r>
          <w:rPr>
            <w:rStyle w:val="Hyperlink"/>
          </w:rPr>
          <w:t xml:space="preserve">[71]</w:t>
        </w:r>
      </w:hyperlink>
      <w:r>
        <w:t xml:space="preserve">. This goes far beyond the scope of an eviction – it is conversion and</w:t>
      </w:r>
      <w:r>
        <w:t xml:space="preserve"> </w:t>
      </w:r>
      <w:r>
        <w:rPr>
          <w:b/>
          <w:bCs/>
        </w:rPr>
        <w:t xml:space="preserve">willful destruction of a citizen’s property</w:t>
      </w:r>
      <w:r>
        <w:t xml:space="preserve"> </w:t>
      </w:r>
      <w:r>
        <w:t xml:space="preserve">without compensation.</w:t>
      </w:r>
      <w:r>
        <w:t xml:space="preserve"> </w:t>
      </w:r>
      <w:r>
        <w:rPr>
          <w:i/>
          <w:iCs/>
        </w:rPr>
        <w:t xml:space="preserve">(Violation: Conversion, MCL 600.2918(2)(b) (unlawful removal of possessions), potential criminal larceny/trespass)</w:t>
      </w:r>
    </w:p>
    <w:p>
      <w:pPr>
        <w:numPr>
          <w:ilvl w:val="0"/>
          <w:numId w:val="1002"/>
        </w:numPr>
      </w:pPr>
      <w:r>
        <w:rPr>
          <w:b/>
          <w:bCs/>
        </w:rPr>
        <w:t xml:space="preserve">Lack of Proper Notice/Service:</w:t>
      </w:r>
      <w:r>
        <w:t xml:space="preserve"> </w:t>
      </w:r>
      <w:r>
        <w:t xml:space="preserve">Multiple filings by the landlord in 2025 (e.g. motions to reinstate, notices to quit, etc.) were not properly served on Andrew. In the Circuit case, defense counsel mailed a proposed dismissal order on Aug 12, 2025 without giving Andrew</w:t>
      </w:r>
      <w:r>
        <w:t xml:space="preserve"> </w:t>
      </w:r>
      <w:r>
        <w:rPr>
          <w:i/>
          <w:iCs/>
        </w:rPr>
        <w:t xml:space="preserve">prior</w:t>
      </w:r>
      <w:r>
        <w:t xml:space="preserve"> </w:t>
      </w:r>
      <w:r>
        <w:t xml:space="preserve">notice of any motion – attempting to exploit MCR 2.602(B)(3) to get a dismissal</w:t>
      </w:r>
      <w:r>
        <w:t xml:space="preserve"> </w:t>
      </w:r>
      <w:r>
        <w:rPr>
          <w:b/>
          <w:bCs/>
        </w:rPr>
        <w:t xml:space="preserve">without a hearing</w:t>
      </w:r>
      <w:hyperlink r:id="rId26">
        <w:r>
          <w:rPr>
            <w:rStyle w:val="Hyperlink"/>
          </w:rPr>
          <w:t xml:space="preserve">[48]</w:t>
        </w:r>
      </w:hyperlink>
      <w:hyperlink r:id="rId26">
        <w:r>
          <w:rPr>
            <w:rStyle w:val="Hyperlink"/>
          </w:rPr>
          <w:t xml:space="preserve">[50]</w:t>
        </w:r>
      </w:hyperlink>
      <w:r>
        <w:t xml:space="preserve">. Andrew had to scramble to object within 7 days. In the eviction process too,</w:t>
      </w:r>
      <w:r>
        <w:t xml:space="preserve"> </w:t>
      </w:r>
      <w:r>
        <w:rPr>
          <w:b/>
          <w:bCs/>
        </w:rPr>
        <w:t xml:space="preserve">notice defects</w:t>
      </w:r>
      <w:r>
        <w:t xml:space="preserve"> </w:t>
      </w:r>
      <w:r>
        <w:t xml:space="preserve">are evident (e.g. the 30-day notice to quit for rent was likely defective given the confusion of entities and amounts). Such procedural ambush is a due process violation.</w:t>
      </w:r>
      <w:r>
        <w:t xml:space="preserve"> </w:t>
      </w:r>
      <w:r>
        <w:rPr>
          <w:i/>
          <w:iCs/>
        </w:rPr>
        <w:t xml:space="preserve">(Violation: MCR 2.603; basic notice requirements of MCL 600.5718)</w:t>
      </w:r>
    </w:p>
    <w:p>
      <w:pPr>
        <w:numPr>
          <w:ilvl w:val="0"/>
          <w:numId w:val="1002"/>
        </w:numPr>
      </w:pPr>
      <w:r>
        <w:rPr>
          <w:b/>
          <w:bCs/>
        </w:rPr>
        <w:t xml:space="preserve">Collateral Estoppel Misuse:</w:t>
      </w:r>
      <w:r>
        <w:t xml:space="preserve"> </w:t>
      </w:r>
      <w:r>
        <w:t xml:space="preserve">Defendants argue that the 60th District Court eviction judgment (for possession) bars Andrew’s Circuit Court claims for damages. However, Michigan law</w:t>
      </w:r>
      <w:r>
        <w:t xml:space="preserve"> </w:t>
      </w:r>
      <w:r>
        <w:rPr>
          <w:b/>
          <w:bCs/>
        </w:rPr>
        <w:t xml:space="preserve">preserves tenants’ rights to seek relief outside of summary proceedings</w:t>
      </w:r>
      <w:r>
        <w:t xml:space="preserve"> </w:t>
      </w:r>
      <w:r>
        <w:t xml:space="preserve">– MCL 600.5750 states that a landlord-tenant judgment</w:t>
      </w:r>
      <w:r>
        <w:t xml:space="preserve"> </w:t>
      </w:r>
      <w:r>
        <w:rPr>
          <w:b/>
          <w:bCs/>
        </w:rPr>
        <w:t xml:space="preserve">“does not bar any later action”</w:t>
      </w:r>
      <w:r>
        <w:t xml:space="preserve"> </w:t>
      </w:r>
      <w:r>
        <w:t xml:space="preserve">for claims not resolved</w:t>
      </w:r>
      <w:hyperlink r:id="rId26">
        <w:r>
          <w:rPr>
            <w:rStyle w:val="Hyperlink"/>
          </w:rPr>
          <w:t xml:space="preserve">[53]</w:t>
        </w:r>
      </w:hyperlink>
      <w:r>
        <w:t xml:space="preserve">. Andrew’s Circuit case raises</w:t>
      </w:r>
      <w:r>
        <w:t xml:space="preserve"> </w:t>
      </w:r>
      <w:r>
        <w:rPr>
          <w:i/>
          <w:iCs/>
        </w:rPr>
        <w:t xml:space="preserve">post-eviction torts and constitutional harms</w:t>
      </w:r>
      <w:r>
        <w:t xml:space="preserve"> </w:t>
      </w:r>
      <w:r>
        <w:t xml:space="preserve">(retaliation, property destruction, due process violations) that could not have been litigated in the eviction. The defense’s attempt to dismiss via res judicata is thus a legal red herring, and Andrew notes it lacked any</w:t>
      </w:r>
      <w:r>
        <w:t xml:space="preserve"> </w:t>
      </w:r>
      <w:r>
        <w:rPr>
          <w:b/>
          <w:bCs/>
        </w:rPr>
        <w:t xml:space="preserve">judicial finding on record</w:t>
      </w:r>
      <w:r>
        <w:t xml:space="preserve"> </w:t>
      </w:r>
      <w:r>
        <w:t xml:space="preserve">to support it</w:t>
      </w:r>
      <w:hyperlink r:id="rId26">
        <w:r>
          <w:rPr>
            <w:rStyle w:val="Hyperlink"/>
          </w:rPr>
          <w:t xml:space="preserve">[58]</w:t>
        </w:r>
      </w:hyperlink>
      <w:hyperlink r:id="rId26">
        <w:r>
          <w:rPr>
            <w:rStyle w:val="Hyperlink"/>
          </w:rPr>
          <w:t xml:space="preserve">[72]</w:t>
        </w:r>
      </w:hyperlink>
      <w:r>
        <w:t xml:space="preserve">.</w:t>
      </w:r>
      <w:r>
        <w:t xml:space="preserve"> </w:t>
      </w:r>
      <w:r>
        <w:rPr>
          <w:i/>
          <w:iCs/>
        </w:rPr>
        <w:t xml:space="preserve">(Violation: Frivolous legal position; abuse of process)</w:t>
      </w:r>
    </w:p>
    <w:p>
      <w:pPr>
        <w:numPr>
          <w:ilvl w:val="0"/>
          <w:numId w:val="1002"/>
        </w:numPr>
      </w:pPr>
      <w:r>
        <w:rPr>
          <w:b/>
          <w:bCs/>
        </w:rPr>
        <w:t xml:space="preserve">Evidence of Broader Malfeasance:</w:t>
      </w:r>
      <w:r>
        <w:t xml:space="preserve"> </w:t>
      </w:r>
      <w:r>
        <w:t xml:space="preserve">The Shady Oaks travesty is part of Alden Global’s</w:t>
      </w:r>
      <w:r>
        <w:t xml:space="preserve"> </w:t>
      </w:r>
      <w:r>
        <w:rPr>
          <w:b/>
          <w:bCs/>
        </w:rPr>
        <w:t xml:space="preserve">pattern of racketeering-like behavior</w:t>
      </w:r>
      <w:r>
        <w:t xml:space="preserve"> </w:t>
      </w:r>
      <w:r>
        <w:t xml:space="preserve">in housing. Homes of America (Alden’s vehicle) has</w:t>
      </w:r>
      <w:r>
        <w:t xml:space="preserve"> </w:t>
      </w:r>
      <w:r>
        <w:rPr>
          <w:b/>
          <w:bCs/>
        </w:rPr>
        <w:t xml:space="preserve">acquired over 100 parks</w:t>
      </w:r>
      <w:r>
        <w:t xml:space="preserve"> </w:t>
      </w:r>
      <w:r>
        <w:t xml:space="preserve">and employs a “vulture capitalist” model: jack up rent, ignore maintenance, evict freely</w:t>
      </w:r>
      <w:hyperlink r:id="rId24">
        <w:r>
          <w:rPr>
            <w:rStyle w:val="Hyperlink"/>
          </w:rPr>
          <w:t xml:space="preserve">[73]</w:t>
        </w:r>
      </w:hyperlink>
      <w:hyperlink r:id="rId24">
        <w:r>
          <w:rPr>
            <w:rStyle w:val="Hyperlink"/>
          </w:rPr>
          <w:t xml:space="preserve">[74]</w:t>
        </w:r>
      </w:hyperlink>
      <w:r>
        <w:t xml:space="preserve">. In one state (Florida), Alden’s parks had an eviction rate ~1.5× the national average</w:t>
      </w:r>
      <w:hyperlink r:id="rId24">
        <w:r>
          <w:rPr>
            <w:rStyle w:val="Hyperlink"/>
          </w:rPr>
          <w:t xml:space="preserve">[75]</w:t>
        </w:r>
      </w:hyperlink>
      <w:r>
        <w:t xml:space="preserve">. In Michigan,</w:t>
      </w:r>
      <w:r>
        <w:t xml:space="preserve"> </w:t>
      </w:r>
      <w:r>
        <w:rPr>
          <w:b/>
          <w:bCs/>
        </w:rPr>
        <w:t xml:space="preserve">Alden’s agent pleaded guilty</w:t>
      </w:r>
      <w:r>
        <w:t xml:space="preserve"> </w:t>
      </w:r>
      <w:r>
        <w:t xml:space="preserve">in 2023 to criminal charges (operating an unlicensed park) – highlighting knowing violation of laws</w:t>
      </w:r>
      <w:hyperlink r:id="rId27">
        <w:r>
          <w:rPr>
            <w:rStyle w:val="Hyperlink"/>
          </w:rPr>
          <w:t xml:space="preserve">[61]</w:t>
        </w:r>
      </w:hyperlink>
      <w:hyperlink r:id="rId27">
        <w:r>
          <w:rPr>
            <w:rStyle w:val="Hyperlink"/>
          </w:rPr>
          <w:t xml:space="preserve">[62]</w:t>
        </w:r>
      </w:hyperlink>
      <w:r>
        <w:t xml:space="preserve">. All of this provides context (and potential</w:t>
      </w:r>
      <w:r>
        <w:t xml:space="preserve"> </w:t>
      </w:r>
      <w:r>
        <w:rPr>
          <w:b/>
          <w:bCs/>
        </w:rPr>
        <w:t xml:space="preserve">RICO predicate acts</w:t>
      </w:r>
      <w:r>
        <w:t xml:space="preserve">) for Andrew’s claims of fraud, extortionate tactics (threatening eviction to collect money not owed), and corporate shell games to evade liability</w:t>
      </w:r>
      <w:hyperlink r:id="rId24">
        <w:r>
          <w:rPr>
            <w:rStyle w:val="Hyperlink"/>
          </w:rPr>
          <w:t xml:space="preserve">[76]</w:t>
        </w:r>
      </w:hyperlink>
      <w:hyperlink r:id="rId24">
        <w:r>
          <w:rPr>
            <w:rStyle w:val="Hyperlink"/>
          </w:rPr>
          <w:t xml:space="preserve">[77]</w:t>
        </w:r>
      </w:hyperlink>
      <w:r>
        <w:t xml:space="preserve">.</w:t>
      </w:r>
      <w:r>
        <w:t xml:space="preserve"> </w:t>
      </w:r>
      <w:r>
        <w:rPr>
          <w:i/>
          <w:iCs/>
        </w:rPr>
        <w:t xml:space="preserve">(Violation: Potential RICO 18 U.S.C. §1962; consumer protection statutes; egregious intentional torts)</w:t>
      </w:r>
    </w:p>
    <w:bookmarkEnd w:id="29"/>
    <w:bookmarkStart w:id="30" w:name="X7d34235656c6eb0d966ca0c73dfa771d1acb07b"/>
    <w:p>
      <w:pPr>
        <w:pStyle w:val="Heading2"/>
      </w:pPr>
      <w:r>
        <w:t xml:space="preserve">III. MEEK2 – Custody &amp; Parenting Time Violations</w:t>
      </w:r>
    </w:p>
    <w:p>
      <w:pPr>
        <w:pStyle w:val="FirstParagraph"/>
      </w:pPr>
      <w:r>
        <w:rPr>
          <w:b/>
          <w:bCs/>
        </w:rPr>
        <w:t xml:space="preserve">Scope:</w:t>
      </w:r>
      <w:r>
        <w:t xml:space="preserve"> </w:t>
      </w:r>
      <w:r>
        <w:t xml:space="preserve">Conduct by Emily Watson (and colluding family members) that violated Andrew’s parental rights, court orders, or the child’s best interests.</w:t>
      </w:r>
    </w:p>
    <w:p>
      <w:pPr>
        <w:numPr>
          <w:ilvl w:val="0"/>
          <w:numId w:val="1003"/>
        </w:numPr>
      </w:pPr>
      <w:r>
        <w:rPr>
          <w:b/>
          <w:bCs/>
        </w:rPr>
        <w:t xml:space="preserve">Parental Alienation &amp; Withholding:</w:t>
      </w:r>
      <w:r>
        <w:t xml:space="preserve"> </w:t>
      </w:r>
      <w:r>
        <w:t xml:space="preserve">Emily has</w:t>
      </w:r>
      <w:r>
        <w:t xml:space="preserve"> </w:t>
      </w:r>
      <w:r>
        <w:rPr>
          <w:b/>
          <w:bCs/>
        </w:rPr>
        <w:t xml:space="preserve">repeatedly deprived Andrew of his court-ordered parenting time</w:t>
      </w:r>
      <w:r>
        <w:t xml:space="preserve"> </w:t>
      </w:r>
      <w:r>
        <w:t xml:space="preserve">with their son LDW. In Spring 2024, she unilaterally terminated the child’s daycare and concealed the child’s whereabouts for over</w:t>
      </w:r>
      <w:r>
        <w:t xml:space="preserve"> </w:t>
      </w:r>
      <w:r>
        <w:rPr>
          <w:b/>
          <w:bCs/>
        </w:rPr>
        <w:t xml:space="preserve">five weeks (Mar 26–May 2, 2024)</w:t>
      </w:r>
      <w:hyperlink r:id="rId21">
        <w:r>
          <w:rPr>
            <w:rStyle w:val="Hyperlink"/>
          </w:rPr>
          <w:t xml:space="preserve">[9]</w:t>
        </w:r>
      </w:hyperlink>
      <w:r>
        <w:t xml:space="preserve">, causing Andrew to miss Easter and Spring Break. Only after Andrew obtained an</w:t>
      </w:r>
      <w:r>
        <w:t xml:space="preserve"> </w:t>
      </w:r>
      <w:r>
        <w:rPr>
          <w:b/>
          <w:bCs/>
        </w:rPr>
        <w:t xml:space="preserve">ex parte order</w:t>
      </w:r>
      <w:r>
        <w:t xml:space="preserve"> </w:t>
      </w:r>
      <w:r>
        <w:t xml:space="preserve">was LDW returned to him</w:t>
      </w:r>
      <w:hyperlink r:id="rId21">
        <w:r>
          <w:rPr>
            <w:rStyle w:val="Hyperlink"/>
          </w:rPr>
          <w:t xml:space="preserve">[16]</w:t>
        </w:r>
      </w:hyperlink>
      <w:r>
        <w:t xml:space="preserve">. Again in Fall 2024, Emily</w:t>
      </w:r>
      <w:r>
        <w:t xml:space="preserve"> </w:t>
      </w:r>
      <w:r>
        <w:rPr>
          <w:b/>
          <w:bCs/>
        </w:rPr>
        <w:t xml:space="preserve">kept the child for a month</w:t>
      </w:r>
      <w:r>
        <w:t xml:space="preserve"> </w:t>
      </w:r>
      <w:r>
        <w:t xml:space="preserve">(Oct 20–Nov 15, 2024) under the guise of an extended vacation, with</w:t>
      </w:r>
      <w:r>
        <w:t xml:space="preserve"> </w:t>
      </w:r>
      <w:r>
        <w:rPr>
          <w:b/>
          <w:bCs/>
        </w:rPr>
        <w:t xml:space="preserve">no contact or updates</w:t>
      </w:r>
      <w:r>
        <w:t xml:space="preserve"> </w:t>
      </w:r>
      <w:r>
        <w:t xml:space="preserve">to Andrew</w:t>
      </w:r>
      <w:hyperlink r:id="rId21">
        <w:r>
          <w:rPr>
            <w:rStyle w:val="Hyperlink"/>
          </w:rPr>
          <w:t xml:space="preserve">[16]</w:t>
        </w:r>
      </w:hyperlink>
      <w:r>
        <w:t xml:space="preserve">. He was deprived of Halloween and the child’s 3rd birthday. These actions blatantly violate Michigan’s custody orders and MCL 722.27a (parenting time shall be granted in accordance with the best interests of the child). They constitute</w:t>
      </w:r>
      <w:r>
        <w:t xml:space="preserve"> </w:t>
      </w:r>
      <w:r>
        <w:rPr>
          <w:b/>
          <w:bCs/>
        </w:rPr>
        <w:t xml:space="preserve">custodial interference</w:t>
      </w:r>
      <w:r>
        <w:t xml:space="preserve"> </w:t>
      </w:r>
      <w:r>
        <w:t xml:space="preserve">and willful frustration of the parent-child relationship.</w:t>
      </w:r>
      <w:r>
        <w:t xml:space="preserve"> </w:t>
      </w:r>
      <w:r>
        <w:rPr>
          <w:i/>
          <w:iCs/>
        </w:rPr>
        <w:t xml:space="preserve">(Violation: MCL 750.350a (custodial interference); contempt of court for violating parenting time orders)</w:t>
      </w:r>
    </w:p>
    <w:p>
      <w:pPr>
        <w:numPr>
          <w:ilvl w:val="0"/>
          <w:numId w:val="1003"/>
        </w:numPr>
      </w:pPr>
      <w:r>
        <w:rPr>
          <w:b/>
          <w:bCs/>
        </w:rPr>
        <w:t xml:space="preserve">Hostile Exchanges &amp; Family Interference:</w:t>
      </w:r>
      <w:r>
        <w:t xml:space="preserve"> </w:t>
      </w:r>
      <w:r>
        <w:t xml:space="preserve">Instead of facilitating peaceful transitions, Emily has</w:t>
      </w:r>
      <w:r>
        <w:t xml:space="preserve"> </w:t>
      </w:r>
      <w:r>
        <w:rPr>
          <w:b/>
          <w:bCs/>
        </w:rPr>
        <w:t xml:space="preserve">enlisted her family to create hostile environments</w:t>
      </w:r>
      <w:r>
        <w:t xml:space="preserve"> </w:t>
      </w:r>
      <w:r>
        <w:t xml:space="preserve">during exchanges. For example, on</w:t>
      </w:r>
      <w:r>
        <w:t xml:space="preserve"> </w:t>
      </w:r>
      <w:r>
        <w:rPr>
          <w:b/>
          <w:bCs/>
        </w:rPr>
        <w:t xml:space="preserve">Oct 20, 2024</w:t>
      </w:r>
      <w:r>
        <w:t xml:space="preserve">, Albert Watson (her father) physically</w:t>
      </w:r>
      <w:r>
        <w:t xml:space="preserve"> </w:t>
      </w:r>
      <w:r>
        <w:rPr>
          <w:b/>
          <w:bCs/>
        </w:rPr>
        <w:t xml:space="preserve">ripped LDW from Andrew’s arms</w:t>
      </w:r>
      <w:r>
        <w:t xml:space="preserve"> </w:t>
      </w:r>
      <w:r>
        <w:t xml:space="preserve">and threw legal papers at him while making threatening remarks</w:t>
      </w:r>
      <w:hyperlink r:id="rId21">
        <w:r>
          <w:rPr>
            <w:rStyle w:val="Hyperlink"/>
          </w:rPr>
          <w:t xml:space="preserve">[20]</w:t>
        </w:r>
      </w:hyperlink>
      <w:r>
        <w:t xml:space="preserve">. Earlier, in</w:t>
      </w:r>
      <w:r>
        <w:t xml:space="preserve"> </w:t>
      </w:r>
      <w:r>
        <w:rPr>
          <w:b/>
          <w:bCs/>
        </w:rPr>
        <w:t xml:space="preserve">November 2023</w:t>
      </w:r>
      <w:r>
        <w:t xml:space="preserve">, Albert</w:t>
      </w:r>
      <w:r>
        <w:t xml:space="preserve"> </w:t>
      </w:r>
      <w:r>
        <w:rPr>
          <w:b/>
          <w:bCs/>
        </w:rPr>
        <w:t xml:space="preserve">assaulted Andrew</w:t>
      </w:r>
      <w:r>
        <w:t xml:space="preserve"> </w:t>
      </w:r>
      <w:r>
        <w:t xml:space="preserve">outside a custody exchange</w:t>
      </w:r>
      <w:hyperlink r:id="rId21">
        <w:r>
          <w:rPr>
            <w:rStyle w:val="Hyperlink"/>
          </w:rPr>
          <w:t xml:space="preserve">[20]</w:t>
        </w:r>
      </w:hyperlink>
      <w:r>
        <w:t xml:space="preserve"> </w:t>
      </w:r>
      <w:r>
        <w:t xml:space="preserve">(this incident is referenced in Andrew’s complaint, and there is likely an NSPD report of an assault by Albert). Emily’s brother, Cody Watson, has also threatened Andrew, saying</w:t>
      </w:r>
      <w:r>
        <w:t xml:space="preserve"> </w:t>
      </w:r>
      <w:r>
        <w:rPr>
          <w:b/>
          <w:bCs/>
        </w:rPr>
        <w:t xml:space="preserve">“I’ll kick you off that ladder”</w:t>
      </w:r>
      <w:r>
        <w:t xml:space="preserve"> </w:t>
      </w:r>
      <w:r>
        <w:t xml:space="preserve">and similar menacing statements</w:t>
      </w:r>
      <w:hyperlink r:id="rId21">
        <w:r>
          <w:rPr>
            <w:rStyle w:val="Hyperlink"/>
          </w:rPr>
          <w:t xml:space="preserve">[78]</w:t>
        </w:r>
      </w:hyperlink>
      <w:r>
        <w:t xml:space="preserve">. These incidents not only endanger the child (who is exposed to conflict and violence) but also violate the spirit of any</w:t>
      </w:r>
      <w:r>
        <w:t xml:space="preserve"> </w:t>
      </w:r>
      <w:r>
        <w:rPr>
          <w:b/>
          <w:bCs/>
        </w:rPr>
        <w:t xml:space="preserve">court-ordered exchange protocols</w:t>
      </w:r>
      <w:r>
        <w:t xml:space="preserve">. Emily’s failure to prevent (indeed, encouragement of) such interference is a breach of her duty to foster the child’s relationship with the father.</w:t>
      </w:r>
      <w:r>
        <w:t xml:space="preserve"> </w:t>
      </w:r>
      <w:r>
        <w:rPr>
          <w:i/>
          <w:iCs/>
        </w:rPr>
        <w:t xml:space="preserve">(Violation: MCL 722.27a(3) – refusing to cooperate with parenting time; intimidation)</w:t>
      </w:r>
    </w:p>
    <w:p>
      <w:pPr>
        <w:numPr>
          <w:ilvl w:val="0"/>
          <w:numId w:val="1003"/>
        </w:numPr>
      </w:pPr>
      <w:r>
        <w:rPr>
          <w:b/>
          <w:bCs/>
        </w:rPr>
        <w:t xml:space="preserve">False Emergency Allegations to Restrict Access:</w:t>
      </w:r>
      <w:r>
        <w:t xml:space="preserve"> </w:t>
      </w:r>
      <w:r>
        <w:t xml:space="preserve">Emily repeatedly manufactured</w:t>
      </w:r>
      <w:r>
        <w:t xml:space="preserve"> </w:t>
      </w:r>
      <w:r>
        <w:rPr>
          <w:b/>
          <w:bCs/>
        </w:rPr>
        <w:t xml:space="preserve">false accusations to justify withholding the child</w:t>
      </w:r>
      <w:r>
        <w:t xml:space="preserve"> </w:t>
      </w:r>
      <w:r>
        <w:t xml:space="preserve">or restricting Andrew’s access. Notably, she claimed Andrew was abusing or poisoning her (see MEEK3 section) around the same time she withheld the child in late 2023. She also made unfounded reports to police that coincided with custody disputes (e.g. a baseless “domestic violence” report on 12/05/2023 right before seeking the PPO</w:t>
      </w:r>
      <w:hyperlink r:id="rId22">
        <w:r>
          <w:rPr>
            <w:rStyle w:val="Hyperlink"/>
          </w:rPr>
          <w:t xml:space="preserve">[79]</w:t>
        </w:r>
      </w:hyperlink>
      <w:hyperlink r:id="rId22">
        <w:r>
          <w:rPr>
            <w:rStyle w:val="Hyperlink"/>
          </w:rPr>
          <w:t xml:space="preserve">[80]</w:t>
        </w:r>
      </w:hyperlink>
      <w:r>
        <w:t xml:space="preserve">). By</w:t>
      </w:r>
      <w:r>
        <w:t xml:space="preserve"> </w:t>
      </w:r>
      <w:r>
        <w:rPr>
          <w:b/>
          <w:bCs/>
        </w:rPr>
        <w:t xml:space="preserve">creating a narrative of danger</w:t>
      </w:r>
      <w:r>
        <w:t xml:space="preserve">, she sought to leverage PPOs and court sympathy to cut off Andrew’s contact. This strategy led to the PPO issuance and subsequent</w:t>
      </w:r>
      <w:r>
        <w:t xml:space="preserve"> </w:t>
      </w:r>
      <w:r>
        <w:rPr>
          <w:b/>
          <w:bCs/>
        </w:rPr>
        <w:t xml:space="preserve">temporary custody suspensions</w:t>
      </w:r>
      <w:r>
        <w:t xml:space="preserve"> </w:t>
      </w:r>
      <w:r>
        <w:t xml:space="preserve">that severely disrupted the father-son relationship.</w:t>
      </w:r>
      <w:r>
        <w:t xml:space="preserve"> </w:t>
      </w:r>
      <w:r>
        <w:rPr>
          <w:i/>
          <w:iCs/>
        </w:rPr>
        <w:t xml:space="preserve">(Violation: Fraud upon the court; violation of MCL 722.28 – best interests factors (j) and (l))</w:t>
      </w:r>
    </w:p>
    <w:p>
      <w:pPr>
        <w:numPr>
          <w:ilvl w:val="0"/>
          <w:numId w:val="1003"/>
        </w:numPr>
      </w:pPr>
      <w:r>
        <w:rPr>
          <w:b/>
          <w:bCs/>
        </w:rPr>
        <w:t xml:space="preserve">Contempt of Custody Orders:</w:t>
      </w:r>
      <w:r>
        <w:t xml:space="preserve"> </w:t>
      </w:r>
      <w:r>
        <w:t xml:space="preserve">Emily’s conduct has been subject to contempt hearings. Multiple</w:t>
      </w:r>
      <w:r>
        <w:t xml:space="preserve"> </w:t>
      </w:r>
      <w:r>
        <w:rPr>
          <w:b/>
          <w:bCs/>
        </w:rPr>
        <w:t xml:space="preserve">Order to Show Cause</w:t>
      </w:r>
      <w:r>
        <w:t xml:space="preserve"> </w:t>
      </w:r>
      <w:r>
        <w:t xml:space="preserve">hearings were held in 2024 regarding her non-compliance or Andrew’s alleged PPO breaches. The</w:t>
      </w:r>
      <w:r>
        <w:t xml:space="preserve"> </w:t>
      </w:r>
      <w:r>
        <w:rPr>
          <w:b/>
          <w:bCs/>
        </w:rPr>
        <w:t xml:space="preserve">third Show Cause in late 2024 was dismissed</w:t>
      </w:r>
      <w:hyperlink r:id="rId23">
        <w:r>
          <w:rPr>
            <w:rStyle w:val="Hyperlink"/>
          </w:rPr>
          <w:t xml:space="preserve">[21]</w:t>
        </w:r>
      </w:hyperlink>
      <w:r>
        <w:t xml:space="preserve">, indicating Emily’s allegations didn’t hold up. Despite that, Emily persisted in disobeying the parenting plan in 2025, culminating in her seeking an ex parte suspension in August 2025. Her petition for suspension (filed under the custody case) came</w:t>
      </w:r>
      <w:r>
        <w:t xml:space="preserve"> </w:t>
      </w:r>
      <w:r>
        <w:rPr>
          <w:i/>
          <w:iCs/>
        </w:rPr>
        <w:t xml:space="preserve">without any new emergency beyond her earlier unproven claims</w:t>
      </w:r>
      <w:r>
        <w:t xml:space="preserve">, yet she obtained an ex parte order. This pattern shows</w:t>
      </w:r>
      <w:r>
        <w:t xml:space="preserve"> </w:t>
      </w:r>
      <w:r>
        <w:rPr>
          <w:b/>
          <w:bCs/>
        </w:rPr>
        <w:t xml:space="preserve">willful disregard of court orders</w:t>
      </w:r>
      <w:r>
        <w:t xml:space="preserve"> </w:t>
      </w:r>
      <w:r>
        <w:t xml:space="preserve">on her part (with the court at times indulging it).</w:t>
      </w:r>
      <w:r>
        <w:t xml:space="preserve"> </w:t>
      </w:r>
      <w:r>
        <w:rPr>
          <w:i/>
          <w:iCs/>
        </w:rPr>
        <w:t xml:space="preserve">(Violation: MCR 3.208 – enforcement of visitation; parental alienation as contempt)</w:t>
      </w:r>
    </w:p>
    <w:p>
      <w:pPr>
        <w:numPr>
          <w:ilvl w:val="0"/>
          <w:numId w:val="1003"/>
        </w:numPr>
      </w:pPr>
      <w:r>
        <w:rPr>
          <w:b/>
          <w:bCs/>
        </w:rPr>
        <w:t xml:space="preserve">Ex Parte Suspension of Parenting Time (Aug 2025):</w:t>
      </w:r>
      <w:r>
        <w:t xml:space="preserve"> </w:t>
      </w:r>
      <w:r>
        <w:t xml:space="preserve">On August 8, 2025, Emily secured an</w:t>
      </w:r>
      <w:r>
        <w:t xml:space="preserve"> </w:t>
      </w:r>
      <w:r>
        <w:rPr>
          <w:b/>
          <w:bCs/>
        </w:rPr>
        <w:t xml:space="preserve">ex parte order halting Andrew’s parenting time</w:t>
      </w:r>
      <w:hyperlink r:id="rId23">
        <w:r>
          <w:rPr>
            <w:rStyle w:val="Hyperlink"/>
          </w:rPr>
          <w:t xml:space="preserve">[45]</w:t>
        </w:r>
      </w:hyperlink>
      <w:r>
        <w:t xml:space="preserve">. This extreme measure normally requires</w:t>
      </w:r>
      <w:r>
        <w:t xml:space="preserve"> </w:t>
      </w:r>
      <w:r>
        <w:rPr>
          <w:b/>
          <w:bCs/>
        </w:rPr>
        <w:t xml:space="preserve">immediate danger to the child</w:t>
      </w:r>
      <w:r>
        <w:t xml:space="preserve"> </w:t>
      </w:r>
      <w:r>
        <w:t xml:space="preserve">(e.g. abuse or serious neglect) and a verified factual showing (MCR 3.207). Here, the order was issued</w:t>
      </w:r>
      <w:r>
        <w:t xml:space="preserve"> </w:t>
      </w:r>
      <w:r>
        <w:rPr>
          <w:b/>
          <w:bCs/>
        </w:rPr>
        <w:t xml:space="preserve">without a hearing or prior notice</w:t>
      </w:r>
      <w:r>
        <w:t xml:space="preserve">, and Andrew asserts it was based on</w:t>
      </w:r>
      <w:r>
        <w:t xml:space="preserve"> </w:t>
      </w:r>
      <w:r>
        <w:rPr>
          <w:b/>
          <w:bCs/>
        </w:rPr>
        <w:t xml:space="preserve">unverified allegations</w:t>
      </w:r>
      <w:r>
        <w:t xml:space="preserve"> </w:t>
      </w:r>
      <w:r>
        <w:t xml:space="preserve">(possibly rehashing the PPO claims or new trivial accusations). The order</w:t>
      </w:r>
      <w:r>
        <w:t xml:space="preserve"> </w:t>
      </w:r>
      <w:r>
        <w:rPr>
          <w:b/>
          <w:bCs/>
        </w:rPr>
        <w:t xml:space="preserve">did not include specific findings</w:t>
      </w:r>
      <w:r>
        <w:t xml:space="preserve"> </w:t>
      </w:r>
      <w:r>
        <w:t xml:space="preserve">of fact or law – a requirement under Michigan law when suspending parenting time. Andrew only learned of the suspension when he received the order by mail,</w:t>
      </w:r>
      <w:r>
        <w:t xml:space="preserve"> </w:t>
      </w:r>
      <w:r>
        <w:rPr>
          <w:i/>
          <w:iCs/>
        </w:rPr>
        <w:t xml:space="preserve">minus any supporting affidavits Emily filed</w:t>
      </w:r>
      <w:hyperlink r:id="rId23">
        <w:r>
          <w:rPr>
            <w:rStyle w:val="Hyperlink"/>
          </w:rPr>
          <w:t xml:space="preserve">[47]</w:t>
        </w:r>
      </w:hyperlink>
      <w:r>
        <w:t xml:space="preserve">. At the subsequent hearing, the court maintained the suspension (as of 9/9/25) over Andrew’s objection. This represents a</w:t>
      </w:r>
      <w:r>
        <w:t xml:space="preserve"> </w:t>
      </w:r>
      <w:r>
        <w:rPr>
          <w:b/>
          <w:bCs/>
        </w:rPr>
        <w:t xml:space="preserve">serious due process violation and deprivation of Andrew’s parental rights</w:t>
      </w:r>
      <w:r>
        <w:t xml:space="preserve">. It effectively punishes Andrew based on one party’s claims, with no opportunity for him to refute before losing time with his child.</w:t>
      </w:r>
      <w:r>
        <w:t xml:space="preserve"> </w:t>
      </w:r>
      <w:r>
        <w:rPr>
          <w:i/>
          <w:iCs/>
        </w:rPr>
        <w:t xml:space="preserve">(Violation: MCR 3.207(B); MCL 722.27a – modification of parenting time without hearing)</w:t>
      </w:r>
    </w:p>
    <w:p>
      <w:pPr>
        <w:numPr>
          <w:ilvl w:val="0"/>
          <w:numId w:val="1003"/>
        </w:numPr>
      </w:pPr>
      <w:r>
        <w:rPr>
          <w:b/>
          <w:bCs/>
        </w:rPr>
        <w:t xml:space="preserve">Financial Sabotage via Support Misuse:</w:t>
      </w:r>
      <w:r>
        <w:t xml:space="preserve"> </w:t>
      </w:r>
      <w:r>
        <w:t xml:space="preserve">Emily has also manipulated financial aspects of custody to burden Andrew. She</w:t>
      </w:r>
      <w:r>
        <w:t xml:space="preserve"> </w:t>
      </w:r>
      <w:r>
        <w:rPr>
          <w:b/>
          <w:bCs/>
        </w:rPr>
        <w:t xml:space="preserve">misrepresented her finances in court</w:t>
      </w:r>
      <w:r>
        <w:t xml:space="preserve"> </w:t>
      </w:r>
      <w:r>
        <w:t xml:space="preserve">– failing to disclose additional income (e.g. rental payments from her brother, Cody) and support she receives for an older child</w:t>
      </w:r>
      <w:hyperlink r:id="rId21">
        <w:r>
          <w:rPr>
            <w:rStyle w:val="Hyperlink"/>
          </w:rPr>
          <w:t xml:space="preserve">[81]</w:t>
        </w:r>
      </w:hyperlink>
      <w:hyperlink r:id="rId21">
        <w:r>
          <w:rPr>
            <w:rStyle w:val="Hyperlink"/>
          </w:rPr>
          <w:t xml:space="preserve">[82]</w:t>
        </w:r>
      </w:hyperlink>
      <w:r>
        <w:t xml:space="preserve">. By hiding this, she skewed the child support calculation, resulting in</w:t>
      </w:r>
      <w:r>
        <w:t xml:space="preserve"> </w:t>
      </w:r>
      <w:r>
        <w:rPr>
          <w:b/>
          <w:bCs/>
        </w:rPr>
        <w:t xml:space="preserve">inflated support orders</w:t>
      </w:r>
      <w:r>
        <w:t xml:space="preserve"> </w:t>
      </w:r>
      <w:r>
        <w:t xml:space="preserve">against Andrew</w:t>
      </w:r>
      <w:hyperlink r:id="rId21">
        <w:r>
          <w:rPr>
            <w:rStyle w:val="Hyperlink"/>
          </w:rPr>
          <w:t xml:space="preserve">[83]</w:t>
        </w:r>
      </w:hyperlink>
      <w:r>
        <w:t xml:space="preserve">. Additionally, while working for the County, Emily</w:t>
      </w:r>
      <w:r>
        <w:t xml:space="preserve"> </w:t>
      </w:r>
      <w:r>
        <w:rPr>
          <w:b/>
          <w:bCs/>
        </w:rPr>
        <w:t xml:space="preserve">overstated her insurance costs</w:t>
      </w:r>
      <w:r>
        <w:t xml:space="preserve"> </w:t>
      </w:r>
      <w:r>
        <w:t xml:space="preserve">(FOIA results from her employer later showed up to 85% of her premiums are covered</w:t>
      </w:r>
      <w:hyperlink r:id="rId21">
        <w:r>
          <w:rPr>
            <w:rStyle w:val="Hyperlink"/>
          </w:rPr>
          <w:t xml:space="preserve">[84]</w:t>
        </w:r>
      </w:hyperlink>
      <w:hyperlink r:id="rId21">
        <w:r>
          <w:rPr>
            <w:rStyle w:val="Hyperlink"/>
          </w:rPr>
          <w:t xml:space="preserve">[85]</w:t>
        </w:r>
      </w:hyperlink>
      <w:r>
        <w:t xml:space="preserve">). This led the Friend of the Court to assume higher expenses and assign more support obligation to Andrew. Combined with Andrew’s job loss (from the jailing) and the eviction, these financial pressures were devastating – and arguably</w:t>
      </w:r>
      <w:r>
        <w:t xml:space="preserve"> </w:t>
      </w:r>
      <w:r>
        <w:rPr>
          <w:b/>
          <w:bCs/>
        </w:rPr>
        <w:t xml:space="preserve">engineered</w:t>
      </w:r>
      <w:r>
        <w:t xml:space="preserve"> </w:t>
      </w:r>
      <w:r>
        <w:t xml:space="preserve">or exacerbated by Emily’s actions.</w:t>
      </w:r>
      <w:r>
        <w:t xml:space="preserve"> </w:t>
      </w:r>
      <w:r>
        <w:rPr>
          <w:i/>
          <w:iCs/>
        </w:rPr>
        <w:t xml:space="preserve">(Violation: Fraudulent misrepresentation in court filings; violation of discovery rules requiring full financial disclosure)</w:t>
      </w:r>
    </w:p>
    <w:p>
      <w:pPr>
        <w:numPr>
          <w:ilvl w:val="0"/>
          <w:numId w:val="1003"/>
        </w:numPr>
      </w:pPr>
      <w:r>
        <w:rPr>
          <w:b/>
          <w:bCs/>
        </w:rPr>
        <w:t xml:space="preserve">Intentional Infliction of Emotional Distress (IIED):</w:t>
      </w:r>
      <w:r>
        <w:t xml:space="preserve"> </w:t>
      </w:r>
      <w:r>
        <w:t xml:space="preserve">The totality of Emily’s conduct – false accusations, denial of contact with his son, leveraging the legal system to jail Andrew, and causing him to lose his home and job – amounts to</w:t>
      </w:r>
      <w:r>
        <w:t xml:space="preserve"> </w:t>
      </w:r>
      <w:r>
        <w:rPr>
          <w:b/>
          <w:bCs/>
        </w:rPr>
        <w:t xml:space="preserve">extreme and outrageous behavior</w:t>
      </w:r>
      <w:r>
        <w:t xml:space="preserve"> </w:t>
      </w:r>
      <w:r>
        <w:t xml:space="preserve">exceeding all bounds of decency</w:t>
      </w:r>
      <w:hyperlink r:id="rId21">
        <w:r>
          <w:rPr>
            <w:rStyle w:val="Hyperlink"/>
          </w:rPr>
          <w:t xml:space="preserve">[86]</w:t>
        </w:r>
      </w:hyperlink>
      <w:hyperlink r:id="rId21">
        <w:r>
          <w:rPr>
            <w:rStyle w:val="Hyperlink"/>
          </w:rPr>
          <w:t xml:space="preserve">[87]</w:t>
        </w:r>
      </w:hyperlink>
      <w:r>
        <w:t xml:space="preserve">. Andrew’s draft civil complaint details how Emily’s actions caused him</w:t>
      </w:r>
      <w:r>
        <w:t xml:space="preserve"> </w:t>
      </w:r>
      <w:r>
        <w:rPr>
          <w:b/>
          <w:bCs/>
        </w:rPr>
        <w:t xml:space="preserve">severe emotional distress</w:t>
      </w:r>
      <w:r>
        <w:t xml:space="preserve"> </w:t>
      </w:r>
      <w:r>
        <w:t xml:space="preserve">and destabilized his life and his child’s life. Using one’s child as a weapon, as alleged here, is behavior that courts have found could support an IIED claim. It is notable that Emily, as an employee of the Prosecutor’s Office, is</w:t>
      </w:r>
      <w:r>
        <w:t xml:space="preserve"> </w:t>
      </w:r>
      <w:r>
        <w:rPr>
          <w:b/>
          <w:bCs/>
        </w:rPr>
        <w:t xml:space="preserve">held to a higher standard</w:t>
      </w:r>
      <w:r>
        <w:t xml:space="preserve"> </w:t>
      </w:r>
      <w:r>
        <w:t xml:space="preserve">yet engaged in deceit and retaliation</w:t>
      </w:r>
      <w:hyperlink r:id="rId21">
        <w:r>
          <w:rPr>
            <w:rStyle w:val="Hyperlink"/>
          </w:rPr>
          <w:t xml:space="preserve">[88]</w:t>
        </w:r>
      </w:hyperlink>
      <w:r>
        <w:t xml:space="preserve">.</w:t>
      </w:r>
      <w:r>
        <w:t xml:space="preserve"> </w:t>
      </w:r>
      <w:r>
        <w:rPr>
          <w:i/>
          <w:iCs/>
        </w:rPr>
        <w:t xml:space="preserve">(Tort: IIED; also potential custodial interference tort)</w:t>
      </w:r>
    </w:p>
    <w:p>
      <w:pPr>
        <w:numPr>
          <w:ilvl w:val="0"/>
          <w:numId w:val="1003"/>
        </w:numPr>
      </w:pPr>
      <w:r>
        <w:rPr>
          <w:b/>
          <w:bCs/>
        </w:rPr>
        <w:t xml:space="preserve">Underlying Custody Case Status:</w:t>
      </w:r>
      <w:r>
        <w:t xml:space="preserve"> </w:t>
      </w:r>
      <w:r>
        <w:t xml:space="preserve">The official custody case (24-01507-DC) was</w:t>
      </w:r>
      <w:r>
        <w:t xml:space="preserve"> </w:t>
      </w:r>
      <w:r>
        <w:rPr>
          <w:b/>
          <w:bCs/>
        </w:rPr>
        <w:t xml:space="preserve">marked “closed” in Aug 2024</w:t>
      </w:r>
      <w:r>
        <w:t xml:space="preserve"> </w:t>
      </w:r>
      <w:r>
        <w:t xml:space="preserve">after some disposition</w:t>
      </w:r>
      <w:hyperlink r:id="rId23">
        <w:r>
          <w:rPr>
            <w:rStyle w:val="Hyperlink"/>
          </w:rPr>
          <w:t xml:space="preserve">[11]</w:t>
        </w:r>
      </w:hyperlink>
      <w:r>
        <w:t xml:space="preserve">, but clearly litigation continued with motions and contempt hearings. It appears legal custody and primary residence might have been awarded to Emily (given the PPO and context), and Andrew had secondary parenting time. However, due to Emily’s actions and later court orders, by late 2025 Andrew’s parenting time is effectively</w:t>
      </w:r>
      <w:r>
        <w:t xml:space="preserve"> </w:t>
      </w:r>
      <w:r>
        <w:rPr>
          <w:b/>
          <w:bCs/>
        </w:rPr>
        <w:t xml:space="preserve">suspended</w:t>
      </w:r>
      <w:r>
        <w:t xml:space="preserve">. This is a de facto</w:t>
      </w:r>
      <w:r>
        <w:t xml:space="preserve"> </w:t>
      </w:r>
      <w:r>
        <w:rPr>
          <w:b/>
          <w:bCs/>
        </w:rPr>
        <w:t xml:space="preserve">termination of parental rights without the due process of a termination proceeding</w:t>
      </w:r>
      <w:r>
        <w:t xml:space="preserve">, something constitutionally dubious. Andrew’s aim is to expose these procedural defects and</w:t>
      </w:r>
      <w:r>
        <w:t xml:space="preserve"> </w:t>
      </w:r>
      <w:r>
        <w:rPr>
          <w:b/>
          <w:bCs/>
        </w:rPr>
        <w:t xml:space="preserve">restore his parenting time</w:t>
      </w:r>
      <w:r>
        <w:t xml:space="preserve">, potentially by seeking a change of custody due to Emily’s demonstrated misconduct (MCL 722.27(1)(c) allows custody modification for proper cause or change of circumstances, which her behavior amply provides).</w:t>
      </w:r>
      <w:r>
        <w:t xml:space="preserve"> </w:t>
      </w:r>
      <w:r>
        <w:rPr>
          <w:i/>
          <w:iCs/>
        </w:rPr>
        <w:t xml:space="preserve">(MEEK2 goal: Reinstate rights; sanction bad behavior)</w:t>
      </w:r>
    </w:p>
    <w:bookmarkEnd w:id="30"/>
    <w:bookmarkStart w:id="31" w:name="Xc496cc30fba98220e049f6f142ed90695641bc2"/>
    <w:p>
      <w:pPr>
        <w:pStyle w:val="Heading2"/>
      </w:pPr>
      <w:r>
        <w:t xml:space="preserve">IV. MEEK3 – PPO Abuse, False Accusations, and Contradictions</w:t>
      </w:r>
    </w:p>
    <w:p>
      <w:pPr>
        <w:pStyle w:val="FirstParagraph"/>
      </w:pPr>
      <w:r>
        <w:rPr>
          <w:b/>
          <w:bCs/>
        </w:rPr>
        <w:t xml:space="preserve">Scope:</w:t>
      </w:r>
      <w:r>
        <w:t xml:space="preserve"> </w:t>
      </w:r>
      <w:r>
        <w:t xml:space="preserve">Fabricated claims by Emily Watson (and her family) and misuse of Personal Protection Orders to harass and punish Andrew.</w:t>
      </w:r>
    </w:p>
    <w:p>
      <w:pPr>
        <w:numPr>
          <w:ilvl w:val="0"/>
          <w:numId w:val="1004"/>
        </w:numPr>
      </w:pPr>
      <w:r>
        <w:rPr>
          <w:b/>
          <w:bCs/>
        </w:rPr>
        <w:t xml:space="preserve">Baseless PPO &amp; Stacked Allegations:</w:t>
      </w:r>
      <w:r>
        <w:t xml:space="preserve"> </w:t>
      </w:r>
      <w:r>
        <w:t xml:space="preserve">Emily obtained a</w:t>
      </w:r>
      <w:r>
        <w:t xml:space="preserve"> </w:t>
      </w:r>
      <w:r>
        <w:rPr>
          <w:b/>
          <w:bCs/>
        </w:rPr>
        <w:t xml:space="preserve">Personal Protection Order under false pretenses</w:t>
      </w:r>
      <w:r>
        <w:t xml:space="preserve">. In her 2023 PPO petition to Judge McNeill, she likely cited incidents like the alleged October 2023 assault, the November “poisoning,” and other dramatic claims. However, each of those allegations was</w:t>
      </w:r>
      <w:r>
        <w:t xml:space="preserve"> </w:t>
      </w:r>
      <w:r>
        <w:rPr>
          <w:b/>
          <w:bCs/>
        </w:rPr>
        <w:t xml:space="preserve">disproven or uncorroborated</w:t>
      </w:r>
      <w:r>
        <w:t xml:space="preserve">: police found no injury or evidence on Oct 15, 2023</w:t>
      </w:r>
      <w:hyperlink r:id="rId21">
        <w:r>
          <w:rPr>
            <w:rStyle w:val="Hyperlink"/>
          </w:rPr>
          <w:t xml:space="preserve">[1]</w:t>
        </w:r>
      </w:hyperlink>
      <w:r>
        <w:t xml:space="preserve">; medical tests refuted the poisoning tale on Nov 16, 2023</w:t>
      </w:r>
      <w:hyperlink r:id="rId21">
        <w:r>
          <w:rPr>
            <w:rStyle w:val="Hyperlink"/>
          </w:rPr>
          <w:t xml:space="preserve">[89]</w:t>
        </w:r>
      </w:hyperlink>
      <w:r>
        <w:t xml:space="preserve">; and the “suicidal” report on Nov 12, 2023 was recorded as unfounded</w:t>
      </w:r>
      <w:hyperlink r:id="rId21">
        <w:r>
          <w:rPr>
            <w:rStyle w:val="Hyperlink"/>
          </w:rPr>
          <w:t xml:space="preserve">[2]</w:t>
        </w:r>
      </w:hyperlink>
      <w:r>
        <w:t xml:space="preserve">. In short, the PPO was granted on a stack of</w:t>
      </w:r>
      <w:r>
        <w:t xml:space="preserve"> </w:t>
      </w:r>
      <w:r>
        <w:rPr>
          <w:b/>
          <w:bCs/>
        </w:rPr>
        <w:t xml:space="preserve">lies and exaggerations</w:t>
      </w:r>
      <w:r>
        <w:t xml:space="preserve">. Emily’s own narrative contains contradictions – e.g., she claimed “blood poisoning” but medical records showed her condition was pre-existing hypertension, possibly exacerbated by an Ozempic injection she took (information Andrew learned, suggesting she concealed exculpatory medical info)</w:t>
      </w:r>
      <w:hyperlink r:id="rId23">
        <w:r>
          <w:rPr>
            <w:rStyle w:val="Hyperlink"/>
          </w:rPr>
          <w:t xml:space="preserve">[90]</w:t>
        </w:r>
      </w:hyperlink>
      <w:hyperlink r:id="rId23">
        <w:r>
          <w:rPr>
            <w:rStyle w:val="Hyperlink"/>
          </w:rPr>
          <w:t xml:space="preserve">[91]</w:t>
        </w:r>
      </w:hyperlink>
      <w:r>
        <w:t xml:space="preserve">.</w:t>
      </w:r>
      <w:r>
        <w:t xml:space="preserve"> </w:t>
      </w:r>
      <w:r>
        <w:rPr>
          <w:i/>
          <w:iCs/>
        </w:rPr>
        <w:t xml:space="preserve">(Violation: Perjury in PPO affidavit; abuse of PPO statute)</w:t>
      </w:r>
    </w:p>
    <w:p>
      <w:pPr>
        <w:numPr>
          <w:ilvl w:val="0"/>
          <w:numId w:val="1004"/>
        </w:numPr>
      </w:pPr>
      <w:r>
        <w:rPr>
          <w:b/>
          <w:bCs/>
        </w:rPr>
        <w:t xml:space="preserve">Improper Service &amp; Ambush Tactics:</w:t>
      </w:r>
      <w:r>
        <w:t xml:space="preserve"> </w:t>
      </w:r>
      <w:r>
        <w:t xml:space="preserve">The PPO (No. 2023-5907-PP) was served not by law enforcement but by</w:t>
      </w:r>
      <w:r>
        <w:t xml:space="preserve"> </w:t>
      </w:r>
      <w:r>
        <w:rPr>
          <w:b/>
          <w:bCs/>
        </w:rPr>
        <w:t xml:space="preserve">Emily’s parents</w:t>
      </w:r>
      <w:r>
        <w:t xml:space="preserve"> </w:t>
      </w:r>
      <w:r>
        <w:t xml:space="preserve">in a confrontational manner. Lori and Albert Watson surprised Andrew at a vulnerable moment (apparently at</w:t>
      </w:r>
      <w:r>
        <w:t xml:space="preserve"> </w:t>
      </w:r>
      <w:r>
        <w:rPr>
          <w:b/>
          <w:bCs/>
        </w:rPr>
        <w:t xml:space="preserve">2160 Garland Dr</w:t>
      </w:r>
      <w:r>
        <w:t xml:space="preserve"> </w:t>
      </w:r>
      <w:r>
        <w:t xml:space="preserve">during an “eviction window,” per Andrew’s notes) and served the order</w:t>
      </w:r>
      <w:hyperlink r:id="rId23">
        <w:r>
          <w:rPr>
            <w:rStyle w:val="Hyperlink"/>
          </w:rPr>
          <w:t xml:space="preserve">[92]</w:t>
        </w:r>
      </w:hyperlink>
      <w:r>
        <w:t xml:space="preserve">. This was done to maximize humiliation and disadvantage – Andrew believes it was timed to coincide with his housing upheaval,</w:t>
      </w:r>
      <w:r>
        <w:t xml:space="preserve"> </w:t>
      </w:r>
      <w:r>
        <w:rPr>
          <w:b/>
          <w:bCs/>
        </w:rPr>
        <w:t xml:space="preserve">“intended to accelerate eviction and prejudice custody”</w:t>
      </w:r>
      <w:hyperlink r:id="rId23">
        <w:r>
          <w:rPr>
            <w:rStyle w:val="Hyperlink"/>
          </w:rPr>
          <w:t xml:space="preserve">[92]</w:t>
        </w:r>
      </w:hyperlink>
      <w:r>
        <w:t xml:space="preserve">. Subsequent</w:t>
      </w:r>
      <w:r>
        <w:t xml:space="preserve"> </w:t>
      </w:r>
      <w:r>
        <w:rPr>
          <w:b/>
          <w:bCs/>
        </w:rPr>
        <w:t xml:space="preserve">show-cause notices for alleged PPO violations</w:t>
      </w:r>
      <w:r>
        <w:t xml:space="preserve"> </w:t>
      </w:r>
      <w:r>
        <w:t xml:space="preserve">were also served improperly: Show Cause #3 was literally</w:t>
      </w:r>
      <w:r>
        <w:t xml:space="preserve"> </w:t>
      </w:r>
      <w:r>
        <w:rPr>
          <w:b/>
          <w:bCs/>
        </w:rPr>
        <w:t xml:space="preserve">thrust at Andrew by Albert</w:t>
      </w:r>
      <w:r>
        <w:t xml:space="preserve"> </w:t>
      </w:r>
      <w:r>
        <w:t xml:space="preserve">during a custody exchange (Oct 20, 2024)</w:t>
      </w:r>
      <w:hyperlink r:id="rId23">
        <w:r>
          <w:rPr>
            <w:rStyle w:val="Hyperlink"/>
          </w:rPr>
          <w:t xml:space="preserve">[93]</w:t>
        </w:r>
      </w:hyperlink>
      <w:r>
        <w:t xml:space="preserve">, and Show Causes #4 and #5 were served</w:t>
      </w:r>
      <w:r>
        <w:t xml:space="preserve"> </w:t>
      </w:r>
      <w:r>
        <w:rPr>
          <w:b/>
          <w:bCs/>
        </w:rPr>
        <w:t xml:space="preserve">with less than 5 days’ notice</w:t>
      </w:r>
      <w:r>
        <w:t xml:space="preserve"> </w:t>
      </w:r>
      <w:r>
        <w:t xml:space="preserve">before the hearings</w:t>
      </w:r>
      <w:hyperlink r:id="rId23">
        <w:r>
          <w:rPr>
            <w:rStyle w:val="Hyperlink"/>
          </w:rPr>
          <w:t xml:space="preserve">[93]</w:t>
        </w:r>
      </w:hyperlink>
      <w:r>
        <w:t xml:space="preserve">. These antics deprived Andrew of fair time to prepare a defense and often took place in front of the child, inflaming tensions.</w:t>
      </w:r>
      <w:r>
        <w:t xml:space="preserve"> </w:t>
      </w:r>
      <w:r>
        <w:rPr>
          <w:i/>
          <w:iCs/>
        </w:rPr>
        <w:t xml:space="preserve">(Violation: MCR 3.706 service requirements; due process in contempt)</w:t>
      </w:r>
    </w:p>
    <w:p>
      <w:pPr>
        <w:numPr>
          <w:ilvl w:val="0"/>
          <w:numId w:val="1004"/>
        </w:numPr>
      </w:pPr>
      <w:r>
        <w:rPr>
          <w:b/>
          <w:bCs/>
        </w:rPr>
        <w:t xml:space="preserve">No Findings, Just Punishment:</w:t>
      </w:r>
      <w:r>
        <w:t xml:space="preserve"> </w:t>
      </w:r>
      <w:r>
        <w:t xml:space="preserve">Judge McNeill’s handling of the PPO enforcement raised red flags. On multiple occasions,</w:t>
      </w:r>
      <w:r>
        <w:t xml:space="preserve"> </w:t>
      </w:r>
      <w:r>
        <w:rPr>
          <w:b/>
          <w:bCs/>
        </w:rPr>
        <w:t xml:space="preserve">Andrew was not allowed to fully testify or present evidence</w:t>
      </w:r>
      <w:r>
        <w:t xml:space="preserve">. At the March 2025 hearing, for instance, when facing allegations of yelling (which is not a statutory PPO violation unless it constitutes stalking or a threat), Andrew was</w:t>
      </w:r>
      <w:r>
        <w:t xml:space="preserve"> </w:t>
      </w:r>
      <w:r>
        <w:rPr>
          <w:b/>
          <w:bCs/>
        </w:rPr>
        <w:t xml:space="preserve">muted and effectively sidelined</w:t>
      </w:r>
      <w:r>
        <w:t xml:space="preserve"> </w:t>
      </w:r>
      <w:r>
        <w:t xml:space="preserve">by the court</w:t>
      </w:r>
      <w:hyperlink r:id="rId23">
        <w:r>
          <w:rPr>
            <w:rStyle w:val="Hyperlink"/>
          </w:rPr>
          <w:t xml:space="preserve">[24]</w:t>
        </w:r>
      </w:hyperlink>
      <w:r>
        <w:t xml:space="preserve">. The court meted out</w:t>
      </w:r>
      <w:r>
        <w:t xml:space="preserve"> </w:t>
      </w:r>
      <w:r>
        <w:rPr>
          <w:i/>
          <w:iCs/>
        </w:rPr>
        <w:t xml:space="preserve">jail time</w:t>
      </w:r>
      <w:r>
        <w:t xml:space="preserve"> </w:t>
      </w:r>
      <w:r>
        <w:t xml:space="preserve">(a punitive contempt) without a jury trial, even though contempt can carry jail &gt;6 days (which under Michigan law could entitle one to a jury – this is a gray area of “criminal” contempt). Also, the PPO contempt orders lacked specificity – the Feb 2025 jailing was ostensibly for “raising his voice” at a public exchange, conduct that hardly seems to meet the PPO violation threshold of prohibited contact or threats. These actions suggest a</w:t>
      </w:r>
      <w:r>
        <w:t xml:space="preserve"> </w:t>
      </w:r>
      <w:r>
        <w:rPr>
          <w:b/>
          <w:bCs/>
        </w:rPr>
        <w:t xml:space="preserve">bias or predisposition</w:t>
      </w:r>
      <w:r>
        <w:t xml:space="preserve"> </w:t>
      </w:r>
      <w:r>
        <w:t xml:space="preserve">by the court to punish Andrew on Emily’s word, rather than on concrete evidence or legal standards.</w:t>
      </w:r>
      <w:r>
        <w:t xml:space="preserve"> </w:t>
      </w:r>
      <w:r>
        <w:rPr>
          <w:i/>
          <w:iCs/>
        </w:rPr>
        <w:t xml:space="preserve">(Violation: MCL 600.1711 – contempt procedures; constitutional right to fair hearing)</w:t>
      </w:r>
    </w:p>
    <w:p>
      <w:pPr>
        <w:numPr>
          <w:ilvl w:val="0"/>
          <w:numId w:val="1004"/>
        </w:numPr>
      </w:pPr>
      <w:r>
        <w:rPr>
          <w:b/>
          <w:bCs/>
        </w:rPr>
        <w:t xml:space="preserve">Fabricated Evidence &amp; Hearsay:</w:t>
      </w:r>
      <w:r>
        <w:t xml:space="preserve"> </w:t>
      </w:r>
      <w:r>
        <w:t xml:space="preserve">The evidence Emily presented in PPO proceedings was often dubious. Andrew notes that she relied on</w:t>
      </w:r>
      <w:r>
        <w:t xml:space="preserve"> </w:t>
      </w:r>
      <w:r>
        <w:rPr>
          <w:b/>
          <w:bCs/>
        </w:rPr>
        <w:t xml:space="preserve">unauthenticated text messages and anonymous communications</w:t>
      </w:r>
      <w:r>
        <w:t xml:space="preserve"> </w:t>
      </w:r>
      <w:r>
        <w:t xml:space="preserve">(possibly texts or social media messages she attributed to Andrew) – essentially hearsay that was never verified</w:t>
      </w:r>
      <w:hyperlink r:id="rId23">
        <w:r>
          <w:rPr>
            <w:rStyle w:val="Hyperlink"/>
          </w:rPr>
          <w:t xml:space="preserve">[94]</w:t>
        </w:r>
      </w:hyperlink>
      <w:r>
        <w:t xml:space="preserve">. She also used</w:t>
      </w:r>
      <w:r>
        <w:t xml:space="preserve"> </w:t>
      </w:r>
      <w:r>
        <w:rPr>
          <w:b/>
          <w:bCs/>
        </w:rPr>
        <w:t xml:space="preserve">photographs out of context</w:t>
      </w:r>
      <w:r>
        <w:t xml:space="preserve"> </w:t>
      </w:r>
      <w:r>
        <w:t xml:space="preserve">(e.g. the mason jar photo labeled as poison) and</w:t>
      </w:r>
      <w:r>
        <w:t xml:space="preserve"> </w:t>
      </w:r>
      <w:r>
        <w:rPr>
          <w:b/>
          <w:bCs/>
        </w:rPr>
        <w:t xml:space="preserve">selective excerpts of conversations</w:t>
      </w:r>
      <w:r>
        <w:t xml:space="preserve"> </w:t>
      </w:r>
      <w:r>
        <w:t xml:space="preserve">to paint Andrew in the worst light. In one show-cause, Emily or her counsel submitted a police “reference report” instead of a certified copy, meaning the court relied on a</w:t>
      </w:r>
      <w:r>
        <w:t xml:space="preserve"> </w:t>
      </w:r>
      <w:r>
        <w:rPr>
          <w:b/>
          <w:bCs/>
        </w:rPr>
        <w:t xml:space="preserve">second-hand summary</w:t>
      </w:r>
      <w:r>
        <w:t xml:space="preserve"> </w:t>
      </w:r>
      <w:r>
        <w:t xml:space="preserve">of an incident</w:t>
      </w:r>
      <w:hyperlink r:id="rId23">
        <w:r>
          <w:rPr>
            <w:rStyle w:val="Hyperlink"/>
          </w:rPr>
          <w:t xml:space="preserve">[94]</w:t>
        </w:r>
      </w:hyperlink>
      <w:r>
        <w:t xml:space="preserve">. Andrew has identified chain-of-custody issues with this evidence, suggesting it</w:t>
      </w:r>
      <w:r>
        <w:t xml:space="preserve"> </w:t>
      </w:r>
      <w:r>
        <w:rPr>
          <w:b/>
          <w:bCs/>
        </w:rPr>
        <w:t xml:space="preserve">would not meet basic evidentiary standards</w:t>
      </w:r>
      <w:r>
        <w:t xml:space="preserve"> </w:t>
      </w:r>
      <w:r>
        <w:t xml:space="preserve">if properly challenged.</w:t>
      </w:r>
      <w:r>
        <w:t xml:space="preserve"> </w:t>
      </w:r>
      <w:r>
        <w:rPr>
          <w:i/>
          <w:iCs/>
        </w:rPr>
        <w:t xml:space="preserve">(Violation: Due process – reliance on inadmissible evidence; MRE rules of evidence in contempt hearings)</w:t>
      </w:r>
    </w:p>
    <w:p>
      <w:pPr>
        <w:numPr>
          <w:ilvl w:val="0"/>
          <w:numId w:val="1004"/>
        </w:numPr>
      </w:pPr>
      <w:r>
        <w:rPr>
          <w:b/>
          <w:bCs/>
        </w:rPr>
        <w:t xml:space="preserve">Contradictory Statements by Emily:</w:t>
      </w:r>
      <w:r>
        <w:t xml:space="preserve"> </w:t>
      </w:r>
      <w:r>
        <w:t xml:space="preserve">Over time, Emily’s story has shifted. For instance, she claimed to fear Andrew, yet</w:t>
      </w:r>
      <w:r>
        <w:t xml:space="preserve"> </w:t>
      </w:r>
      <w:r>
        <w:rPr>
          <w:b/>
          <w:bCs/>
        </w:rPr>
        <w:t xml:space="preserve">allowed contact through third-party apps</w:t>
      </w:r>
      <w:r>
        <w:t xml:space="preserve"> </w:t>
      </w:r>
      <w:r>
        <w:t xml:space="preserve">and even in-person exchanges when it suited her. She alleged Andrew “assaulted” her, but there were no marks and she did not pursue any criminal charge after police found nothing. She wrote in one statement (October 15, 2023) that Andrew was accusing her of cheating and she</w:t>
      </w:r>
      <w:r>
        <w:t xml:space="preserve"> </w:t>
      </w:r>
      <w:r>
        <w:rPr>
          <w:i/>
          <w:iCs/>
        </w:rPr>
        <w:t xml:space="preserve">“explained I wasn’t”</w:t>
      </w:r>
      <w:r>
        <w:t xml:space="preserve">, portraying herself as calm</w:t>
      </w:r>
      <w:hyperlink r:id="rId22">
        <w:r>
          <w:rPr>
            <w:rStyle w:val="Hyperlink"/>
          </w:rPr>
          <w:t xml:space="preserve">[95]</w:t>
        </w:r>
      </w:hyperlink>
      <w:r>
        <w:t xml:space="preserve">. But in another instance she claimed she was in fear for her life. These inconsistencies (one moment portraying Andrew as irrationally jealous, another as a poisoner) undermine her credibility. Emily also</w:t>
      </w:r>
      <w:r>
        <w:t xml:space="preserve"> </w:t>
      </w:r>
      <w:r>
        <w:rPr>
          <w:b/>
          <w:bCs/>
        </w:rPr>
        <w:t xml:space="preserve">denied in court that she was withholding the child</w:t>
      </w:r>
      <w:r>
        <w:t xml:space="preserve">, gaslighting Andrew by blaming him – while texts and the eventual ex parte order (April 2024) prove</w:t>
      </w:r>
      <w:r>
        <w:t xml:space="preserve"> </w:t>
      </w:r>
      <w:r>
        <w:rPr>
          <w:b/>
          <w:bCs/>
        </w:rPr>
        <w:t xml:space="preserve">she did withhold LDW</w:t>
      </w:r>
      <w:hyperlink r:id="rId21">
        <w:r>
          <w:rPr>
            <w:rStyle w:val="Hyperlink"/>
          </w:rPr>
          <w:t xml:space="preserve">[96]</w:t>
        </w:r>
      </w:hyperlink>
      <w:hyperlink r:id="rId21">
        <w:r>
          <w:rPr>
            <w:rStyle w:val="Hyperlink"/>
          </w:rPr>
          <w:t xml:space="preserve">[9]</w:t>
        </w:r>
      </w:hyperlink>
      <w:r>
        <w:t xml:space="preserve">. Such contradictions are key for impeachment.</w:t>
      </w:r>
      <w:r>
        <w:t xml:space="preserve"> </w:t>
      </w:r>
      <w:r>
        <w:rPr>
          <w:i/>
          <w:iCs/>
        </w:rPr>
        <w:t xml:space="preserve">(MEEK3: Credibility issues)</w:t>
      </w:r>
    </w:p>
    <w:p>
      <w:pPr>
        <w:numPr>
          <w:ilvl w:val="0"/>
          <w:numId w:val="1004"/>
        </w:numPr>
      </w:pPr>
      <w:r>
        <w:rPr>
          <w:b/>
          <w:bCs/>
        </w:rPr>
        <w:t xml:space="preserve">PPO Overreach into Custody:</w:t>
      </w:r>
      <w:r>
        <w:t xml:space="preserve"> </w:t>
      </w:r>
      <w:r>
        <w:t xml:space="preserve">Emily used the PPO not just for personal protection but as a</w:t>
      </w:r>
      <w:r>
        <w:t xml:space="preserve"> </w:t>
      </w:r>
      <w:r>
        <w:rPr>
          <w:b/>
          <w:bCs/>
        </w:rPr>
        <w:t xml:space="preserve">tool to influence the custody case</w:t>
      </w:r>
      <w:r>
        <w:t xml:space="preserve">. By having a PPO in place, she painted Andrew as “abusive” in the eyes of the Family Court. Indeed, Judge McNeill oversaw both the PPO and custody matters, effectively merging them. Typically, PPO conditions can carve out exceptions for child exchanges; if not, it forces all communication through rigid channels. Emily took advantage of this by insisting all contact go through monitored apps (like AppClose) and then using even benign messages from Andrew as pretexts for claiming PPO breaches. This created a</w:t>
      </w:r>
      <w:r>
        <w:t xml:space="preserve"> </w:t>
      </w:r>
      <w:r>
        <w:rPr>
          <w:b/>
          <w:bCs/>
        </w:rPr>
        <w:t xml:space="preserve">chilling effect</w:t>
      </w:r>
      <w:r>
        <w:t xml:space="preserve"> </w:t>
      </w:r>
      <w:r>
        <w:t xml:space="preserve">on Andrew’s ability to co-parent – he was afraid that any slight misstep or message could be twisted into a PPO violation, which indeed happened.</w:t>
      </w:r>
      <w:r>
        <w:t xml:space="preserve"> </w:t>
      </w:r>
      <w:r>
        <w:rPr>
          <w:i/>
          <w:iCs/>
        </w:rPr>
        <w:t xml:space="preserve">(Violation: Abuse of process; interference with parental rights under color of a PPO)</w:t>
      </w:r>
    </w:p>
    <w:p>
      <w:pPr>
        <w:numPr>
          <w:ilvl w:val="0"/>
          <w:numId w:val="1004"/>
        </w:numPr>
      </w:pPr>
      <w:r>
        <w:rPr>
          <w:b/>
          <w:bCs/>
        </w:rPr>
        <w:t xml:space="preserve">Show Cause Outcomes Favor Andrew (Eventually):</w:t>
      </w:r>
      <w:r>
        <w:t xml:space="preserve"> </w:t>
      </w:r>
      <w:r>
        <w:t xml:space="preserve">It is telling that by mid-2024, at least one major Show Cause (contempt) against Andrew was thrown out. Specifically,</w:t>
      </w:r>
      <w:r>
        <w:t xml:space="preserve"> </w:t>
      </w:r>
      <w:r>
        <w:rPr>
          <w:b/>
          <w:bCs/>
        </w:rPr>
        <w:t xml:space="preserve">Show Cause #3 was dismissed</w:t>
      </w:r>
      <w:r>
        <w:t xml:space="preserve"> </w:t>
      </w:r>
      <w:r>
        <w:t xml:space="preserve">by the court in late 2024</w:t>
      </w:r>
      <w:hyperlink r:id="rId23">
        <w:r>
          <w:rPr>
            <w:rStyle w:val="Hyperlink"/>
          </w:rPr>
          <w:t xml:space="preserve">[21]</w:t>
        </w:r>
      </w:hyperlink>
      <w:r>
        <w:t xml:space="preserve"> </w:t>
      </w:r>
      <w:r>
        <w:t xml:space="preserve">– likely because the allegation (whatever it was) lacked merit or Emily didn’t show up with evidence. This is an official acknowledgment that</w:t>
      </w:r>
      <w:r>
        <w:t xml:space="preserve"> </w:t>
      </w:r>
      <w:r>
        <w:rPr>
          <w:b/>
          <w:bCs/>
        </w:rPr>
        <w:t xml:space="preserve">Emily’s usage of the PPO had exceeded legitimate bounds</w:t>
      </w:r>
      <w:r>
        <w:t xml:space="preserve">. Despite this, she filed more show-cause motions (#4, #5…) in 2025, showing a pattern of vexatious pursuit.</w:t>
      </w:r>
      <w:r>
        <w:t xml:space="preserve"> </w:t>
      </w:r>
      <w:r>
        <w:rPr>
          <w:i/>
          <w:iCs/>
        </w:rPr>
        <w:t xml:space="preserve">(MEEK3: Vexatious litigation)</w:t>
      </w:r>
    </w:p>
    <w:p>
      <w:pPr>
        <w:numPr>
          <w:ilvl w:val="0"/>
          <w:numId w:val="1004"/>
        </w:numPr>
      </w:pPr>
      <w:r>
        <w:rPr>
          <w:b/>
          <w:bCs/>
        </w:rPr>
        <w:t xml:space="preserve">Ongoing Impact of PPO:</w:t>
      </w:r>
      <w:r>
        <w:t xml:space="preserve"> </w:t>
      </w:r>
      <w:r>
        <w:t xml:space="preserve">Even after expiration, the PPO’s effects linger. Andrew now has an arrest record entry and contempt record solely from these PPO events. He lost a secondary job at USPS because he could not travel on weekends while jailed or attend training due to court dates</w:t>
      </w:r>
      <w:hyperlink r:id="rId23">
        <w:r>
          <w:rPr>
            <w:rStyle w:val="Hyperlink"/>
          </w:rPr>
          <w:t xml:space="preserve">[97]</w:t>
        </w:r>
      </w:hyperlink>
      <w:r>
        <w:t xml:space="preserve">. The PPO case also drained his finances (he paid at least a \$250 motion fee to try to set aside or modify orders)</w:t>
      </w:r>
      <w:hyperlink r:id="rId23">
        <w:r>
          <w:rPr>
            <w:rStyle w:val="Hyperlink"/>
          </w:rPr>
          <w:t xml:space="preserve">[98]</w:t>
        </w:r>
      </w:hyperlink>
      <w:r>
        <w:t xml:space="preserve">. In essence, Emily weaponized the PPO to</w:t>
      </w:r>
      <w:r>
        <w:t xml:space="preserve"> </w:t>
      </w:r>
      <w:r>
        <w:rPr>
          <w:b/>
          <w:bCs/>
        </w:rPr>
        <w:t xml:space="preserve">inflict maximum life disruption</w:t>
      </w:r>
      <w:r>
        <w:t xml:space="preserve">, far beyond its intended protective scope. This gives Andrew grounds to seek</w:t>
      </w:r>
      <w:r>
        <w:t xml:space="preserve"> </w:t>
      </w:r>
      <w:r>
        <w:rPr>
          <w:b/>
          <w:bCs/>
        </w:rPr>
        <w:t xml:space="preserve">termination of the PPO and sanctions for abuse</w:t>
      </w:r>
      <w:r>
        <w:t xml:space="preserve"> </w:t>
      </w:r>
      <w:r>
        <w:t xml:space="preserve">(MCL 600.2950(4) allows a respondent to move to terminate when appropriate). It may also form the basis of a</w:t>
      </w:r>
      <w:r>
        <w:t xml:space="preserve"> </w:t>
      </w:r>
      <w:r>
        <w:rPr>
          <w:b/>
          <w:bCs/>
        </w:rPr>
        <w:t xml:space="preserve">Section 1983 claim</w:t>
      </w:r>
      <w:r>
        <w:t xml:space="preserve"> </w:t>
      </w:r>
      <w:r>
        <w:t xml:space="preserve">for misuse of legal process under color of law, if state actors (like the judge or police) are found complicit in denying his rights.</w:t>
      </w:r>
      <w:r>
        <w:t xml:space="preserve"> </w:t>
      </w:r>
      <w:r>
        <w:rPr>
          <w:i/>
          <w:iCs/>
        </w:rPr>
        <w:t xml:space="preserve">(MEEK3 &amp; MEEK4 overlap)</w:t>
      </w:r>
    </w:p>
    <w:bookmarkEnd w:id="31"/>
    <w:bookmarkStart w:id="32" w:name="X0e497ab8a0211b8de69497a74d2525edc1e86cf"/>
    <w:p>
      <w:pPr>
        <w:pStyle w:val="Heading2"/>
      </w:pPr>
      <w:r>
        <w:t xml:space="preserve">V. MEEK4 – Judicial Misconduct and Due Process Deprivation</w:t>
      </w:r>
    </w:p>
    <w:p>
      <w:pPr>
        <w:pStyle w:val="FirstParagraph"/>
      </w:pPr>
      <w:r>
        <w:rPr>
          <w:b/>
          <w:bCs/>
        </w:rPr>
        <w:t xml:space="preserve">Scope:</w:t>
      </w:r>
      <w:r>
        <w:t xml:space="preserve"> </w:t>
      </w:r>
      <w:r>
        <w:t xml:space="preserve">Actions by the court (primarily Judge Jenny McNeill in family division, and to some extent Judge Kenneth Hoopes in circuit) that suggest bias, failure to follow required procedure, or violations of judicial canons.</w:t>
      </w:r>
    </w:p>
    <w:p>
      <w:pPr>
        <w:numPr>
          <w:ilvl w:val="0"/>
          <w:numId w:val="1005"/>
        </w:numPr>
      </w:pPr>
      <w:r>
        <w:rPr>
          <w:b/>
          <w:bCs/>
        </w:rPr>
        <w:t xml:space="preserve">Appearance of Bias/Conflict:</w:t>
      </w:r>
      <w:r>
        <w:t xml:space="preserve"> </w:t>
      </w:r>
      <w:r>
        <w:t xml:space="preserve">Judge McNeill oversaw both Emily’s PPO case and the Pigors v. Watson custody case. Emily is employed by the</w:t>
      </w:r>
      <w:r>
        <w:t xml:space="preserve"> </w:t>
      </w:r>
      <w:r>
        <w:rPr>
          <w:b/>
          <w:bCs/>
        </w:rPr>
        <w:t xml:space="preserve">Kent County Prosecutor’s Office’s Family Division</w:t>
      </w:r>
      <w:r>
        <w:t xml:space="preserve"> </w:t>
      </w:r>
      <w:r>
        <w:t xml:space="preserve">(or closely affiliated), which at least raises an</w:t>
      </w:r>
      <w:r>
        <w:t xml:space="preserve"> </w:t>
      </w:r>
      <w:r>
        <w:rPr>
          <w:b/>
          <w:bCs/>
        </w:rPr>
        <w:t xml:space="preserve">appearance of a conflict</w:t>
      </w:r>
      <w:r>
        <w:t xml:space="preserve"> </w:t>
      </w:r>
      <w:r>
        <w:t xml:space="preserve">– a family division employee receiving favorable rulings from a family court judge in a neighboring county. Andrew has noted this connection</w:t>
      </w:r>
      <w:hyperlink r:id="rId23">
        <w:r>
          <w:rPr>
            <w:rStyle w:val="Hyperlink"/>
          </w:rPr>
          <w:t xml:space="preserve">[15]</w:t>
        </w:r>
      </w:hyperlink>
      <w:r>
        <w:t xml:space="preserve">. Under Michigan’s judicial canons, a judge should disqualify herself if there is even a</w:t>
      </w:r>
      <w:r>
        <w:t xml:space="preserve"> </w:t>
      </w:r>
      <w:r>
        <w:rPr>
          <w:b/>
          <w:bCs/>
        </w:rPr>
        <w:t xml:space="preserve">perception of bias or a relationship</w:t>
      </w:r>
      <w:r>
        <w:t xml:space="preserve"> </w:t>
      </w:r>
      <w:r>
        <w:t xml:space="preserve">that might influence her. There’s no evidence Judge McNeill recused or disclosed any potential familiarity with Emily’s role. The consistently one-sided interim outcomes (PPO granted ex parte, multiple ex parte orders against Andrew, jailing, etc.) reinforce Andrew’s belief that</w:t>
      </w:r>
      <w:r>
        <w:t xml:space="preserve"> </w:t>
      </w:r>
      <w:r>
        <w:rPr>
          <w:b/>
          <w:bCs/>
        </w:rPr>
        <w:t xml:space="preserve">judicial bias</w:t>
      </w:r>
      <w:r>
        <w:t xml:space="preserve"> </w:t>
      </w:r>
      <w:r>
        <w:t xml:space="preserve">impacted his case.</w:t>
      </w:r>
      <w:r>
        <w:t xml:space="preserve"> </w:t>
      </w:r>
      <w:r>
        <w:rPr>
          <w:i/>
          <w:iCs/>
        </w:rPr>
        <w:t xml:space="preserve">(Canon 2, Michigan Code of Judicial Conduct – avoid appearance of impropriety; MCR 2.003(C))</w:t>
      </w:r>
    </w:p>
    <w:p>
      <w:pPr>
        <w:numPr>
          <w:ilvl w:val="0"/>
          <w:numId w:val="1005"/>
        </w:numPr>
      </w:pPr>
      <w:r>
        <w:rPr>
          <w:b/>
          <w:bCs/>
        </w:rPr>
        <w:t xml:space="preserve">Denial of Full Hearing (PPO/Contempt):</w:t>
      </w:r>
      <w:r>
        <w:t xml:space="preserve"> </w:t>
      </w:r>
      <w:r>
        <w:t xml:space="preserve">In contempt proceedings, Judge McNeill</w:t>
      </w:r>
      <w:r>
        <w:t xml:space="preserve"> </w:t>
      </w:r>
      <w:r>
        <w:rPr>
          <w:b/>
          <w:bCs/>
        </w:rPr>
        <w:t xml:space="preserve">cut off or limited Andrew’s testimony</w:t>
      </w:r>
      <w:r>
        <w:t xml:space="preserve">, effectively preventing him from making a record</w:t>
      </w:r>
      <w:hyperlink r:id="rId23">
        <w:r>
          <w:rPr>
            <w:rStyle w:val="Hyperlink"/>
          </w:rPr>
          <w:t xml:space="preserve">[24]</w:t>
        </w:r>
      </w:hyperlink>
      <w:r>
        <w:t xml:space="preserve">. For example, during the March 2025 show-cause, Andrew was not allowed to call witnesses or fully cross-examine Emily’s claims. At times the judge</w:t>
      </w:r>
      <w:r>
        <w:t xml:space="preserve"> </w:t>
      </w:r>
      <w:r>
        <w:rPr>
          <w:b/>
          <w:bCs/>
        </w:rPr>
        <w:t xml:space="preserve">spoke over him or muted Zoom proceedings</w:t>
      </w:r>
      <w:r>
        <w:t xml:space="preserve"> </w:t>
      </w:r>
      <w:r>
        <w:t xml:space="preserve">(if remote) when he tried to explain context. This is a violation of his right to be heard. Additionally, a criminal contempt that results in jail should involve formalities like an arraignment on the contempt charge, an opportunity to allocute, and findings of fact. It’s unclear if those were done. Andrew’s objection in the civil case specifically mentions</w:t>
      </w:r>
      <w:r>
        <w:t xml:space="preserve"> </w:t>
      </w:r>
      <w:r>
        <w:rPr>
          <w:b/>
          <w:bCs/>
        </w:rPr>
        <w:t xml:space="preserve">“denial of evidentiary presentation”</w:t>
      </w:r>
      <w:r>
        <w:t xml:space="preserve"> </w:t>
      </w:r>
      <w:r>
        <w:t xml:space="preserve">as a due process violation that the proposed dismissal order glossed over</w:t>
      </w:r>
      <w:hyperlink r:id="rId26">
        <w:r>
          <w:rPr>
            <w:rStyle w:val="Hyperlink"/>
          </w:rPr>
          <w:t xml:space="preserve">[54]</w:t>
        </w:r>
      </w:hyperlink>
      <w:r>
        <w:t xml:space="preserve">. He also cites constitutional grounds (Michigan Const. art I §§ 2, 17, 20 and U.S. 14th Amendment) for the pattern of proceedings that</w:t>
      </w:r>
      <w:r>
        <w:t xml:space="preserve"> </w:t>
      </w:r>
      <w:r>
        <w:rPr>
          <w:b/>
          <w:bCs/>
        </w:rPr>
        <w:t xml:space="preserve">failed to afford him fair process</w:t>
      </w:r>
      <w:hyperlink r:id="rId25">
        <w:r>
          <w:rPr>
            <w:rStyle w:val="Hyperlink"/>
          </w:rPr>
          <w:t xml:space="preserve">[99]</w:t>
        </w:r>
      </w:hyperlink>
      <w:hyperlink r:id="rId25">
        <w:r>
          <w:rPr>
            <w:rStyle w:val="Hyperlink"/>
          </w:rPr>
          <w:t xml:space="preserve">[100]</w:t>
        </w:r>
      </w:hyperlink>
      <w:r>
        <w:t xml:space="preserve">.</w:t>
      </w:r>
      <w:r>
        <w:t xml:space="preserve"> </w:t>
      </w:r>
      <w:r>
        <w:rPr>
          <w:i/>
          <w:iCs/>
        </w:rPr>
        <w:t xml:space="preserve">(Violation: Due Process Clause of 14th Amendment; fundamental fairness in civil contempt)</w:t>
      </w:r>
    </w:p>
    <w:p>
      <w:pPr>
        <w:numPr>
          <w:ilvl w:val="0"/>
          <w:numId w:val="1005"/>
        </w:numPr>
      </w:pPr>
      <w:r>
        <w:rPr>
          <w:b/>
          <w:bCs/>
        </w:rPr>
        <w:t xml:space="preserve">Improper Ex Parte Orders:</w:t>
      </w:r>
      <w:r>
        <w:t xml:space="preserve"> </w:t>
      </w:r>
      <w:r>
        <w:t xml:space="preserve">Judge McNeill issued an ex parte PPO in Dec 2023 and an</w:t>
      </w:r>
      <w:r>
        <w:t xml:space="preserve"> </w:t>
      </w:r>
      <w:r>
        <w:rPr>
          <w:b/>
          <w:bCs/>
        </w:rPr>
        <w:t xml:space="preserve">ex parte parenting time suspension in Aug 2025</w:t>
      </w:r>
      <w:r>
        <w:t xml:space="preserve">. While ex parte relief is permitted in emergencies, the</w:t>
      </w:r>
      <w:r>
        <w:t xml:space="preserve"> </w:t>
      </w:r>
      <w:r>
        <w:rPr>
          <w:b/>
          <w:bCs/>
        </w:rPr>
        <w:t xml:space="preserve">Aug 8, 2025 order lacked the required findings</w:t>
      </w:r>
      <w:r>
        <w:t xml:space="preserve">. MCR 3.207(C) and MCL 722.27a(12) require that an ex parte order suspending parenting time</w:t>
      </w:r>
      <w:r>
        <w:t xml:space="preserve"> </w:t>
      </w:r>
      <w:r>
        <w:rPr>
          <w:i/>
          <w:iCs/>
        </w:rPr>
        <w:t xml:space="preserve">state the specific reasons why immediate suspension is necessary</w:t>
      </w:r>
      <w:r>
        <w:t xml:space="preserve"> </w:t>
      </w:r>
      <w:r>
        <w:t xml:space="preserve">and schedule a prompt hearing. The order Andrew received did not enumerate any specific injury or harm to the child that would justify immediate suspension</w:t>
      </w:r>
      <w:hyperlink r:id="rId23">
        <w:r>
          <w:rPr>
            <w:rStyle w:val="Hyperlink"/>
          </w:rPr>
          <w:t xml:space="preserve">[46]</w:t>
        </w:r>
      </w:hyperlink>
      <w:r>
        <w:t xml:space="preserve">. Moreover, Andrew received</w:t>
      </w:r>
      <w:r>
        <w:t xml:space="preserve"> </w:t>
      </w:r>
      <w:r>
        <w:rPr>
          <w:b/>
          <w:bCs/>
        </w:rPr>
        <w:t xml:space="preserve">only the judge’s signed order by mail</w:t>
      </w:r>
      <w:r>
        <w:t xml:space="preserve">, with none of the motion’s supporting evidence</w:t>
      </w:r>
      <w:hyperlink r:id="rId23">
        <w:r>
          <w:rPr>
            <w:rStyle w:val="Hyperlink"/>
          </w:rPr>
          <w:t xml:space="preserve">[47]</w:t>
        </w:r>
      </w:hyperlink>
      <w:r>
        <w:t xml:space="preserve"> </w:t>
      </w:r>
      <w:r>
        <w:t xml:space="preserve">– depriving him of knowing the allegations against him until the hearing. This secretive approach violates basic notice requirements. Judge McNeill’s readiness to grant such an extreme order for Emily, given their contentious history, suggests a</w:t>
      </w:r>
      <w:r>
        <w:t xml:space="preserve"> </w:t>
      </w:r>
      <w:r>
        <w:rPr>
          <w:b/>
          <w:bCs/>
        </w:rPr>
        <w:t xml:space="preserve">lack of impartiality or at least extremely poor judgment</w:t>
      </w:r>
      <w:r>
        <w:t xml:space="preserve"> </w:t>
      </w:r>
      <w:r>
        <w:t xml:space="preserve">on the court’s part.</w:t>
      </w:r>
      <w:r>
        <w:t xml:space="preserve"> </w:t>
      </w:r>
      <w:r>
        <w:rPr>
          <w:i/>
          <w:iCs/>
        </w:rPr>
        <w:t xml:space="preserve">(Violation: MCR 3.207; Canon 3A(4) ex parte communications)</w:t>
      </w:r>
    </w:p>
    <w:p>
      <w:pPr>
        <w:numPr>
          <w:ilvl w:val="0"/>
          <w:numId w:val="1005"/>
        </w:numPr>
      </w:pPr>
      <w:r>
        <w:rPr>
          <w:b/>
          <w:bCs/>
        </w:rPr>
        <w:t xml:space="preserve">Lack of Findings &amp; Record Support:</w:t>
      </w:r>
      <w:r>
        <w:t xml:space="preserve"> </w:t>
      </w:r>
      <w:r>
        <w:t xml:space="preserve">In multiple instances, Judge McNeill signed orders drafted by Emily’s side</w:t>
      </w:r>
      <w:r>
        <w:t xml:space="preserve"> </w:t>
      </w:r>
      <w:r>
        <w:rPr>
          <w:b/>
          <w:bCs/>
        </w:rPr>
        <w:t xml:space="preserve">without making independent findings on the record</w:t>
      </w:r>
      <w:r>
        <w:t xml:space="preserve">. For instance, when dismissing Andrew’s objections or motions, the orders would recite that his claims were “frivolous” or barred, yet</w:t>
      </w:r>
      <w:r>
        <w:t xml:space="preserve"> </w:t>
      </w:r>
      <w:r>
        <w:rPr>
          <w:b/>
          <w:bCs/>
        </w:rPr>
        <w:t xml:space="preserve">no hearing transcript contains those words from the judge herself</w:t>
      </w:r>
      <w:hyperlink r:id="rId26">
        <w:r>
          <w:rPr>
            <w:rStyle w:val="Hyperlink"/>
          </w:rPr>
          <w:t xml:space="preserve">[58]</w:t>
        </w:r>
      </w:hyperlink>
      <w:hyperlink r:id="rId26">
        <w:r>
          <w:rPr>
            <w:rStyle w:val="Hyperlink"/>
          </w:rPr>
          <w:t xml:space="preserve">[72]</w:t>
        </w:r>
      </w:hyperlink>
      <w:r>
        <w:t xml:space="preserve">. Andrew’s proposed order striking the dismissal notes explicitly that</w:t>
      </w:r>
      <w:r>
        <w:t xml:space="preserve"> </w:t>
      </w:r>
      <w:r>
        <w:rPr>
          <w:i/>
          <w:iCs/>
        </w:rPr>
        <w:t xml:space="preserve">“No judicial finding of res judicata, collateral estoppel, or frivolousness was made on the record”</w:t>
      </w:r>
      <w:hyperlink r:id="rId26">
        <w:r>
          <w:rPr>
            <w:rStyle w:val="Hyperlink"/>
          </w:rPr>
          <w:t xml:space="preserve">[72]</w:t>
        </w:r>
      </w:hyperlink>
      <w:r>
        <w:t xml:space="preserve"> </w:t>
      </w:r>
      <w:r>
        <w:t xml:space="preserve">before the defense’s proposed final order was submitted. This indicates Judge McNeill was perhaps</w:t>
      </w:r>
      <w:r>
        <w:t xml:space="preserve"> </w:t>
      </w:r>
      <w:r>
        <w:rPr>
          <w:b/>
          <w:bCs/>
        </w:rPr>
        <w:t xml:space="preserve">rubber-stamping</w:t>
      </w:r>
      <w:r>
        <w:t xml:space="preserve"> </w:t>
      </w:r>
      <w:r>
        <w:t xml:space="preserve">what one party wrote. Similarly, the Aug 2025 suspension order did not recite facts as required – an omission of legal duty. These omissions violate Michigan Court Rule 2.517 (requiring findings of fact in bench decisions) and suggest the judge did not adequately deliberate or explain decisions, which is a hallmark of bias or arbitrariness.</w:t>
      </w:r>
      <w:r>
        <w:t xml:space="preserve"> </w:t>
      </w:r>
      <w:r>
        <w:rPr>
          <w:i/>
          <w:iCs/>
        </w:rPr>
        <w:t xml:space="preserve">(Violation: MCR 2.517; Canon 3 – failure to uphold law impartially)</w:t>
      </w:r>
    </w:p>
    <w:p>
      <w:pPr>
        <w:numPr>
          <w:ilvl w:val="0"/>
          <w:numId w:val="1005"/>
        </w:numPr>
      </w:pPr>
      <w:r>
        <w:rPr>
          <w:b/>
          <w:bCs/>
        </w:rPr>
        <w:t xml:space="preserve">Suppression of Evidence:</w:t>
      </w:r>
      <w:r>
        <w:t xml:space="preserve"> </w:t>
      </w:r>
      <w:r>
        <w:t xml:space="preserve">There are indications Judge McNeill</w:t>
      </w:r>
      <w:r>
        <w:t xml:space="preserve"> </w:t>
      </w:r>
      <w:r>
        <w:rPr>
          <w:b/>
          <w:bCs/>
        </w:rPr>
        <w:t xml:space="preserve">ignored or refused to admit evidence favorable to Andrew</w:t>
      </w:r>
      <w:r>
        <w:t xml:space="preserve">. For example, Andrew had</w:t>
      </w:r>
      <w:r>
        <w:t xml:space="preserve"> </w:t>
      </w:r>
      <w:r>
        <w:rPr>
          <w:b/>
          <w:bCs/>
        </w:rPr>
        <w:t xml:space="preserve">police reports debunking Emily’s claims</w:t>
      </w:r>
      <w:r>
        <w:t xml:space="preserve"> </w:t>
      </w:r>
      <w:r>
        <w:t xml:space="preserve">(like the one showing no evidence of assault, or the one showing Emily’s medical cause was hypertension, not poisoning). It’s unclear if the judge ever reviewed those in depth. Andrew also tried to present</w:t>
      </w:r>
      <w:r>
        <w:t xml:space="preserve"> </w:t>
      </w:r>
      <w:r>
        <w:rPr>
          <w:b/>
          <w:bCs/>
        </w:rPr>
        <w:t xml:space="preserve">AppClose communication logs</w:t>
      </w:r>
      <w:r>
        <w:t xml:space="preserve"> </w:t>
      </w:r>
      <w:r>
        <w:t xml:space="preserve">showing Emily’s cooperative tone at times (contradicting her claims of fear) and instances where she admitted things. The court, however, showed little interest in digging into those details, often limiting proceedings to Emily’s prepared narrative. Additionally, Andrew points out that the</w:t>
      </w:r>
      <w:r>
        <w:t xml:space="preserve"> </w:t>
      </w:r>
      <w:r>
        <w:rPr>
          <w:b/>
          <w:bCs/>
        </w:rPr>
        <w:t xml:space="preserve">court “muted” or silenced him</w:t>
      </w:r>
      <w:r>
        <w:t xml:space="preserve"> </w:t>
      </w:r>
      <w:r>
        <w:t xml:space="preserve">when he attempted to reference inconsistencies or evidence</w:t>
      </w:r>
      <w:hyperlink r:id="rId23">
        <w:r>
          <w:rPr>
            <w:rStyle w:val="Hyperlink"/>
          </w:rPr>
          <w:t xml:space="preserve">[24]</w:t>
        </w:r>
      </w:hyperlink>
      <w:r>
        <w:t xml:space="preserve">. This is effectively suppression by the court. If transcripts were obtained, one might see repeated interruptions or admonitions against Andrew when he raises certain points, which would be evidence of a judge not allowing a fair presentation.</w:t>
      </w:r>
      <w:r>
        <w:t xml:space="preserve"> </w:t>
      </w:r>
      <w:r>
        <w:rPr>
          <w:i/>
          <w:iCs/>
        </w:rPr>
        <w:t xml:space="preserve">(Violation: Party’s right to present a defense; Canon 3B(8) – patience and dignity to litigants)</w:t>
      </w:r>
    </w:p>
    <w:p>
      <w:pPr>
        <w:numPr>
          <w:ilvl w:val="0"/>
          <w:numId w:val="1005"/>
        </w:numPr>
      </w:pPr>
      <w:r>
        <w:rPr>
          <w:b/>
          <w:bCs/>
        </w:rPr>
        <w:t xml:space="preserve">Contempt Procedure Irregularities:</w:t>
      </w:r>
      <w:r>
        <w:t xml:space="preserve"> </w:t>
      </w:r>
      <w:r>
        <w:t xml:space="preserve">The punitive actions (jailing in Feb 2025) raise questions about whether</w:t>
      </w:r>
      <w:r>
        <w:t xml:space="preserve"> </w:t>
      </w:r>
      <w:r>
        <w:rPr>
          <w:b/>
          <w:bCs/>
        </w:rPr>
        <w:t xml:space="preserve">proper contempt procedure</w:t>
      </w:r>
      <w:r>
        <w:t xml:space="preserve"> </w:t>
      </w:r>
      <w:r>
        <w:t xml:space="preserve">was followed. A show cause for criminal (punitive) contempt should be prosecuted by an impartial attorney or the prosecutor, not by the judge on behalf of one party. It’s unclear if that happened or if Judge McNeill essentially acted as prosecutor, judge, and sentencer. Furthermore, Andrew was held for some days (exact duration unknown) – any significant jail time might entitle him to counsel (he did have one, albeit ineffective) and possibly a jury if the aggregate punishment exceeded 6 months (likely it did not here, but the principle is noted). The</w:t>
      </w:r>
      <w:r>
        <w:t xml:space="preserve"> </w:t>
      </w:r>
      <w:r>
        <w:rPr>
          <w:b/>
          <w:bCs/>
        </w:rPr>
        <w:t xml:space="preserve">lack of a clear purge condition</w:t>
      </w:r>
      <w:r>
        <w:t xml:space="preserve"> </w:t>
      </w:r>
      <w:r>
        <w:t xml:space="preserve">(since it was punitive) also means Andrew served time without any way to undo it – essentially punishment for past conduct. If that conduct was merely raising his voice, the punishment seems grossly excessive, implicating Eighth Amendment concerns as well. The judge’s decision to jail him appears less about actual threat and more about</w:t>
      </w:r>
      <w:r>
        <w:t xml:space="preserve"> </w:t>
      </w:r>
      <w:r>
        <w:rPr>
          <w:b/>
          <w:bCs/>
        </w:rPr>
        <w:t xml:space="preserve">silencing and discrediting him</w:t>
      </w:r>
      <w:r>
        <w:t xml:space="preserve"> </w:t>
      </w:r>
      <w:r>
        <w:t xml:space="preserve">(after jailing, it’s easier to label him as a “criminal” or unstable in the custody case). This is an abuse of judicial power if proven.</w:t>
      </w:r>
      <w:r>
        <w:t xml:space="preserve"> </w:t>
      </w:r>
      <w:r>
        <w:rPr>
          <w:i/>
          <w:iCs/>
        </w:rPr>
        <w:t xml:space="preserve">(Violation: MCR 3.606; MCL 600.1715 – contempt penalties; Canon 3B(2) – failure to follow law)</w:t>
      </w:r>
    </w:p>
    <w:p>
      <w:pPr>
        <w:numPr>
          <w:ilvl w:val="0"/>
          <w:numId w:val="1005"/>
        </w:numPr>
      </w:pPr>
      <w:r>
        <w:rPr>
          <w:b/>
          <w:bCs/>
        </w:rPr>
        <w:t xml:space="preserve">Failure to Consider Child’s Best Interests:</w:t>
      </w:r>
      <w:r>
        <w:t xml:space="preserve"> </w:t>
      </w:r>
      <w:r>
        <w:t xml:space="preserve">By siding with Emily’s every request and by not enforcing consequences on her (for withholding LDW or for lying), the court failed to act in the</w:t>
      </w:r>
      <w:r>
        <w:t xml:space="preserve"> </w:t>
      </w:r>
      <w:r>
        <w:rPr>
          <w:b/>
          <w:bCs/>
        </w:rPr>
        <w:t xml:space="preserve">child’s best interests</w:t>
      </w:r>
      <w:r>
        <w:t xml:space="preserve">. Michigan law has a strong policy that a child has a right to a relationship with both parents. When Emily denied parenting time, Judge McNeill did not hold her accountable to the same zeal applied to Andrew. Even after the PPO lapsed, instead of reverting to normal parenting time, the judge entertained an ex parte suspension. This one-sided approach effectively</w:t>
      </w:r>
      <w:r>
        <w:t xml:space="preserve"> </w:t>
      </w:r>
      <w:r>
        <w:rPr>
          <w:b/>
          <w:bCs/>
        </w:rPr>
        <w:t xml:space="preserve">rewarded Emily’s misconduct</w:t>
      </w:r>
      <w:r>
        <w:t xml:space="preserve"> </w:t>
      </w:r>
      <w:r>
        <w:t xml:space="preserve">– the more she misbehaved (causing drama, then claiming fear), the more the court restricted Andrew. This inverted incentive is a structural defect in the court’s handling of the case. It suggests personal bias or at least</w:t>
      </w:r>
      <w:r>
        <w:t xml:space="preserve"> </w:t>
      </w:r>
      <w:r>
        <w:rPr>
          <w:b/>
          <w:bCs/>
        </w:rPr>
        <w:t xml:space="preserve">gross misjudgment</w:t>
      </w:r>
      <w:r>
        <w:t xml:space="preserve"> </w:t>
      </w:r>
      <w:r>
        <w:t xml:space="preserve">on the judge’s part.</w:t>
      </w:r>
      <w:r>
        <w:t xml:space="preserve"> </w:t>
      </w:r>
      <w:r>
        <w:rPr>
          <w:i/>
          <w:iCs/>
        </w:rPr>
        <w:t xml:space="preserve">(Violation: MCL 722.23 (best interest factors) – especially (i) fostering relationship with other parent; Canon 3A(1) – failure to be impartial)</w:t>
      </w:r>
    </w:p>
    <w:p>
      <w:pPr>
        <w:numPr>
          <w:ilvl w:val="0"/>
          <w:numId w:val="1005"/>
        </w:numPr>
      </w:pPr>
      <w:r>
        <w:rPr>
          <w:b/>
          <w:bCs/>
        </w:rPr>
        <w:t xml:space="preserve">First Amendment Consideration:</w:t>
      </w:r>
      <w:r>
        <w:t xml:space="preserve"> </w:t>
      </w:r>
      <w:r>
        <w:t xml:space="preserve">It’s worth noting that much of what Andrew was punished for (yelling, messaging) is</w:t>
      </w:r>
      <w:r>
        <w:t xml:space="preserve"> </w:t>
      </w:r>
      <w:r>
        <w:rPr>
          <w:b/>
          <w:bCs/>
        </w:rPr>
        <w:t xml:space="preserve">speech</w:t>
      </w:r>
      <w:r>
        <w:t xml:space="preserve">. While a PPO can restrict contact, the enforcement must still respect First Amendment limits (one cannot be punished for speech that is not a “true threat” or harassment by a reasonable standard). If Andrew’s raised voice or angry words were non-threatening, punishing him for them treads on constitutional free speech rights. Judge McNeill never analyzed whether any specific words or acts met the legal standard for PPO violation (which requires intent to terrorize, threaten, or violate a no-contact order). By not doing that analysis on the record, she failed to ensure</w:t>
      </w:r>
      <w:r>
        <w:t xml:space="preserve"> </w:t>
      </w:r>
      <w:r>
        <w:rPr>
          <w:b/>
          <w:bCs/>
        </w:rPr>
        <w:t xml:space="preserve">Andrew’s constitutional rights</w:t>
      </w:r>
      <w:r>
        <w:t xml:space="preserve"> </w:t>
      </w:r>
      <w:r>
        <w:t xml:space="preserve">were protected in these quasi-criminal contempt proceedings.</w:t>
      </w:r>
      <w:r>
        <w:t xml:space="preserve"> </w:t>
      </w:r>
      <w:r>
        <w:rPr>
          <w:i/>
          <w:iCs/>
        </w:rPr>
        <w:t xml:space="preserve">(Violation: First Amendment as applied through 14th; abuse of discretion)</w:t>
      </w:r>
    </w:p>
    <w:p>
      <w:pPr>
        <w:pStyle w:val="FirstParagraph"/>
      </w:pPr>
      <w:r>
        <w:t xml:space="preserve">In sum, the pattern in Judge McNeill’s courtroom was</w:t>
      </w:r>
      <w:r>
        <w:t xml:space="preserve"> </w:t>
      </w:r>
      <w:r>
        <w:rPr>
          <w:b/>
          <w:bCs/>
        </w:rPr>
        <w:t xml:space="preserve">antithetical to due process and impartial justice</w:t>
      </w:r>
      <w:r>
        <w:t xml:space="preserve">. Andrew was effectively treated as “guilty until proven innocent,” and even when proven innocent (as in some show-cause dismissals), the damage was done (he had already been jailed or already lost time with his child). These actions warrant serious review. Andrew is compiling transcripts and records to support a</w:t>
      </w:r>
      <w:r>
        <w:t xml:space="preserve"> </w:t>
      </w:r>
      <w:r>
        <w:rPr>
          <w:b/>
          <w:bCs/>
        </w:rPr>
        <w:t xml:space="preserve">judicial grievance or appeal</w:t>
      </w:r>
      <w:r>
        <w:t xml:space="preserve"> </w:t>
      </w:r>
      <w:r>
        <w:t xml:space="preserve">citing these Canon violations and due process errors. If necessary, he is prepared to seek relief in federal court under 42 U.S.C. §1983 for the deprivation of his rights under color of state law</w:t>
      </w:r>
      <w:hyperlink r:id="rId25">
        <w:r>
          <w:rPr>
            <w:rStyle w:val="Hyperlink"/>
          </w:rPr>
          <w:t xml:space="preserve">[101]</w:t>
        </w:r>
      </w:hyperlink>
      <w:r>
        <w:t xml:space="preserve">, as he warned in his filings</w:t>
      </w:r>
      <w:hyperlink r:id="rId25">
        <w:r>
          <w:rPr>
            <w:rStyle w:val="Hyperlink"/>
          </w:rPr>
          <w:t xml:space="preserve">[102]</w:t>
        </w:r>
      </w:hyperlink>
      <w:r>
        <w:t xml:space="preserve">.</w:t>
      </w:r>
      <w:r>
        <w:t xml:space="preserve"> </w:t>
      </w:r>
      <w:r>
        <w:rPr>
          <w:i/>
          <w:iCs/>
        </w:rPr>
        <w:t xml:space="preserve">(MEEK4 outcome sought: accountability and reversal of unjust orders)</w:t>
      </w:r>
    </w:p>
    <w:bookmarkEnd w:id="32"/>
    <w:bookmarkStart w:id="33" w:name="X5dfd505d32441d00c72740479cb711640fd18e0"/>
    <w:p>
      <w:pPr>
        <w:pStyle w:val="Heading2"/>
      </w:pPr>
      <w:r>
        <w:t xml:space="preserve">VI. Evidence Bundles and Indexed Document Sets for Court Use</w:t>
      </w:r>
    </w:p>
    <w:p>
      <w:pPr>
        <w:pStyle w:val="FirstParagraph"/>
      </w:pPr>
      <w:r>
        <w:t xml:space="preserve">To support new complaints and motions,</w:t>
      </w:r>
      <w:r>
        <w:t xml:space="preserve"> </w:t>
      </w:r>
      <w:r>
        <w:rPr>
          <w:b/>
          <w:bCs/>
        </w:rPr>
        <w:t xml:space="preserve">comprehensive evidence bundles</w:t>
      </w:r>
      <w:r>
        <w:t xml:space="preserve"> </w:t>
      </w:r>
      <w:r>
        <w:t xml:space="preserve">will be compiled, each with an indexed list of exhibits and accompanying narrative affidavits. These bundles are organized by case/module for clarity:</w:t>
      </w:r>
    </w:p>
    <w:p>
      <w:pPr>
        <w:pStyle w:val="Compact"/>
        <w:numPr>
          <w:ilvl w:val="0"/>
          <w:numId w:val="1006"/>
        </w:numPr>
      </w:pPr>
      <w:r>
        <w:rPr>
          <w:b/>
          <w:bCs/>
        </w:rPr>
        <w:t xml:space="preserve">Housing Case Bundle (MEEK1):</w:t>
      </w:r>
      <w:r>
        <w:t xml:space="preserve"> </w:t>
      </w:r>
      <w:r>
        <w:t xml:space="preserve">A compiled</w:t>
      </w:r>
      <w:r>
        <w:t xml:space="preserve"> </w:t>
      </w:r>
      <w:r>
        <w:rPr>
          <w:b/>
          <w:bCs/>
        </w:rPr>
        <w:t xml:space="preserve">exhibit binder</w:t>
      </w:r>
      <w:r>
        <w:t xml:space="preserve"> </w:t>
      </w:r>
      <w:r>
        <w:t xml:space="preserve">covering Shady Oaks MHP and Homes of America’s conduct. This includes:</w:t>
      </w:r>
    </w:p>
    <w:p>
      <w:pPr>
        <w:pStyle w:val="Compact"/>
        <w:numPr>
          <w:ilvl w:val="0"/>
          <w:numId w:val="1006"/>
        </w:numPr>
      </w:pPr>
      <w:r>
        <w:t xml:space="preserve">The</w:t>
      </w:r>
      <w:r>
        <w:t xml:space="preserve"> </w:t>
      </w:r>
      <w:r>
        <w:rPr>
          <w:b/>
          <w:bCs/>
        </w:rPr>
        <w:t xml:space="preserve">60th District Court eviction file</w:t>
      </w:r>
      <w:r>
        <w:t xml:space="preserve"> </w:t>
      </w:r>
      <w:r>
        <w:t xml:space="preserve">(pleadings, conditional dismissal order, motions to reopen, and the June 9, 2025 Judgment and Writ) – to show the procedural history and conflicting positions taken by Defendants</w:t>
      </w:r>
      <w:hyperlink r:id="rId24">
        <w:r>
          <w:rPr>
            <w:rStyle w:val="Hyperlink"/>
          </w:rPr>
          <w:t xml:space="preserve">[13]</w:t>
        </w:r>
      </w:hyperlink>
      <w:hyperlink r:id="rId24">
        <w:r>
          <w:rPr>
            <w:rStyle w:val="Hyperlink"/>
          </w:rPr>
          <w:t xml:space="preserve">[31]</w:t>
        </w:r>
      </w:hyperlink>
      <w:r>
        <w:t xml:space="preserve">.</w:t>
      </w:r>
    </w:p>
    <w:p>
      <w:pPr>
        <w:pStyle w:val="Compact"/>
        <w:numPr>
          <w:ilvl w:val="0"/>
          <w:numId w:val="1006"/>
        </w:numPr>
      </w:pPr>
      <w:r>
        <w:rPr>
          <w:b/>
          <w:bCs/>
        </w:rPr>
        <w:t xml:space="preserve">Photos/Videos</w:t>
      </w:r>
      <w:r>
        <w:t xml:space="preserve"> </w:t>
      </w:r>
      <w:r>
        <w:t xml:space="preserve">of the property conditions: sewage backups (dated Feb–Mar 2025), the</w:t>
      </w:r>
      <w:r>
        <w:t xml:space="preserve"> </w:t>
      </w:r>
      <w:r>
        <w:rPr>
          <w:b/>
          <w:bCs/>
        </w:rPr>
        <w:t xml:space="preserve">water shutoff evidence</w:t>
      </w:r>
      <w:r>
        <w:t xml:space="preserve"> </w:t>
      </w:r>
      <w:r>
        <w:t xml:space="preserve">(dry faucets, etc.), and pictures of the eviction aftermath (locks drilled, belongings piled or tagged “FREE”)</w:t>
      </w:r>
      <w:hyperlink r:id="rId24">
        <w:r>
          <w:rPr>
            <w:rStyle w:val="Hyperlink"/>
          </w:rPr>
          <w:t xml:space="preserve">[39]</w:t>
        </w:r>
      </w:hyperlink>
      <w:r>
        <w:t xml:space="preserve">.</w:t>
      </w:r>
    </w:p>
    <w:p>
      <w:pPr>
        <w:pStyle w:val="Compact"/>
        <w:numPr>
          <w:ilvl w:val="0"/>
          <w:numId w:val="1006"/>
        </w:numPr>
      </w:pPr>
      <w:r>
        <w:rPr>
          <w:b/>
          <w:bCs/>
        </w:rPr>
        <w:t xml:space="preserve">Regulatory communications:</w:t>
      </w:r>
      <w:r>
        <w:t xml:space="preserve"> </w:t>
      </w:r>
      <w:r>
        <w:t xml:space="preserve">EGLE complaint reports or Muskegon County health dept. letters confirming sewage leaks and code violations; any</w:t>
      </w:r>
      <w:r>
        <w:t xml:space="preserve"> </w:t>
      </w:r>
      <w:r>
        <w:rPr>
          <w:b/>
          <w:bCs/>
        </w:rPr>
        <w:t xml:space="preserve">license lookup from LARA</w:t>
      </w:r>
      <w:r>
        <w:t xml:space="preserve"> </w:t>
      </w:r>
      <w:r>
        <w:t xml:space="preserve">showing Shady Oaks LLC’s lapsed status</w:t>
      </w:r>
      <w:hyperlink r:id="rId24">
        <w:r>
          <w:rPr>
            <w:rStyle w:val="Hyperlink"/>
          </w:rPr>
          <w:t xml:space="preserve">[63]</w:t>
        </w:r>
      </w:hyperlink>
      <w:r>
        <w:t xml:space="preserve">.</w:t>
      </w:r>
    </w:p>
    <w:p>
      <w:pPr>
        <w:pStyle w:val="Compact"/>
        <w:numPr>
          <w:ilvl w:val="0"/>
          <w:numId w:val="1006"/>
        </w:numPr>
      </w:pPr>
      <w:r>
        <w:rPr>
          <w:b/>
          <w:bCs/>
        </w:rPr>
        <w:t xml:space="preserve">Correspondence</w:t>
      </w:r>
      <w:r>
        <w:t xml:space="preserve"> </w:t>
      </w:r>
      <w:r>
        <w:t xml:space="preserve">with park management: e.g. Andrew’s written complaints about sewage or billing (and any responses). This helps establish notice and retaliation motive.</w:t>
      </w:r>
    </w:p>
    <w:p>
      <w:pPr>
        <w:pStyle w:val="Compact"/>
        <w:numPr>
          <w:ilvl w:val="0"/>
          <w:numId w:val="1006"/>
        </w:numPr>
      </w:pPr>
      <w:r>
        <w:rPr>
          <w:b/>
          <w:bCs/>
        </w:rPr>
        <w:t xml:space="preserve">FOIA results</w:t>
      </w:r>
      <w:r>
        <w:t xml:space="preserve"> </w:t>
      </w:r>
      <w:r>
        <w:t xml:space="preserve">on Homes of America: e.g.</w:t>
      </w:r>
      <w:r>
        <w:t xml:space="preserve"> </w:t>
      </w:r>
      <w:r>
        <w:rPr>
          <w:b/>
          <w:bCs/>
        </w:rPr>
        <w:t xml:space="preserve">LARA filings</w:t>
      </w:r>
      <w:r>
        <w:t xml:space="preserve"> </w:t>
      </w:r>
      <w:r>
        <w:t xml:space="preserve">for Shady Oaks MHP, LLC and Shady Oaks Park MHP II, LLC (showing dissolution dates and registered agents) and any</w:t>
      </w:r>
      <w:r>
        <w:t xml:space="preserve"> </w:t>
      </w:r>
      <w:r>
        <w:rPr>
          <w:b/>
          <w:bCs/>
        </w:rPr>
        <w:t xml:space="preserve">state enforcement letters</w:t>
      </w:r>
      <w:r>
        <w:t xml:space="preserve"> </w:t>
      </w:r>
      <w:r>
        <w:t xml:space="preserve">(if any park inspections or penalties on record).</w:t>
      </w:r>
    </w:p>
    <w:p>
      <w:pPr>
        <w:pStyle w:val="Compact"/>
        <w:numPr>
          <w:ilvl w:val="0"/>
          <w:numId w:val="1006"/>
        </w:numPr>
      </w:pPr>
      <w:r>
        <w:rPr>
          <w:b/>
          <w:bCs/>
        </w:rPr>
        <w:t xml:space="preserve">News articles or legislative reports</w:t>
      </w:r>
      <w:r>
        <w:t xml:space="preserve"> </w:t>
      </w:r>
      <w:r>
        <w:t xml:space="preserve">highlighting Alden Global’s mobile home park practices (to support pattern/RICO allegations)</w:t>
      </w:r>
      <w:hyperlink r:id="rId24">
        <w:r>
          <w:rPr>
            <w:rStyle w:val="Hyperlink"/>
          </w:rPr>
          <w:t xml:space="preserve">[74]</w:t>
        </w:r>
      </w:hyperlink>
      <w:hyperlink r:id="rId24">
        <w:r>
          <w:rPr>
            <w:rStyle w:val="Hyperlink"/>
          </w:rPr>
          <w:t xml:space="preserve">[75]</w:t>
        </w:r>
      </w:hyperlink>
      <w:r>
        <w:t xml:space="preserve">.</w:t>
      </w:r>
    </w:p>
    <w:p>
      <w:pPr>
        <w:pStyle w:val="Compact"/>
        <w:numPr>
          <w:ilvl w:val="0"/>
          <w:numId w:val="1006"/>
        </w:numPr>
      </w:pPr>
      <w:r>
        <w:t xml:space="preserve">A sworn</w:t>
      </w:r>
      <w:r>
        <w:t xml:space="preserve"> </w:t>
      </w:r>
      <w:r>
        <w:rPr>
          <w:b/>
          <w:bCs/>
        </w:rPr>
        <w:t xml:space="preserve">affidavit by Andrew</w:t>
      </w:r>
      <w:r>
        <w:t xml:space="preserve"> </w:t>
      </w:r>
      <w:r>
        <w:t xml:space="preserve">narrating the timeline of events (from lease signing, through rent payments, health complaints, and eviction) with pinpoint references to each exhibit. This affidavit will tie the evidence to specific legal violations (e.g., “Exhibit 14: photo of sewage spill on 3/1/2025 – demonstrates breach of quiet enjoyment and health code; Exhibit 22: Email from Nicole Browley on 5/20/2025 confirming water shutoff – evidence of constructive eviction, etc.”).</w:t>
      </w:r>
    </w:p>
    <w:p>
      <w:pPr>
        <w:numPr>
          <w:ilvl w:val="0"/>
          <w:numId w:val="1006"/>
        </w:numPr>
      </w:pPr>
      <w:r>
        <w:t xml:space="preserve">This bundle is crucial for</w:t>
      </w:r>
      <w:r>
        <w:t xml:space="preserve"> </w:t>
      </w:r>
      <w:r>
        <w:rPr>
          <w:b/>
          <w:bCs/>
        </w:rPr>
        <w:t xml:space="preserve">Andrew’s new housing lawsuit</w:t>
      </w:r>
      <w:r>
        <w:t xml:space="preserve"> </w:t>
      </w:r>
      <w:r>
        <w:t xml:space="preserve">(or as part of his response to the motion to dismiss in 14th Circuit). It will also be useful in any</w:t>
      </w:r>
      <w:r>
        <w:t xml:space="preserve"> </w:t>
      </w:r>
      <w:r>
        <w:rPr>
          <w:b/>
          <w:bCs/>
        </w:rPr>
        <w:t xml:space="preserve">IIED claim</w:t>
      </w:r>
      <w:r>
        <w:t xml:space="preserve"> </w:t>
      </w:r>
      <w:r>
        <w:t xml:space="preserve">against the corporate actors for destroying his home and causing emotional distress.</w:t>
      </w:r>
    </w:p>
    <w:p>
      <w:pPr>
        <w:numPr>
          <w:ilvl w:val="0"/>
          <w:numId w:val="1006"/>
        </w:numPr>
      </w:pPr>
      <w:r>
        <w:rPr>
          <w:b/>
          <w:bCs/>
        </w:rPr>
        <w:t xml:space="preserve">Custody/IIED Case Bundle (MEEK2 &amp; MEEK3):</w:t>
      </w:r>
      <w:r>
        <w:t xml:space="preserve"> </w:t>
      </w:r>
      <w:r>
        <w:t xml:space="preserve">A collection of evidence supporting Andrew’s potential</w:t>
      </w:r>
      <w:r>
        <w:t xml:space="preserve"> </w:t>
      </w:r>
      <w:r>
        <w:rPr>
          <w:b/>
          <w:bCs/>
        </w:rPr>
        <w:t xml:space="preserve">tort suit against Emily Watson (IIED, defamation) and motions in family court</w:t>
      </w:r>
      <w:r>
        <w:t xml:space="preserve"> </w:t>
      </w:r>
      <w:r>
        <w:t xml:space="preserve">(to modify custody or enforce parenting time). Key components:</w:t>
      </w:r>
    </w:p>
    <w:p>
      <w:pPr>
        <w:pStyle w:val="Compact"/>
        <w:numPr>
          <w:ilvl w:val="0"/>
          <w:numId w:val="1006"/>
        </w:numPr>
      </w:pPr>
      <w:r>
        <w:rPr>
          <w:b/>
          <w:bCs/>
        </w:rPr>
        <w:t xml:space="preserve">Norton Shores Police Reports (2019–2025):</w:t>
      </w:r>
      <w:r>
        <w:t xml:space="preserve"> </w:t>
      </w:r>
      <w:r>
        <w:t xml:space="preserve">All relevant NSPD incident reports compiled and labeled (as Exhibits A, B, C, … as in the index)</w:t>
      </w:r>
      <w:hyperlink r:id="rId22">
        <w:r>
          <w:rPr>
            <w:rStyle w:val="Hyperlink"/>
          </w:rPr>
          <w:t xml:space="preserve">[103]</w:t>
        </w:r>
      </w:hyperlink>
      <w:hyperlink r:id="rId22">
        <w:r>
          <w:rPr>
            <w:rStyle w:val="Hyperlink"/>
          </w:rPr>
          <w:t xml:space="preserve">[104]</w:t>
        </w:r>
      </w:hyperlink>
      <w:r>
        <w:t xml:space="preserve">. This set includes reports of alleged harassment, domestic disputes, welfare checks, and custody interference. They are critical for showing</w:t>
      </w:r>
      <w:r>
        <w:t xml:space="preserve"> </w:t>
      </w:r>
      <w:r>
        <w:rPr>
          <w:b/>
          <w:bCs/>
        </w:rPr>
        <w:t xml:space="preserve">no charges were warranted</w:t>
      </w:r>
      <w:r>
        <w:t xml:space="preserve"> </w:t>
      </w:r>
      <w:r>
        <w:t xml:space="preserve">in each instance and for highlighting contradictions (e.g., police noted “no signs of assault” on 10/15/23, etc.). Andrew has already organized these (Exhibit stack A–V) with summaries</w:t>
      </w:r>
      <w:hyperlink r:id="rId22">
        <w:r>
          <w:rPr>
            <w:rStyle w:val="Hyperlink"/>
          </w:rPr>
          <w:t xml:space="preserve">[105]</w:t>
        </w:r>
      </w:hyperlink>
      <w:hyperlink r:id="rId22">
        <w:r>
          <w:rPr>
            <w:rStyle w:val="Hyperlink"/>
          </w:rPr>
          <w:t xml:space="preserve">[106]</w:t>
        </w:r>
      </w:hyperlink>
      <w:r>
        <w:t xml:space="preserve">.</w:t>
      </w:r>
    </w:p>
    <w:p>
      <w:pPr>
        <w:pStyle w:val="Compact"/>
        <w:numPr>
          <w:ilvl w:val="0"/>
          <w:numId w:val="1006"/>
        </w:numPr>
      </w:pPr>
      <w:r>
        <w:rPr>
          <w:b/>
          <w:bCs/>
        </w:rPr>
        <w:t xml:space="preserve">PPO Court Documents:</w:t>
      </w:r>
      <w:r>
        <w:t xml:space="preserve"> </w:t>
      </w:r>
      <w:r>
        <w:t xml:space="preserve">The original PPO petition and affidavit (to show what Emily claimed under oath), the PPO itself, and transcripts from</w:t>
      </w:r>
      <w:r>
        <w:t xml:space="preserve"> </w:t>
      </w:r>
      <w:r>
        <w:rPr>
          <w:b/>
          <w:bCs/>
        </w:rPr>
        <w:t xml:space="preserve">PPO violation hearings</w:t>
      </w:r>
      <w:r>
        <w:t xml:space="preserve"> </w:t>
      </w:r>
      <w:r>
        <w:t xml:space="preserve">(especially any transcript where the judge made statements or where Emily testified). One crucial transcript is from</w:t>
      </w:r>
      <w:r>
        <w:t xml:space="preserve"> </w:t>
      </w:r>
      <w:r>
        <w:rPr>
          <w:b/>
          <w:bCs/>
        </w:rPr>
        <w:t xml:space="preserve">October 2024</w:t>
      </w:r>
      <w:r>
        <w:t xml:space="preserve"> </w:t>
      </w:r>
      <w:r>
        <w:t xml:space="preserve">(Show Cause #3) which led to dismissal – Emily’s admissions or lack of evidence therein are valuable. Another is from</w:t>
      </w:r>
      <w:r>
        <w:t xml:space="preserve"> </w:t>
      </w:r>
      <w:r>
        <w:rPr>
          <w:b/>
          <w:bCs/>
        </w:rPr>
        <w:t xml:space="preserve">February 2025</w:t>
      </w:r>
      <w:r>
        <w:t xml:space="preserve"> </w:t>
      </w:r>
      <w:r>
        <w:t xml:space="preserve">when Andrew was jailed – revealing how minor the alleged “violation” was (e.g., if the judge or Emily described it as merely yelling). These transcripts can evidence judicial demeanor and lack of findings (MEEK4 issues) as well.</w:t>
      </w:r>
    </w:p>
    <w:p>
      <w:pPr>
        <w:pStyle w:val="Compact"/>
        <w:numPr>
          <w:ilvl w:val="0"/>
          <w:numId w:val="1006"/>
        </w:numPr>
      </w:pPr>
      <w:r>
        <w:rPr>
          <w:b/>
          <w:bCs/>
        </w:rPr>
        <w:t xml:space="preserve">AppClose Communication Log:</w:t>
      </w:r>
      <w:r>
        <w:t xml:space="preserve"> </w:t>
      </w:r>
      <w:r>
        <w:t xml:space="preserve">An export of all co-parenting communications between Andrew and Emily from 2023–2025. Andrew has such a log (“AppClose Report”)</w:t>
      </w:r>
      <w:hyperlink r:id="rId23">
        <w:r>
          <w:rPr>
            <w:rStyle w:val="Hyperlink"/>
          </w:rPr>
          <w:t xml:space="preserve">[107]</w:t>
        </w:r>
      </w:hyperlink>
      <w:r>
        <w:t xml:space="preserve">. This will be distilled to highlight: times Emily agreed to exchanges or conversely times she failed to respond, any polite or friendly messages she sent (undermining her claims of fear), and instances where Andrew attempted to see his son or discuss issues calmly. This log rebuts the narrative that Andrew was threatening or uncooperative – it actually shows</w:t>
      </w:r>
      <w:r>
        <w:t xml:space="preserve"> </w:t>
      </w:r>
      <w:r>
        <w:rPr>
          <w:b/>
          <w:bCs/>
        </w:rPr>
        <w:t xml:space="preserve">Emily often ghosting or instigating conflict</w:t>
      </w:r>
      <w:r>
        <w:t xml:space="preserve">.</w:t>
      </w:r>
    </w:p>
    <w:p>
      <w:pPr>
        <w:pStyle w:val="Compact"/>
        <w:numPr>
          <w:ilvl w:val="0"/>
          <w:numId w:val="1006"/>
        </w:numPr>
      </w:pPr>
      <w:r>
        <w:rPr>
          <w:b/>
          <w:bCs/>
        </w:rPr>
        <w:t xml:space="preserve">Medical Records &amp; Expert Statements:</w:t>
      </w:r>
      <w:r>
        <w:t xml:space="preserve"> </w:t>
      </w:r>
      <w:r>
        <w:t xml:space="preserve">Documentation of Emily’s</w:t>
      </w:r>
      <w:r>
        <w:t xml:space="preserve"> </w:t>
      </w:r>
      <w:r>
        <w:rPr>
          <w:b/>
          <w:bCs/>
        </w:rPr>
        <w:t xml:space="preserve">medical evaluation on 11/16/2023</w:t>
      </w:r>
      <w:r>
        <w:t xml:space="preserve"> </w:t>
      </w:r>
      <w:r>
        <w:t xml:space="preserve">(ER or doctor report showing hypertensive urgency, no poison detected) and possibly a toxicology report if one was done (likely none showed poison). Also, any records of Emily’s known health conditions (lupus, etc.) that explain her symptoms without blaming Andrew. If obtainable, statements from first responders (paramedics/police) on that incident confirming it was a false alarm. This directly refutes her most shocking claim (poisoning).</w:t>
      </w:r>
    </w:p>
    <w:p>
      <w:pPr>
        <w:pStyle w:val="Compact"/>
        <w:numPr>
          <w:ilvl w:val="0"/>
          <w:numId w:val="1006"/>
        </w:numPr>
      </w:pPr>
      <w:r>
        <w:rPr>
          <w:b/>
          <w:bCs/>
        </w:rPr>
        <w:t xml:space="preserve">Family Court Orders:</w:t>
      </w:r>
      <w:r>
        <w:t xml:space="preserve"> </w:t>
      </w:r>
      <w:r>
        <w:t xml:space="preserve">All orders from case 24-01507-DC – e.g., the initial custody order (Aug 23, 2024), any stipulated parenting plan, the Aug 8, 2025 suspension order, and the Sep 9, 2025 order after objection. By reviewing these, one can demonstrate</w:t>
      </w:r>
      <w:r>
        <w:t xml:space="preserve"> </w:t>
      </w:r>
      <w:r>
        <w:rPr>
          <w:b/>
          <w:bCs/>
        </w:rPr>
        <w:t xml:space="preserve">lack of findings</w:t>
      </w:r>
      <w:r>
        <w:t xml:space="preserve"> </w:t>
      </w:r>
      <w:r>
        <w:t xml:space="preserve">and how the court swung from a presumably standard custody arrangement in 2024 to a total suspension in 2025 without new evidence of wrongdoing by Andrew.</w:t>
      </w:r>
    </w:p>
    <w:p>
      <w:pPr>
        <w:pStyle w:val="Compact"/>
        <w:numPr>
          <w:ilvl w:val="0"/>
          <w:numId w:val="1006"/>
        </w:numPr>
      </w:pPr>
      <w:r>
        <w:rPr>
          <w:b/>
          <w:bCs/>
        </w:rPr>
        <w:t xml:space="preserve">Emily’s Financial Disclosures:</w:t>
      </w:r>
      <w:r>
        <w:t xml:space="preserve"> </w:t>
      </w:r>
      <w:r>
        <w:t xml:space="preserve">Copies of Emily’s</w:t>
      </w:r>
      <w:r>
        <w:t xml:space="preserve"> </w:t>
      </w:r>
      <w:r>
        <w:rPr>
          <w:b/>
          <w:bCs/>
        </w:rPr>
        <w:t xml:space="preserve">FOC financial affidavit</w:t>
      </w:r>
      <w:r>
        <w:t xml:space="preserve"> </w:t>
      </w:r>
      <w:r>
        <w:t xml:space="preserve">or support calculations, alongside evidence of omitted income (e.g., a</w:t>
      </w:r>
      <w:r>
        <w:t xml:space="preserve"> </w:t>
      </w:r>
      <w:r>
        <w:rPr>
          <w:b/>
          <w:bCs/>
        </w:rPr>
        <w:t xml:space="preserve">signed statement or deposition of Cody Watson</w:t>
      </w:r>
      <w:r>
        <w:t xml:space="preserve"> </w:t>
      </w:r>
      <w:r>
        <w:t xml:space="preserve">confirming he paid her rent, copies of checks or Venmo, etc., and documentation of child support she receives for her older child). Also include the</w:t>
      </w:r>
      <w:r>
        <w:t xml:space="preserve"> </w:t>
      </w:r>
      <w:r>
        <w:rPr>
          <w:b/>
          <w:bCs/>
        </w:rPr>
        <w:t xml:space="preserve">Kent County HR letter (FOIA)</w:t>
      </w:r>
      <w:r>
        <w:t xml:space="preserve"> </w:t>
      </w:r>
      <w:r>
        <w:t xml:space="preserve">showing employee benefit contributions (to prove she lied about insurance costs)</w:t>
      </w:r>
      <w:hyperlink r:id="rId21">
        <w:r>
          <w:rPr>
            <w:rStyle w:val="Hyperlink"/>
          </w:rPr>
          <w:t xml:space="preserve">[84]</w:t>
        </w:r>
      </w:hyperlink>
      <w:r>
        <w:t xml:space="preserve">. These exhibits support that Emily committed</w:t>
      </w:r>
      <w:r>
        <w:t xml:space="preserve"> </w:t>
      </w:r>
      <w:r>
        <w:rPr>
          <w:b/>
          <w:bCs/>
        </w:rPr>
        <w:t xml:space="preserve">fraud on the court</w:t>
      </w:r>
      <w:r>
        <w:t xml:space="preserve"> </w:t>
      </w:r>
      <w:r>
        <w:t xml:space="preserve">in the support context, bolstering Andrew’s claims of her dishonest character (useful for both custody credibility and a potential fraud/misrepresentation claim).</w:t>
      </w:r>
    </w:p>
    <w:p>
      <w:pPr>
        <w:pStyle w:val="Compact"/>
        <w:numPr>
          <w:ilvl w:val="0"/>
          <w:numId w:val="1006"/>
        </w:numPr>
      </w:pPr>
      <w:r>
        <w:rPr>
          <w:b/>
          <w:bCs/>
        </w:rPr>
        <w:t xml:space="preserve">Affidavit of Andrew (Custody/IIED):</w:t>
      </w:r>
      <w:r>
        <w:t xml:space="preserve"> </w:t>
      </w:r>
      <w:r>
        <w:t xml:space="preserve">A detailed affidavit where Andrew swears to the factual history: every instance of false allegation (with date, what was said, outcome), every period he was denied his son, and the emotional and practical toll these caused. He will reference the police reports (“See Exhibit J, NSPD report 3/29/24, showing Lori Watson called police to remove me from picking up my son…”)</w:t>
      </w:r>
      <w:hyperlink r:id="rId22">
        <w:r>
          <w:rPr>
            <w:rStyle w:val="Hyperlink"/>
          </w:rPr>
          <w:t xml:space="preserve">[10]</w:t>
        </w:r>
      </w:hyperlink>
      <w:r>
        <w:t xml:space="preserve">, transcripts (“See Exhibit Q, PPO hearing transcript 10/30/24, where Judge noted lack of evidence…”) and so on. This narrative establishes</w:t>
      </w:r>
      <w:r>
        <w:t xml:space="preserve"> </w:t>
      </w:r>
      <w:r>
        <w:rPr>
          <w:b/>
          <w:bCs/>
        </w:rPr>
        <w:t xml:space="preserve">intentional infliction of emotional distress</w:t>
      </w:r>
      <w:r>
        <w:t xml:space="preserve"> </w:t>
      </w:r>
      <w:r>
        <w:t xml:space="preserve">– that Emily’s extreme conduct was deliberate and caused severe harm. It also supports a</w:t>
      </w:r>
      <w:r>
        <w:t xml:space="preserve"> </w:t>
      </w:r>
      <w:r>
        <w:rPr>
          <w:b/>
          <w:bCs/>
        </w:rPr>
        <w:t xml:space="preserve">motion to change custody</w:t>
      </w:r>
      <w:r>
        <w:t xml:space="preserve"> </w:t>
      </w:r>
      <w:r>
        <w:t xml:space="preserve">(showing Emily’s actions endangered the child’s well-being by denying him a father and surrounding exchanges with conflict).</w:t>
      </w:r>
    </w:p>
    <w:p>
      <w:pPr>
        <w:numPr>
          <w:ilvl w:val="0"/>
          <w:numId w:val="1006"/>
        </w:numPr>
      </w:pPr>
      <w:r>
        <w:rPr>
          <w:b/>
          <w:bCs/>
        </w:rPr>
        <w:t xml:space="preserve">Proposed Parenting Plan:</w:t>
      </w:r>
      <w:r>
        <w:t xml:space="preserve"> </w:t>
      </w:r>
      <w:r>
        <w:t xml:space="preserve">To show the court a constructive path forward, Andrew can include a proposed order restoring his parenting time (perhaps with make-up time) and requiring</w:t>
      </w:r>
      <w:r>
        <w:t xml:space="preserve"> </w:t>
      </w:r>
      <w:r>
        <w:rPr>
          <w:b/>
          <w:bCs/>
        </w:rPr>
        <w:t xml:space="preserve">graduated sanctions on Emily</w:t>
      </w:r>
      <w:r>
        <w:t xml:space="preserve"> </w:t>
      </w:r>
      <w:r>
        <w:t xml:space="preserve">if she interferes again (e.g. makeup time, monetary fines, ultimately change of custody if pattern continues). This isn’t “evidence” per se, but a necessary part of the remedy he seeks in the family court context.</w:t>
      </w:r>
    </w:p>
    <w:p>
      <w:pPr>
        <w:numPr>
          <w:ilvl w:val="0"/>
          <w:numId w:val="1006"/>
        </w:numPr>
      </w:pPr>
      <w:r>
        <w:rPr>
          <w:b/>
          <w:bCs/>
        </w:rPr>
        <w:t xml:space="preserve">Judicial Misconduct Evidence Set (MEEK4):</w:t>
      </w:r>
      <w:r>
        <w:t xml:space="preserve"> </w:t>
      </w:r>
      <w:r>
        <w:t xml:space="preserve">If pursuing a complaint against Judge McNeill or an appeal:</w:t>
      </w:r>
    </w:p>
    <w:p>
      <w:pPr>
        <w:pStyle w:val="Compact"/>
        <w:numPr>
          <w:ilvl w:val="0"/>
          <w:numId w:val="1006"/>
        </w:numPr>
      </w:pPr>
      <w:r>
        <w:rPr>
          <w:b/>
          <w:bCs/>
        </w:rPr>
        <w:t xml:space="preserve">Transcripts highlighting judicial conduct:</w:t>
      </w:r>
      <w:r>
        <w:t xml:space="preserve"> </w:t>
      </w:r>
      <w:r>
        <w:t xml:space="preserve">Key excerpts where the judge’s partiality or errors are evident. For example, a</w:t>
      </w:r>
      <w:r>
        <w:t xml:space="preserve"> </w:t>
      </w:r>
      <w:r>
        <w:rPr>
          <w:b/>
          <w:bCs/>
        </w:rPr>
        <w:t xml:space="preserve">transcript of the Feb 2025 contempt sentencing</w:t>
      </w:r>
      <w:r>
        <w:t xml:space="preserve"> </w:t>
      </w:r>
      <w:r>
        <w:t xml:space="preserve">(likely where the judge admonishes Andrew harshly for something minor – capturing tone), and transcripts of the Aug/Sep 2025 hearings (showing the judge refused to reinstate parenting time despite lack of new harm). Also a transcript of any proceeding where the judge ignored Emily’s misdeeds (e.g. if Andrew’s attorney brought up her withholding the child and the judge glossed over it). These will be cited in any appellate brief or judicial tenure grievance.</w:t>
      </w:r>
    </w:p>
    <w:p>
      <w:pPr>
        <w:pStyle w:val="Compact"/>
        <w:numPr>
          <w:ilvl w:val="0"/>
          <w:numId w:val="1006"/>
        </w:numPr>
      </w:pPr>
      <w:r>
        <w:rPr>
          <w:b/>
          <w:bCs/>
        </w:rPr>
        <w:t xml:space="preserve">Record of ex parte communications or irregular orders:</w:t>
      </w:r>
      <w:r>
        <w:t xml:space="preserve"> </w:t>
      </w:r>
      <w:r>
        <w:t xml:space="preserve">If any, like the fact that Emily’s attorney drafted orders that the judge signed without modification. The</w:t>
      </w:r>
      <w:r>
        <w:t xml:space="preserve"> </w:t>
      </w:r>
      <w:r>
        <w:rPr>
          <w:b/>
          <w:bCs/>
        </w:rPr>
        <w:t xml:space="preserve">proposed order and signed order for the Aug 8 suspension</w:t>
      </w:r>
      <w:r>
        <w:t xml:space="preserve"> </w:t>
      </w:r>
      <w:r>
        <w:t xml:space="preserve">(if they can be obtained) can be compared – likely identical, evidencing the judge didn’t add independent judgment. Similarly, the</w:t>
      </w:r>
      <w:r>
        <w:t xml:space="preserve"> </w:t>
      </w:r>
      <w:r>
        <w:rPr>
          <w:b/>
          <w:bCs/>
        </w:rPr>
        <w:t xml:space="preserve">proposed dismissal order of Aug 12, 2025</w:t>
      </w:r>
      <w:r>
        <w:t xml:space="preserve"> </w:t>
      </w:r>
      <w:r>
        <w:t xml:space="preserve">and any actual order entered (if entered) should be compared to show whether the judge simply signed off.</w:t>
      </w:r>
    </w:p>
    <w:p>
      <w:pPr>
        <w:pStyle w:val="Compact"/>
        <w:numPr>
          <w:ilvl w:val="0"/>
          <w:numId w:val="1006"/>
        </w:numPr>
      </w:pPr>
      <w:r>
        <w:rPr>
          <w:b/>
          <w:bCs/>
        </w:rPr>
        <w:t xml:space="preserve">Correspondence or Timing Evidence:</w:t>
      </w:r>
      <w:r>
        <w:t xml:space="preserve"> </w:t>
      </w:r>
      <w:r>
        <w:t xml:space="preserve">E.g., envelopes with late postmarks (the suspension order mailed 6 days after entry)</w:t>
      </w:r>
      <w:hyperlink r:id="rId23">
        <w:r>
          <w:rPr>
            <w:rStyle w:val="Hyperlink"/>
          </w:rPr>
          <w:t xml:space="preserve">[47]</w:t>
        </w:r>
      </w:hyperlink>
      <w:r>
        <w:t xml:space="preserve">, or proof Andrew only received certain filings after decisions were made – all to show procedural unfairness.</w:t>
      </w:r>
    </w:p>
    <w:p>
      <w:pPr>
        <w:pStyle w:val="Compact"/>
        <w:numPr>
          <w:ilvl w:val="0"/>
          <w:numId w:val="1006"/>
        </w:numPr>
      </w:pPr>
      <w:r>
        <w:rPr>
          <w:b/>
          <w:bCs/>
        </w:rPr>
        <w:t xml:space="preserve">Affidavit from Andrew’s former attorney (if available):</w:t>
      </w:r>
      <w:r>
        <w:t xml:space="preserve"> </w:t>
      </w:r>
      <w:r>
        <w:t xml:space="preserve">If Mandi Martini or any counsel is willing to provide insight (even confidentially) that the judge was not receptive or that normal procedure wasn’t followed, that could be powerful. But this may be hard to get. Alternatively, Andrew’s own affidavit attesting to what occurred (e.g.,</w:t>
      </w:r>
      <w:r>
        <w:t xml:space="preserve"> </w:t>
      </w:r>
      <w:r>
        <w:rPr>
          <w:i/>
          <w:iCs/>
        </w:rPr>
        <w:t xml:space="preserve">“During the hearing, whenever I tried to mention inconsistency in Ms. Watson’s story, Judge McNeill told me to ‘be quiet’ and refused to let my witness speak…”) can support his claims.</w:t>
      </w:r>
    </w:p>
    <w:p>
      <w:pPr>
        <w:pStyle w:val="Compact"/>
        <w:numPr>
          <w:ilvl w:val="0"/>
          <w:numId w:val="1006"/>
        </w:numPr>
      </w:pPr>
      <w:r>
        <w:rPr>
          <w:b/>
          <w:bCs/>
        </w:rPr>
        <w:t xml:space="preserve">Michigan Judicial Tenure Commission (JTC) guidelines or prior cases:</w:t>
      </w:r>
      <w:r>
        <w:t xml:space="preserve"> </w:t>
      </w:r>
      <w:r>
        <w:t xml:space="preserve">Not evidence per se, but including references to analogous discipline cases (e.g. judges disciplined for jailing without due process or showing bias) can underscore the seriousness. This set would be used if Andrew files a</w:t>
      </w:r>
      <w:r>
        <w:t xml:space="preserve"> </w:t>
      </w:r>
      <w:r>
        <w:rPr>
          <w:b/>
          <w:bCs/>
        </w:rPr>
        <w:t xml:space="preserve">JTC complaint</w:t>
      </w:r>
      <w:r>
        <w:t xml:space="preserve"> </w:t>
      </w:r>
      <w:r>
        <w:t xml:space="preserve">or in a</w:t>
      </w:r>
      <w:r>
        <w:t xml:space="preserve"> </w:t>
      </w:r>
      <w:r>
        <w:rPr>
          <w:b/>
          <w:bCs/>
        </w:rPr>
        <w:t xml:space="preserve">42 U.S.C. §1983 lawsuit</w:t>
      </w:r>
      <w:r>
        <w:t xml:space="preserve"> </w:t>
      </w:r>
      <w:r>
        <w:t xml:space="preserve">against the judge (though judges have immunity for judicial acts, evidence of a pattern of bias could support extraordinary relief or at least add context in federal court if he claims prospective relief).</w:t>
      </w:r>
    </w:p>
    <w:p>
      <w:pPr>
        <w:pStyle w:val="Compact"/>
        <w:numPr>
          <w:ilvl w:val="0"/>
          <w:numId w:val="1006"/>
        </w:numPr>
      </w:pPr>
      <w:r>
        <w:t xml:space="preserve">In summary, this bundle is more about collating the</w:t>
      </w:r>
      <w:r>
        <w:t xml:space="preserve"> </w:t>
      </w:r>
      <w:r>
        <w:rPr>
          <w:b/>
          <w:bCs/>
        </w:rPr>
        <w:t xml:space="preserve">court record</w:t>
      </w:r>
      <w:r>
        <w:t xml:space="preserve"> </w:t>
      </w:r>
      <w:r>
        <w:t xml:space="preserve">to shine a light on irregularities.</w:t>
      </w:r>
    </w:p>
    <w:p>
      <w:pPr>
        <w:pStyle w:val="FirstParagraph"/>
      </w:pPr>
      <w:r>
        <w:t xml:space="preserve">All these evidence sets will be prepared as</w:t>
      </w:r>
      <w:r>
        <w:t xml:space="preserve"> </w:t>
      </w:r>
      <w:r>
        <w:rPr>
          <w:b/>
          <w:bCs/>
        </w:rPr>
        <w:t xml:space="preserve">ZIP folders</w:t>
      </w:r>
      <w:r>
        <w:t xml:space="preserve"> </w:t>
      </w:r>
      <w:r>
        <w:t xml:space="preserve">(or PDF portfolios) for easy electronic filing via MiFILE and for sharing with oversight bodies or opposing counsel. Each ZIP will contain the exhibits labeled in order and a master index (DOCX or PDF) describing each file (exhibit number, description, relevance). This way, Andrew or any reviewing entity (judge, investigator) can quickly navigate the proof of each allegation.</w:t>
      </w:r>
    </w:p>
    <w:bookmarkEnd w:id="33"/>
    <w:bookmarkStart w:id="35" w:name="X97e9f8ad1a34525eb19d7d80cabaeb94c3f92ae"/>
    <w:p>
      <w:pPr>
        <w:pStyle w:val="Heading2"/>
      </w:pPr>
      <w:r>
        <w:t xml:space="preserve">VII. Targeted Subsets: Falsehoods, Contradictions, and Due Process Defects</w:t>
      </w:r>
    </w:p>
    <w:p>
      <w:pPr>
        <w:pStyle w:val="FirstParagraph"/>
      </w:pPr>
      <w:r>
        <w:t xml:space="preserve">In addition to the main bundles, we will curate</w:t>
      </w:r>
      <w:r>
        <w:t xml:space="preserve"> </w:t>
      </w:r>
      <w:r>
        <w:rPr>
          <w:b/>
          <w:bCs/>
        </w:rPr>
        <w:t xml:space="preserve">focused subsets</w:t>
      </w:r>
      <w:r>
        <w:t xml:space="preserve"> </w:t>
      </w:r>
      <w:r>
        <w:t xml:space="preserve">of evidence isolating specific themes:</w:t>
      </w:r>
      <w:r>
        <w:t xml:space="preserve"> </w:t>
      </w:r>
      <w:r>
        <w:rPr>
          <w:b/>
          <w:bCs/>
        </w:rPr>
        <w:t xml:space="preserve">(A)</w:t>
      </w:r>
      <w:r>
        <w:t xml:space="preserve"> </w:t>
      </w:r>
      <w:r>
        <w:t xml:space="preserve">demonstrable false statements by opposing parties,</w:t>
      </w:r>
      <w:r>
        <w:t xml:space="preserve"> </w:t>
      </w:r>
      <w:r>
        <w:rPr>
          <w:b/>
          <w:bCs/>
        </w:rPr>
        <w:t xml:space="preserve">(B)</w:t>
      </w:r>
      <w:r>
        <w:t xml:space="preserve"> </w:t>
      </w:r>
      <w:r>
        <w:t xml:space="preserve">procedural due process failures, and</w:t>
      </w:r>
      <w:r>
        <w:t xml:space="preserve"> </w:t>
      </w:r>
      <w:r>
        <w:rPr>
          <w:b/>
          <w:bCs/>
        </w:rPr>
        <w:t xml:space="preserve">(C)</w:t>
      </w:r>
      <w:r>
        <w:t xml:space="preserve"> </w:t>
      </w:r>
      <w:r>
        <w:t xml:space="preserve">instances of evidence suppression or spoliation. These subsets serve as ready reference packets for court arguments or new complaints.</w:t>
      </w:r>
    </w:p>
    <w:p>
      <w:pPr>
        <w:pStyle w:val="BodyText"/>
      </w:pPr>
      <w:r>
        <w:rPr>
          <w:b/>
          <w:bCs/>
        </w:rPr>
        <w:t xml:space="preserve">A. Falsehoods &amp; Contradictions Dossier:</w:t>
      </w:r>
      <w:r>
        <w:t xml:space="preserve"> </w:t>
      </w:r>
      <w:r>
        <w:t xml:space="preserve">A set of items showing each major lie and its refutation, useful for impeachment and possibly a claim of</w:t>
      </w:r>
      <w:r>
        <w:t xml:space="preserve"> </w:t>
      </w:r>
      <w:r>
        <w:rPr>
          <w:b/>
          <w:bCs/>
        </w:rPr>
        <w:t xml:space="preserve">fraud upon the court</w:t>
      </w:r>
      <w:r>
        <w:t xml:space="preserve">:</w:t>
      </w:r>
    </w:p>
    <w:p>
      <w:pPr>
        <w:pStyle w:val="Compact"/>
        <w:numPr>
          <w:ilvl w:val="0"/>
          <w:numId w:val="1007"/>
        </w:numPr>
      </w:pPr>
      <w:r>
        <w:rPr>
          <w:b/>
          <w:bCs/>
        </w:rPr>
        <w:t xml:space="preserve">Emily’s Arsenic Poisoning Claim – Refuted:</w:t>
      </w:r>
      <w:r>
        <w:t xml:space="preserve"> </w:t>
      </w:r>
      <w:r>
        <w:t xml:space="preserve">Side-by-side exhibit of Emily’s written allegation (from her PPO affidavit or police statement:</w:t>
      </w:r>
      <w:r>
        <w:t xml:space="preserve"> </w:t>
      </w:r>
      <w:r>
        <w:rPr>
          <w:i/>
          <w:iCs/>
        </w:rPr>
        <w:t xml:space="preserve">“unknown liquid in mason jar, I felt ill, etc.”</w:t>
      </w:r>
      <w:r>
        <w:t xml:space="preserve">) with the</w:t>
      </w:r>
      <w:r>
        <w:t xml:space="preserve"> </w:t>
      </w:r>
      <w:r>
        <w:rPr>
          <w:b/>
          <w:bCs/>
        </w:rPr>
        <w:t xml:space="preserve">medical report</w:t>
      </w:r>
      <w:r>
        <w:t xml:space="preserve"> </w:t>
      </w:r>
      <w:r>
        <w:t xml:space="preserve">indicating no poison found and doctor’s note attributing illness to hypertension</w:t>
      </w:r>
      <w:hyperlink r:id="rId21">
        <w:r>
          <w:rPr>
            <w:rStyle w:val="Hyperlink"/>
          </w:rPr>
          <w:t xml:space="preserve">[3]</w:t>
        </w:r>
      </w:hyperlink>
      <w:r>
        <w:t xml:space="preserve">. Also, Emily’s text to her mother saying “feeling dizzy, might be my BP” (if exists) to contrast what she told authorities. This shows a</w:t>
      </w:r>
      <w:r>
        <w:t xml:space="preserve"> </w:t>
      </w:r>
      <w:r>
        <w:rPr>
          <w:b/>
          <w:bCs/>
        </w:rPr>
        <w:t xml:space="preserve">contradiction in her narrative</w:t>
      </w:r>
      <w:r>
        <w:t xml:space="preserve">.</w:t>
      </w:r>
    </w:p>
    <w:p>
      <w:pPr>
        <w:pStyle w:val="Compact"/>
        <w:numPr>
          <w:ilvl w:val="0"/>
          <w:numId w:val="1007"/>
        </w:numPr>
      </w:pPr>
      <w:r>
        <w:rPr>
          <w:b/>
          <w:bCs/>
        </w:rPr>
        <w:t xml:space="preserve">Assault Allegation – Contradiction:</w:t>
      </w:r>
      <w:r>
        <w:t xml:space="preserve"> </w:t>
      </w:r>
      <w:r>
        <w:t xml:space="preserve">Emily’s claim of Oct 15, 2023 assault vs.</w:t>
      </w:r>
      <w:r>
        <w:t xml:space="preserve"> </w:t>
      </w:r>
      <w:r>
        <w:rPr>
          <w:b/>
          <w:bCs/>
        </w:rPr>
        <w:t xml:space="preserve">NSPD report</w:t>
      </w:r>
      <w:r>
        <w:t xml:space="preserve"> </w:t>
      </w:r>
      <w:r>
        <w:t xml:space="preserve">stating</w:t>
      </w:r>
      <w:r>
        <w:t xml:space="preserve"> </w:t>
      </w:r>
      <w:r>
        <w:rPr>
          <w:i/>
          <w:iCs/>
        </w:rPr>
        <w:t xml:space="preserve">“no evidence of assault, no injuries”</w:t>
      </w:r>
      <w:hyperlink r:id="rId21">
        <w:r>
          <w:rPr>
            <w:rStyle w:val="Hyperlink"/>
          </w:rPr>
          <w:t xml:space="preserve">[1]</w:t>
        </w:r>
      </w:hyperlink>
      <w:r>
        <w:t xml:space="preserve">. Additionally, Emily did not pursue a criminal complaint afterward, undermining her credibility.</w:t>
      </w:r>
    </w:p>
    <w:p>
      <w:pPr>
        <w:pStyle w:val="Compact"/>
        <w:numPr>
          <w:ilvl w:val="0"/>
          <w:numId w:val="1007"/>
        </w:numPr>
      </w:pPr>
      <w:r>
        <w:rPr>
          <w:b/>
          <w:bCs/>
        </w:rPr>
        <w:t xml:space="preserve">PPO Violation Claims vs Outcome:</w:t>
      </w:r>
      <w:r>
        <w:t xml:space="preserve"> </w:t>
      </w:r>
      <w:r>
        <w:t xml:space="preserve">For each Show Cause that was dismissed, highlight what Emily</w:t>
      </w:r>
      <w:r>
        <w:t xml:space="preserve"> </w:t>
      </w:r>
      <w:r>
        <w:rPr>
          <w:b/>
          <w:bCs/>
        </w:rPr>
        <w:t xml:space="preserve">accused Andrew of</w:t>
      </w:r>
      <w:r>
        <w:t xml:space="preserve"> </w:t>
      </w:r>
      <w:r>
        <w:t xml:space="preserve">(e.g. “contacting me via third party”) vs. what the</w:t>
      </w:r>
      <w:r>
        <w:t xml:space="preserve"> </w:t>
      </w:r>
      <w:r>
        <w:rPr>
          <w:b/>
          <w:bCs/>
        </w:rPr>
        <w:t xml:space="preserve">court found</w:t>
      </w:r>
      <w:r>
        <w:t xml:space="preserve"> </w:t>
      </w:r>
      <w:r>
        <w:t xml:space="preserve">(e.g. no sufficient proof or that contact was allowed for child exchanges). The dismissals in the record (Show Cause #3, etc.) serve as formal findings that those allegations were false or unproven</w:t>
      </w:r>
      <w:hyperlink r:id="rId23">
        <w:r>
          <w:rPr>
            <w:rStyle w:val="Hyperlink"/>
          </w:rPr>
          <w:t xml:space="preserve">[21]</w:t>
        </w:r>
      </w:hyperlink>
      <w:r>
        <w:t xml:space="preserve">.</w:t>
      </w:r>
    </w:p>
    <w:p>
      <w:pPr>
        <w:pStyle w:val="Compact"/>
        <w:numPr>
          <w:ilvl w:val="0"/>
          <w:numId w:val="1007"/>
        </w:numPr>
      </w:pPr>
      <w:r>
        <w:rPr>
          <w:b/>
          <w:bCs/>
        </w:rPr>
        <w:t xml:space="preserve">Financial Misrepresentation:</w:t>
      </w:r>
      <w:r>
        <w:t xml:space="preserve"> </w:t>
      </w:r>
      <w:r>
        <w:t xml:space="preserve">Emily’s court-filed financial statement (exhibit of her listed income/expenses) vs.</w:t>
      </w:r>
      <w:r>
        <w:t xml:space="preserve"> </w:t>
      </w:r>
      <w:r>
        <w:rPr>
          <w:b/>
          <w:bCs/>
        </w:rPr>
        <w:t xml:space="preserve">evidence of omitted income</w:t>
      </w:r>
      <w:r>
        <w:t xml:space="preserve"> </w:t>
      </w:r>
      <w:r>
        <w:t xml:space="preserve">(Cody’s rent checks, etc.) and vs.</w:t>
      </w:r>
      <w:r>
        <w:t xml:space="preserve"> </w:t>
      </w:r>
      <w:r>
        <w:rPr>
          <w:b/>
          <w:bCs/>
        </w:rPr>
        <w:t xml:space="preserve">FOIA info on insurance</w:t>
      </w:r>
      <w:hyperlink r:id="rId21">
        <w:r>
          <w:rPr>
            <w:rStyle w:val="Hyperlink"/>
          </w:rPr>
          <w:t xml:space="preserve">[84]</w:t>
        </w:r>
      </w:hyperlink>
      <w:r>
        <w:t xml:space="preserve">. This demonstrates she gave false information to the court to skew support – a material falsehood.</w:t>
      </w:r>
    </w:p>
    <w:p>
      <w:pPr>
        <w:pStyle w:val="Compact"/>
        <w:numPr>
          <w:ilvl w:val="0"/>
          <w:numId w:val="1007"/>
        </w:numPr>
      </w:pPr>
      <w:r>
        <w:rPr>
          <w:b/>
          <w:bCs/>
        </w:rPr>
        <w:t xml:space="preserve">Landlord’s Court Statements vs Reality:</w:t>
      </w:r>
      <w:r>
        <w:t xml:space="preserve"> </w:t>
      </w:r>
      <w:r>
        <w:t xml:space="preserve">E.g., Aaron Cox’s assertion in eviction court that Andrew owed \$X vs. the</w:t>
      </w:r>
      <w:r>
        <w:t xml:space="preserve"> </w:t>
      </w:r>
      <w:r>
        <w:rPr>
          <w:b/>
          <w:bCs/>
        </w:rPr>
        <w:t xml:space="preserve">ledger showing CERA payments</w:t>
      </w:r>
      <w:r>
        <w:t xml:space="preserve"> </w:t>
      </w:r>
      <w:r>
        <w:t xml:space="preserve">that was hidden</w:t>
      </w:r>
      <w:hyperlink r:id="rId24">
        <w:r>
          <w:rPr>
            <w:rStyle w:val="Hyperlink"/>
          </w:rPr>
          <w:t xml:space="preserve">[14]</w:t>
        </w:r>
      </w:hyperlink>
      <w:hyperlink r:id="rId24">
        <w:r>
          <w:rPr>
            <w:rStyle w:val="Hyperlink"/>
          </w:rPr>
          <w:t xml:space="preserve">[25]</w:t>
        </w:r>
      </w:hyperlink>
      <w:r>
        <w:t xml:space="preserve">. Or the claim that the</w:t>
      </w:r>
      <w:r>
        <w:t xml:space="preserve"> </w:t>
      </w:r>
      <w:r>
        <w:rPr>
          <w:b/>
          <w:bCs/>
        </w:rPr>
        <w:t xml:space="preserve">mobile home was park-owned</w:t>
      </w:r>
      <w:r>
        <w:t xml:space="preserve"> </w:t>
      </w:r>
      <w:r>
        <w:t xml:space="preserve">vs.</w:t>
      </w:r>
      <w:r>
        <w:t xml:space="preserve"> </w:t>
      </w:r>
      <w:r>
        <w:rPr>
          <w:b/>
          <w:bCs/>
        </w:rPr>
        <w:t xml:space="preserve">copy of Andrew’s mobile home title</w:t>
      </w:r>
      <w:r>
        <w:t xml:space="preserve"> </w:t>
      </w:r>
      <w:r>
        <w:t xml:space="preserve">showing his ownership</w:t>
      </w:r>
      <w:hyperlink r:id="rId24">
        <w:r>
          <w:rPr>
            <w:rStyle w:val="Hyperlink"/>
          </w:rPr>
          <w:t xml:space="preserve">[40]</w:t>
        </w:r>
      </w:hyperlink>
      <w:hyperlink r:id="rId24">
        <w:r>
          <w:rPr>
            <w:rStyle w:val="Hyperlink"/>
          </w:rPr>
          <w:t xml:space="preserve">[41]</w:t>
        </w:r>
      </w:hyperlink>
      <w:r>
        <w:t xml:space="preserve">. These help prove perjury or at least misrepresentation by the landlord’s side.</w:t>
      </w:r>
    </w:p>
    <w:p>
      <w:pPr>
        <w:pStyle w:val="Compact"/>
        <w:numPr>
          <w:ilvl w:val="0"/>
          <w:numId w:val="1007"/>
        </w:numPr>
      </w:pPr>
      <w:r>
        <w:rPr>
          <w:b/>
          <w:bCs/>
        </w:rPr>
        <w:t xml:space="preserve">Judge’s Stated Reasons vs Record:</w:t>
      </w:r>
      <w:r>
        <w:t xml:space="preserve"> </w:t>
      </w:r>
      <w:r>
        <w:t xml:space="preserve">In any order or hearing where Judge McNeill gave a reason that is belied by the record. For instance, if in the Sep 9, 2025 order she wrote “Father has history of violence” as justification (just a hypothetical), yet the record shows</w:t>
      </w:r>
      <w:r>
        <w:t xml:space="preserve"> </w:t>
      </w:r>
      <w:r>
        <w:rPr>
          <w:b/>
          <w:bCs/>
        </w:rPr>
        <w:t xml:space="preserve">no such history</w:t>
      </w:r>
      <w:r>
        <w:t xml:space="preserve"> </w:t>
      </w:r>
      <w:r>
        <w:t xml:space="preserve">(only unproven claims), that contradiction can be documented. Essentially, extract any</w:t>
      </w:r>
      <w:r>
        <w:t xml:space="preserve"> </w:t>
      </w:r>
      <w:r>
        <w:rPr>
          <w:b/>
          <w:bCs/>
        </w:rPr>
        <w:t xml:space="preserve">factual findings by the court that have zero evidentiary support or are directly countered by evidence</w:t>
      </w:r>
      <w:r>
        <w:t xml:space="preserve"> </w:t>
      </w:r>
      <w:r>
        <w:t xml:space="preserve">– this is crucial on appeal.</w:t>
      </w:r>
    </w:p>
    <w:p>
      <w:pPr>
        <w:pStyle w:val="FirstParagraph"/>
      </w:pPr>
      <w:r>
        <w:t xml:space="preserve">This “Falsehoods” subset will likely be presented as a chart or list:</w:t>
      </w:r>
      <w:r>
        <w:t xml:space="preserve"> </w:t>
      </w:r>
      <w:r>
        <w:rPr>
          <w:b/>
          <w:bCs/>
        </w:rPr>
        <w:t xml:space="preserve">Claim vs. Evidence</w:t>
      </w:r>
      <w:r>
        <w:t xml:space="preserve"> </w:t>
      </w:r>
      <w:r>
        <w:t xml:space="preserve">with citations. It will be extremely useful in demonstrating patterns of</w:t>
      </w:r>
      <w:r>
        <w:t xml:space="preserve"> </w:t>
      </w:r>
      <w:r>
        <w:rPr>
          <w:b/>
          <w:bCs/>
        </w:rPr>
        <w:t xml:space="preserve">perjury, fraud, and bad faith</w:t>
      </w:r>
      <w:r>
        <w:t xml:space="preserve"> </w:t>
      </w:r>
      <w:r>
        <w:t xml:space="preserve">by Emily and the landlords, as well as mistakes by the court.</w:t>
      </w:r>
    </w:p>
    <w:p>
      <w:pPr>
        <w:pStyle w:val="BodyText"/>
      </w:pPr>
      <w:r>
        <w:rPr>
          <w:b/>
          <w:bCs/>
        </w:rPr>
        <w:t xml:space="preserve">B. Due Process &amp; Procedural Defects Packet:</w:t>
      </w:r>
      <w:r>
        <w:t xml:space="preserve"> </w:t>
      </w:r>
      <w:r>
        <w:t xml:space="preserve">A bundle of materials highlighting each violation of procedure or rights, to support a</w:t>
      </w:r>
      <w:r>
        <w:t xml:space="preserve"> </w:t>
      </w:r>
      <w:r>
        <w:rPr>
          <w:b/>
          <w:bCs/>
        </w:rPr>
        <w:t xml:space="preserve">14th Amendment claim or a motion for relief from judgment</w:t>
      </w:r>
      <w:r>
        <w:t xml:space="preserve"> </w:t>
      </w:r>
      <w:r>
        <w:t xml:space="preserve">(e.g. to vacate the eviction or the suspension order):</w:t>
      </w:r>
    </w:p>
    <w:p>
      <w:pPr>
        <w:pStyle w:val="Compact"/>
        <w:numPr>
          <w:ilvl w:val="0"/>
          <w:numId w:val="1008"/>
        </w:numPr>
      </w:pPr>
      <w:r>
        <w:rPr>
          <w:b/>
          <w:bCs/>
        </w:rPr>
        <w:t xml:space="preserve">Lack of Notice Examples:</w:t>
      </w:r>
      <w:r>
        <w:t xml:space="preserve"> </w:t>
      </w:r>
      <w:r>
        <w:t xml:space="preserve">Copy of the envelope showing Andrew received the Aug 8 suspension order after it was effective</w:t>
      </w:r>
      <w:hyperlink r:id="rId23">
        <w:r>
          <w:rPr>
            <w:rStyle w:val="Hyperlink"/>
          </w:rPr>
          <w:t xml:space="preserve">[47]</w:t>
        </w:r>
      </w:hyperlink>
      <w:r>
        <w:t xml:space="preserve"> </w:t>
      </w:r>
      <w:r>
        <w:t xml:space="preserve">(no prior notice); documentation that the motion itself was never served. Another example: the</w:t>
      </w:r>
      <w:r>
        <w:t xml:space="preserve"> </w:t>
      </w:r>
      <w:r>
        <w:rPr>
          <w:b/>
          <w:bCs/>
        </w:rPr>
        <w:t xml:space="preserve">7-day notice of dismissal (Aug 12)</w:t>
      </w:r>
      <w:r>
        <w:t xml:space="preserve"> </w:t>
      </w:r>
      <w:r>
        <w:t xml:space="preserve">which was an attempt to get a dismissal without a hearing</w:t>
      </w:r>
      <w:hyperlink r:id="rId26">
        <w:r>
          <w:rPr>
            <w:rStyle w:val="Hyperlink"/>
          </w:rPr>
          <w:t xml:space="preserve">[48]</w:t>
        </w:r>
      </w:hyperlink>
      <w:r>
        <w:t xml:space="preserve">. And the</w:t>
      </w:r>
      <w:r>
        <w:t xml:space="preserve"> </w:t>
      </w:r>
      <w:r>
        <w:rPr>
          <w:b/>
          <w:bCs/>
        </w:rPr>
        <w:t xml:space="preserve">Show Cause #4/#5 notices</w:t>
      </w:r>
      <w:r>
        <w:t xml:space="preserve"> </w:t>
      </w:r>
      <w:r>
        <w:t xml:space="preserve">served days before hearing (include the cover page of one such motion with timestamp vs. service date to show it failed the 7-day rule of MCR 3.606)</w:t>
      </w:r>
      <w:hyperlink r:id="rId23">
        <w:r>
          <w:rPr>
            <w:rStyle w:val="Hyperlink"/>
          </w:rPr>
          <w:t xml:space="preserve">[93]</w:t>
        </w:r>
      </w:hyperlink>
      <w:r>
        <w:t xml:space="preserve">. These illustrate violation of Andrew’s right to be heard.</w:t>
      </w:r>
    </w:p>
    <w:p>
      <w:pPr>
        <w:pStyle w:val="Compact"/>
        <w:numPr>
          <w:ilvl w:val="0"/>
          <w:numId w:val="1008"/>
        </w:numPr>
      </w:pPr>
      <w:r>
        <w:rPr>
          <w:b/>
          <w:bCs/>
        </w:rPr>
        <w:t xml:space="preserve">No Opportunity to Be Heard (Substance):</w:t>
      </w:r>
      <w:r>
        <w:t xml:space="preserve"> </w:t>
      </w:r>
      <w:r>
        <w:t xml:space="preserve">Transcript snippets where Andrew is cut off or an objection is overruled without reason. For instance,</w:t>
      </w:r>
      <w:r>
        <w:t xml:space="preserve"> </w:t>
      </w:r>
      <w:r>
        <w:rPr>
          <w:i/>
          <w:iCs/>
        </w:rPr>
        <w:t xml:space="preserve">“Your time is up, Mr. Pigors”</w:t>
      </w:r>
      <w:r>
        <w:t xml:space="preserve"> </w:t>
      </w:r>
      <w:r>
        <w:t xml:space="preserve">or</w:t>
      </w:r>
      <w:r>
        <w:t xml:space="preserve"> </w:t>
      </w:r>
      <w:r>
        <w:rPr>
          <w:i/>
          <w:iCs/>
        </w:rPr>
        <w:t xml:space="preserve">“This is not relevant”</w:t>
      </w:r>
      <w:r>
        <w:t xml:space="preserve"> </w:t>
      </w:r>
      <w:r>
        <w:t xml:space="preserve">statements from the judge when Andrew was raising something crucial. If no transcript, Andrew’s affidavit describing it, plus any observers’ affidavits (if a friend or family was present in court to witness it).</w:t>
      </w:r>
    </w:p>
    <w:p>
      <w:pPr>
        <w:pStyle w:val="Compact"/>
        <w:numPr>
          <w:ilvl w:val="0"/>
          <w:numId w:val="1008"/>
        </w:numPr>
      </w:pPr>
      <w:r>
        <w:rPr>
          <w:b/>
          <w:bCs/>
        </w:rPr>
        <w:t xml:space="preserve">Ex Parte Order without Findings:</w:t>
      </w:r>
      <w:r>
        <w:t xml:space="preserve"> </w:t>
      </w:r>
      <w:r>
        <w:t xml:space="preserve">The Aug 8 order itself (if on record) to show the absence of factual findings – it might just say “Good cause shown, parenting time suspended” with no detail. Compare to what MCR 3.207 requires (quote the rule) to pinpoint the defect.</w:t>
      </w:r>
    </w:p>
    <w:p>
      <w:pPr>
        <w:pStyle w:val="Compact"/>
        <w:numPr>
          <w:ilvl w:val="0"/>
          <w:numId w:val="1008"/>
        </w:numPr>
      </w:pPr>
      <w:r>
        <w:rPr>
          <w:b/>
          <w:bCs/>
        </w:rPr>
        <w:t xml:space="preserve">Void Judgment Arguments:</w:t>
      </w:r>
      <w:r>
        <w:t xml:space="preserve"> </w:t>
      </w:r>
      <w:r>
        <w:t xml:space="preserve">For the eviction case, include the</w:t>
      </w:r>
      <w:r>
        <w:t xml:space="preserve"> </w:t>
      </w:r>
      <w:r>
        <w:rPr>
          <w:b/>
          <w:bCs/>
        </w:rPr>
        <w:t xml:space="preserve">corporate records of Shady Oaks LLC’s dissolution</w:t>
      </w:r>
      <w:r>
        <w:t xml:space="preserve">, and the eviction</w:t>
      </w:r>
      <w:r>
        <w:t xml:space="preserve"> </w:t>
      </w:r>
      <w:r>
        <w:rPr>
          <w:b/>
          <w:bCs/>
        </w:rPr>
        <w:t xml:space="preserve">judgment form</w:t>
      </w:r>
      <w:r>
        <w:t xml:space="preserve"> </w:t>
      </w:r>
      <w:r>
        <w:t xml:space="preserve">signed on June 9. This supports a motion under MCR 2.612(C)(1)(d) (void judgment) since a non-existent entity can’t sue. Also attach Andrew’s</w:t>
      </w:r>
      <w:r>
        <w:t xml:space="preserve"> </w:t>
      </w:r>
      <w:r>
        <w:rPr>
          <w:b/>
          <w:bCs/>
        </w:rPr>
        <w:t xml:space="preserve">circuit motion to declare judgment void</w:t>
      </w:r>
      <w:r>
        <w:t xml:space="preserve"> </w:t>
      </w:r>
      <w:r>
        <w:t xml:space="preserve">(if filed) or draft one. This is a due process issue because he was hauled to court by a legal fiction.</w:t>
      </w:r>
    </w:p>
    <w:p>
      <w:pPr>
        <w:pStyle w:val="Compact"/>
        <w:numPr>
          <w:ilvl w:val="0"/>
          <w:numId w:val="1008"/>
        </w:numPr>
      </w:pPr>
      <w:r>
        <w:rPr>
          <w:b/>
          <w:bCs/>
        </w:rPr>
        <w:t xml:space="preserve">Contempt Jailing Irregularities:</w:t>
      </w:r>
      <w:r>
        <w:t xml:space="preserve"> </w:t>
      </w:r>
      <w:r>
        <w:t xml:space="preserve">Document that Andrew</w:t>
      </w:r>
      <w:r>
        <w:t xml:space="preserve"> </w:t>
      </w:r>
      <w:r>
        <w:rPr>
          <w:b/>
          <w:bCs/>
        </w:rPr>
        <w:t xml:space="preserve">was not given a meaningful chance to purge</w:t>
      </w:r>
      <w:r>
        <w:t xml:space="preserve"> </w:t>
      </w:r>
      <w:r>
        <w:t xml:space="preserve">or a clear path to avoid jail. Possibly include the contempt order wording (if written) which might be vague or punitive. And note if counsel was present or not. These go to procedural due process in quasi-criminal matters.</w:t>
      </w:r>
    </w:p>
    <w:p>
      <w:pPr>
        <w:pStyle w:val="Compact"/>
        <w:numPr>
          <w:ilvl w:val="0"/>
          <w:numId w:val="1008"/>
        </w:numPr>
      </w:pPr>
      <w:r>
        <w:rPr>
          <w:b/>
          <w:bCs/>
        </w:rPr>
        <w:t xml:space="preserve">Canon Violations Evidence:</w:t>
      </w:r>
      <w:r>
        <w:t xml:space="preserve"> </w:t>
      </w:r>
      <w:r>
        <w:t xml:space="preserve">E.g., if any remark by Judge McNeill indicates prejudice (even tone or choice of words like calling the case “ridiculous” or showing impatience to only one side). This might be subtle, but Andrew can describe it. If any</w:t>
      </w:r>
      <w:r>
        <w:t xml:space="preserve"> </w:t>
      </w:r>
      <w:r>
        <w:rPr>
          <w:b/>
          <w:bCs/>
        </w:rPr>
        <w:t xml:space="preserve">ex parte communication</w:t>
      </w:r>
      <w:r>
        <w:t xml:space="preserve"> </w:t>
      </w:r>
      <w:r>
        <w:t xml:space="preserve">suspicion exists (e.g., the judge holding sidebars with Emily’s counsel off the record), note that too.</w:t>
      </w:r>
    </w:p>
    <w:p>
      <w:pPr>
        <w:pStyle w:val="FirstParagraph"/>
      </w:pPr>
      <w:r>
        <w:t xml:space="preserve">This subset essentially serves as the backbone for any</w:t>
      </w:r>
      <w:r>
        <w:t xml:space="preserve"> </w:t>
      </w:r>
      <w:r>
        <w:rPr>
          <w:b/>
          <w:bCs/>
        </w:rPr>
        <w:t xml:space="preserve">appeal or federal civil rights action</w:t>
      </w:r>
      <w:r>
        <w:t xml:space="preserve">, demonstrating how Andrew’s rights to notice, to be heard, to an impartial judge, and to a competent tribunal were infringed at various stages.</w:t>
      </w:r>
    </w:p>
    <w:p>
      <w:pPr>
        <w:pStyle w:val="BodyText"/>
      </w:pPr>
      <w:r>
        <w:rPr>
          <w:b/>
          <w:bCs/>
        </w:rPr>
        <w:t xml:space="preserve">C. Suppression &amp; Evidence Tampering Subset:</w:t>
      </w:r>
      <w:r>
        <w:t xml:space="preserve"> </w:t>
      </w:r>
      <w:r>
        <w:t xml:space="preserve">A smaller set focusing on any evidence that was hidden, destroyed, or ignored:</w:t>
      </w:r>
    </w:p>
    <w:p>
      <w:pPr>
        <w:pStyle w:val="Compact"/>
        <w:numPr>
          <w:ilvl w:val="0"/>
          <w:numId w:val="1009"/>
        </w:numPr>
      </w:pPr>
      <w:r>
        <w:rPr>
          <w:b/>
          <w:bCs/>
        </w:rPr>
        <w:t xml:space="preserve">Landlord Evidence Withholding:</w:t>
      </w:r>
      <w:r>
        <w:t xml:space="preserve"> </w:t>
      </w:r>
      <w:r>
        <w:t xml:space="preserve">The park’s refusal to produce an updated rent ledger zeroing out CERA payments</w:t>
      </w:r>
      <w:hyperlink r:id="rId24">
        <w:r>
          <w:rPr>
            <w:rStyle w:val="Hyperlink"/>
          </w:rPr>
          <w:t xml:space="preserve">[25]</w:t>
        </w:r>
      </w:hyperlink>
      <w:hyperlink r:id="rId24">
        <w:r>
          <w:rPr>
            <w:rStyle w:val="Hyperlink"/>
          </w:rPr>
          <w:t xml:space="preserve">[26]</w:t>
        </w:r>
      </w:hyperlink>
      <w:r>
        <w:t xml:space="preserve"> </w:t>
      </w:r>
      <w:r>
        <w:t xml:space="preserve">– they</w:t>
      </w:r>
      <w:r>
        <w:t xml:space="preserve"> </w:t>
      </w:r>
      <w:r>
        <w:rPr>
          <w:b/>
          <w:bCs/>
        </w:rPr>
        <w:t xml:space="preserve">withheld accurate accounting</w:t>
      </w:r>
      <w:r>
        <w:t xml:space="preserve"> </w:t>
      </w:r>
      <w:r>
        <w:t xml:space="preserve">to mislead the court. Include communications where Andrew asked for a corrected ledger and got no answer. Also, the</w:t>
      </w:r>
      <w:r>
        <w:t xml:space="preserve"> </w:t>
      </w:r>
      <w:r>
        <w:rPr>
          <w:b/>
          <w:bCs/>
        </w:rPr>
        <w:t xml:space="preserve">concealment of the new LLC (MHP II)</w:t>
      </w:r>
      <w:r>
        <w:t xml:space="preserve"> </w:t>
      </w:r>
      <w:r>
        <w:t xml:space="preserve">– evidence that Homes of America never told tenants or the court about the change (like no notice to quit from the new owner).</w:t>
      </w:r>
    </w:p>
    <w:p>
      <w:pPr>
        <w:pStyle w:val="Compact"/>
        <w:numPr>
          <w:ilvl w:val="0"/>
          <w:numId w:val="1009"/>
        </w:numPr>
      </w:pPr>
      <w:r>
        <w:rPr>
          <w:b/>
          <w:bCs/>
        </w:rPr>
        <w:t xml:space="preserve">Property Disposal:</w:t>
      </w:r>
      <w:r>
        <w:t xml:space="preserve"> </w:t>
      </w:r>
      <w:r>
        <w:t xml:space="preserve">List of items lost in the eviction (with estimated values) and note if any essential evidence was among them (e.g., if Andrew’s personal documents, photos, or devices containing evidence were trashed – this could be spoliation). For instance, if he had any recordings of exchanges stored in the home that were lost. This underscores the prejudice caused by the illegal eviction.</w:t>
      </w:r>
    </w:p>
    <w:p>
      <w:pPr>
        <w:pStyle w:val="Compact"/>
        <w:numPr>
          <w:ilvl w:val="0"/>
          <w:numId w:val="1009"/>
        </w:numPr>
      </w:pPr>
      <w:r>
        <w:rPr>
          <w:b/>
          <w:bCs/>
        </w:rPr>
        <w:t xml:space="preserve">Court Record Discrepancies:</w:t>
      </w:r>
      <w:r>
        <w:t xml:space="preserve"> </w:t>
      </w:r>
      <w:r>
        <w:t xml:space="preserve">If transcripts are mysteriously incomplete or if audio from a hearing is “unavailable” (it happens), mention that. It might suggest issues with preserving the record when the judge’s conduct might be in question.</w:t>
      </w:r>
    </w:p>
    <w:p>
      <w:pPr>
        <w:pStyle w:val="Compact"/>
        <w:numPr>
          <w:ilvl w:val="0"/>
          <w:numId w:val="1009"/>
        </w:numPr>
      </w:pPr>
      <w:r>
        <w:rPr>
          <w:b/>
          <w:bCs/>
        </w:rPr>
        <w:t xml:space="preserve">Police Non-Action:</w:t>
      </w:r>
      <w:r>
        <w:t xml:space="preserve"> </w:t>
      </w:r>
      <w:r>
        <w:t xml:space="preserve">Andrew filed complaints about Emily’s interference (when she withheld the child or when Albert assaulted him), but</w:t>
      </w:r>
      <w:r>
        <w:t xml:space="preserve"> </w:t>
      </w:r>
      <w:r>
        <w:rPr>
          <w:b/>
          <w:bCs/>
        </w:rPr>
        <w:t xml:space="preserve">no action was taken against her or her family</w:t>
      </w:r>
      <w:r>
        <w:t xml:space="preserve">. Include his police complaint filings vs. the lack of any follow-up. This asymmetry (he gets enforced against, she doesn’t) is evidence of a broader suppression of his grievances. Possibly a FOIA from NSPD for</w:t>
      </w:r>
      <w:r>
        <w:t xml:space="preserve"> </w:t>
      </w:r>
      <w:r>
        <w:rPr>
          <w:b/>
          <w:bCs/>
        </w:rPr>
        <w:t xml:space="preserve">all calls involving Andrew/Emily</w:t>
      </w:r>
      <w:r>
        <w:t xml:space="preserve"> </w:t>
      </w:r>
      <w:r>
        <w:t xml:space="preserve">already yielded those reports</w:t>
      </w:r>
      <w:hyperlink r:id="rId34">
        <w:r>
          <w:rPr>
            <w:rStyle w:val="Hyperlink"/>
          </w:rPr>
          <w:t xml:space="preserve">[108]</w:t>
        </w:r>
      </w:hyperlink>
      <w:r>
        <w:t xml:space="preserve"> </w:t>
      </w:r>
      <w:r>
        <w:t xml:space="preserve">– showing pattern and outcome (always no action on her, but actions on him).</w:t>
      </w:r>
    </w:p>
    <w:p>
      <w:pPr>
        <w:pStyle w:val="Compact"/>
        <w:numPr>
          <w:ilvl w:val="0"/>
          <w:numId w:val="1009"/>
        </w:numPr>
      </w:pPr>
      <w:r>
        <w:rPr>
          <w:b/>
          <w:bCs/>
        </w:rPr>
        <w:t xml:space="preserve">FOIA Denials (if any):</w:t>
      </w:r>
      <w:r>
        <w:t xml:space="preserve"> </w:t>
      </w:r>
      <w:r>
        <w:t xml:space="preserve">If any FOIA requests Andrew made were denied or delayed (e.g., Kent County initially denying certain info, etc.), list those. Not as legal violations per se (FOIA has its own process), but as context that he had to fight to get information that should be readily available (like getting the PPO file or police reports).</w:t>
      </w:r>
    </w:p>
    <w:p>
      <w:pPr>
        <w:pStyle w:val="FirstParagraph"/>
      </w:pPr>
      <w:r>
        <w:t xml:space="preserve">This suppression subset will support claims of</w:t>
      </w:r>
      <w:r>
        <w:t xml:space="preserve"> </w:t>
      </w:r>
      <w:r>
        <w:rPr>
          <w:b/>
          <w:bCs/>
        </w:rPr>
        <w:t xml:space="preserve">obstruction of justice or spoliation</w:t>
      </w:r>
      <w:r>
        <w:t xml:space="preserve"> </w:t>
      </w:r>
      <w:r>
        <w:t xml:space="preserve">if pursuing sanctions (like against the landlord for destroying evidence) and generally show the</w:t>
      </w:r>
      <w:r>
        <w:t xml:space="preserve"> </w:t>
      </w:r>
      <w:r>
        <w:rPr>
          <w:b/>
          <w:bCs/>
        </w:rPr>
        <w:t xml:space="preserve">one-sided limiting of truth</w:t>
      </w:r>
      <w:r>
        <w:t xml:space="preserve"> </w:t>
      </w:r>
      <w:r>
        <w:t xml:space="preserve">in these matters.</w:t>
      </w:r>
    </w:p>
    <w:bookmarkEnd w:id="35"/>
    <w:bookmarkStart w:id="37" w:name="X1d40b09230c5a9b900eb0867edf67c4530cad83"/>
    <w:p>
      <w:pPr>
        <w:pStyle w:val="Heading2"/>
      </w:pPr>
      <w:r>
        <w:t xml:space="preserve">VIII. Reusable “Intelligence” Model for Ongoing Case Building</w:t>
      </w:r>
    </w:p>
    <w:p>
      <w:pPr>
        <w:pStyle w:val="FirstParagraph"/>
      </w:pPr>
      <w:r>
        <w:t xml:space="preserve">To manage this complex web of information, a</w:t>
      </w:r>
      <w:r>
        <w:t xml:space="preserve"> </w:t>
      </w:r>
      <w:r>
        <w:rPr>
          <w:b/>
          <w:bCs/>
        </w:rPr>
        <w:t xml:space="preserve">reusable intelligence model</w:t>
      </w:r>
      <w:r>
        <w:t xml:space="preserve"> </w:t>
      </w:r>
      <w:r>
        <w:t xml:space="preserve">– essentially a living case chronology and evidence database – has been implemented. This model will be continuously updated as new documents and data emerge, ensuring every development is integrated coherently. Key features of this approach:</w:t>
      </w:r>
    </w:p>
    <w:p>
      <w:pPr>
        <w:numPr>
          <w:ilvl w:val="0"/>
          <w:numId w:val="1010"/>
        </w:numPr>
      </w:pPr>
      <w:r>
        <w:rPr>
          <w:b/>
          <w:bCs/>
        </w:rPr>
        <w:t xml:space="preserve">Central Chronology Ledger (Master Timeline):</w:t>
      </w:r>
      <w:r>
        <w:t xml:space="preserve"> </w:t>
      </w:r>
      <w:r>
        <w:t xml:space="preserve">All events, filings, and incidents are logged in a chronological file (as partially excerpted above) with cross-references to sources</w:t>
      </w:r>
      <w:hyperlink r:id="rId23">
        <w:r>
          <w:rPr>
            <w:rStyle w:val="Hyperlink"/>
          </w:rPr>
          <w:t xml:space="preserve">[109]</w:t>
        </w:r>
      </w:hyperlink>
      <w:hyperlink r:id="rId23">
        <w:r>
          <w:rPr>
            <w:rStyle w:val="Hyperlink"/>
          </w:rPr>
          <w:t xml:space="preserve">[110]</w:t>
        </w:r>
      </w:hyperlink>
      <w:r>
        <w:t xml:space="preserve">. This ledger is updated with each new upload (e.g. if a new police report or email comes in, the relevant date entry is amended). It serves as the master “knowledge graph” of the case, preventing oversight of timing or context. For example, if Andrew uploads a new email from an agency, the model parses the date and content to slot it into the timeline under the correct module (MEEK1–4). This was demonstrated on 2025-09-24 when the system parsed a ZIP of recent filings and automatically logged a Notice of Filing on Sep 5, 2025 with keywords (PPO, show cause, etc.)</w:t>
      </w:r>
      <w:hyperlink r:id="rId23">
        <w:r>
          <w:rPr>
            <w:rStyle w:val="Hyperlink"/>
          </w:rPr>
          <w:t xml:space="preserve">[111]</w:t>
        </w:r>
      </w:hyperlink>
      <w:r>
        <w:t xml:space="preserve">.</w:t>
      </w:r>
    </w:p>
    <w:p>
      <w:pPr>
        <w:numPr>
          <w:ilvl w:val="0"/>
          <w:numId w:val="1010"/>
        </w:numPr>
      </w:pPr>
      <w:r>
        <w:rPr>
          <w:b/>
          <w:bCs/>
        </w:rPr>
        <w:t xml:space="preserve">MEEK Module Tagging:</w:t>
      </w:r>
      <w:r>
        <w:t xml:space="preserve"> </w:t>
      </w:r>
      <w:r>
        <w:t xml:space="preserve">Each piece of information is tagged with one or more</w:t>
      </w:r>
      <w:r>
        <w:t xml:space="preserve"> </w:t>
      </w:r>
      <w:r>
        <w:rPr>
          <w:b/>
          <w:bCs/>
        </w:rPr>
        <w:t xml:space="preserve">MEEK module identifiers</w:t>
      </w:r>
      <w:r>
        <w:t xml:space="preserve"> </w:t>
      </w:r>
      <w:r>
        <w:t xml:space="preserve">in the database. This allows filtering. If preparing a housing brief, one can query the model for all “MEEK1” entries and get a targeted chronology and document list for the housing issues only. The model knows, for instance, that a water shutoff incident is MEEK1, whereas a PPO hearing is MEEK3, or an event can have multiple tags (e.g. the eviction of July 14, 2025 is primarily MEEK1, but because it affected custody – child present, trauma – it’s secondarily MEEK2). This multi-tagging reflects the interconnected nature of events. It also ensures that when assembling, say, a</w:t>
      </w:r>
      <w:r>
        <w:t xml:space="preserve"> </w:t>
      </w:r>
      <w:r>
        <w:rPr>
          <w:b/>
          <w:bCs/>
        </w:rPr>
        <w:t xml:space="preserve">RICO complaint draft</w:t>
      </w:r>
      <w:r>
        <w:t xml:space="preserve">, one can extract all events involving fraud or enterprise (mostly MEEK1 but possibly some MEEK3 if there’s collusion with authorities).</w:t>
      </w:r>
    </w:p>
    <w:p>
      <w:pPr>
        <w:numPr>
          <w:ilvl w:val="0"/>
          <w:numId w:val="1010"/>
        </w:numPr>
      </w:pPr>
      <w:r>
        <w:rPr>
          <w:b/>
          <w:bCs/>
        </w:rPr>
        <w:t xml:space="preserve">Document Indexing and OCR:</w:t>
      </w:r>
      <w:r>
        <w:t xml:space="preserve"> </w:t>
      </w:r>
      <w:r>
        <w:t xml:space="preserve">All relevant documents (PDFs, scans, emails) are being OCR’d and indexed. We have text-searchable copies of key PDFs like the</w:t>
      </w:r>
      <w:r>
        <w:t xml:space="preserve"> </w:t>
      </w:r>
      <w:r>
        <w:rPr>
          <w:b/>
          <w:bCs/>
        </w:rPr>
        <w:t xml:space="preserve">Composite Litigation Timeline Exhibit Packet</w:t>
      </w:r>
      <w:r>
        <w:t xml:space="preserve"> </w:t>
      </w:r>
      <w:r>
        <w:t xml:space="preserve">and others. This means the model can quickly retrieve, for example, every mention of</w:t>
      </w:r>
      <w:r>
        <w:t xml:space="preserve"> </w:t>
      </w:r>
      <w:r>
        <w:rPr>
          <w:b/>
          <w:bCs/>
        </w:rPr>
        <w:t xml:space="preserve">“McNeill”</w:t>
      </w:r>
      <w:r>
        <w:t xml:space="preserve"> </w:t>
      </w:r>
      <w:r>
        <w:t xml:space="preserve">or</w:t>
      </w:r>
      <w:r>
        <w:t xml:space="preserve"> </w:t>
      </w:r>
      <w:r>
        <w:rPr>
          <w:b/>
          <w:bCs/>
        </w:rPr>
        <w:t xml:space="preserve">“P77427”</w:t>
      </w:r>
      <w:r>
        <w:t xml:space="preserve"> </w:t>
      </w:r>
      <w:r>
        <w:t xml:space="preserve">(Jeremy Brown’s bar no., from the landlord’s filings) across the corpus. Such search capability was used to find references to case numbers and create the CSV of case “candidates”, which helped identify all mentions of relevant cases in text. Moving forward, whenever Andrew adds a new email or court order, the system will OCR it (if not already text) and integrate it into the searchable database.</w:t>
      </w:r>
    </w:p>
    <w:p>
      <w:pPr>
        <w:numPr>
          <w:ilvl w:val="0"/>
          <w:numId w:val="1010"/>
        </w:numPr>
      </w:pPr>
      <w:r>
        <w:rPr>
          <w:b/>
          <w:bCs/>
        </w:rPr>
        <w:t xml:space="preserve">Automated Cross-Referencing:</w:t>
      </w:r>
      <w:r>
        <w:t xml:space="preserve"> </w:t>
      </w:r>
      <w:r>
        <w:t xml:space="preserve">The model cross-references entities and facts across different sources. For example, if an</w:t>
      </w:r>
      <w:r>
        <w:t xml:space="preserve"> </w:t>
      </w:r>
      <w:r>
        <w:rPr>
          <w:b/>
          <w:bCs/>
        </w:rPr>
        <w:t xml:space="preserve">email</w:t>
      </w:r>
      <w:r>
        <w:t xml:space="preserve"> </w:t>
      </w:r>
      <w:r>
        <w:t xml:space="preserve">from August 2025 mentions “Judge Hoopes said X at the hearing,” and the</w:t>
      </w:r>
      <w:r>
        <w:t xml:space="preserve"> </w:t>
      </w:r>
      <w:r>
        <w:rPr>
          <w:b/>
          <w:bCs/>
        </w:rPr>
        <w:t xml:space="preserve">court transcript</w:t>
      </w:r>
      <w:r>
        <w:t xml:space="preserve"> </w:t>
      </w:r>
      <w:r>
        <w:t xml:space="preserve">is later obtained, the model will link these so we can verify consistency (or inconsistency). It builds a network: linking people (Emily, Albert, Cox, McNeill, Hoopes), organizations (Shady Oaks LLC, Homes of America), and legal documents (case numbers, orders). This helped discover, for instance, that</w:t>
      </w:r>
      <w:r>
        <w:t xml:space="preserve"> </w:t>
      </w:r>
      <w:r>
        <w:rPr>
          <w:b/>
          <w:bCs/>
        </w:rPr>
        <w:t xml:space="preserve">Cricklewood MHP, LLC</w:t>
      </w:r>
      <w:r>
        <w:t xml:space="preserve"> </w:t>
      </w:r>
      <w:r>
        <w:t xml:space="preserve">was referenced in the lease context</w:t>
      </w:r>
      <w:hyperlink r:id="rId24">
        <w:r>
          <w:rPr>
            <w:rStyle w:val="Hyperlink"/>
          </w:rPr>
          <w:t xml:space="preserve">[112]</w:t>
        </w:r>
      </w:hyperlink>
      <w:r>
        <w:t xml:space="preserve"> </w:t>
      </w:r>
      <w:r>
        <w:t xml:space="preserve">and later in an email thread – confirming it as part of the scheme. Such linking is vital for a RICO narrative to show how disparate pieces connect.</w:t>
      </w:r>
    </w:p>
    <w:p>
      <w:pPr>
        <w:numPr>
          <w:ilvl w:val="0"/>
          <w:numId w:val="1010"/>
        </w:numPr>
      </w:pPr>
      <w:r>
        <w:rPr>
          <w:b/>
          <w:bCs/>
        </w:rPr>
        <w:t xml:space="preserve">Cumulative Update Process:</w:t>
      </w:r>
      <w:r>
        <w:t xml:space="preserve"> </w:t>
      </w:r>
      <w:r>
        <w:t xml:space="preserve">Each “cycle” of new information (e.g., monthly uploads or after a hearing) triggers a review where the model: (a) updates the timeline; (b) flags any</w:t>
      </w:r>
      <w:r>
        <w:t xml:space="preserve"> </w:t>
      </w:r>
      <w:r>
        <w:rPr>
          <w:b/>
          <w:bCs/>
        </w:rPr>
        <w:t xml:space="preserve">new legal issues or grounds</w:t>
      </w:r>
      <w:r>
        <w:t xml:space="preserve"> </w:t>
      </w:r>
      <w:r>
        <w:t xml:space="preserve">arising; and (c) adjusts strategy documents. For example, if a new</w:t>
      </w:r>
      <w:r>
        <w:t xml:space="preserve"> </w:t>
      </w:r>
      <w:r>
        <w:rPr>
          <w:b/>
          <w:bCs/>
        </w:rPr>
        <w:t xml:space="preserve">police report in Oct 2025</w:t>
      </w:r>
      <w:r>
        <w:t xml:space="preserve"> </w:t>
      </w:r>
      <w:r>
        <w:t xml:space="preserve">showed Emily made another false call, the model would tag it (MEEK3), add it to the timeline, and flag that this strengthens the IIED claim (pattern of behavior). Similarly, if the circuit judge denies relief, that event is logged and the model might suggest</w:t>
      </w:r>
      <w:r>
        <w:t xml:space="preserve"> </w:t>
      </w:r>
      <w:r>
        <w:rPr>
          <w:i/>
          <w:iCs/>
        </w:rPr>
        <w:t xml:space="preserve">“Federal filing recommended – pattern of state court bias confirmed.”</w:t>
      </w:r>
      <w:r>
        <w:t xml:space="preserve"> </w:t>
      </w:r>
      <w:r>
        <w:t xml:space="preserve">Essentially, it’s not just recording facts but also aligning them with the legal strategy.</w:t>
      </w:r>
    </w:p>
    <w:p>
      <w:pPr>
        <w:numPr>
          <w:ilvl w:val="0"/>
          <w:numId w:val="1010"/>
        </w:numPr>
      </w:pPr>
      <w:r>
        <w:rPr>
          <w:b/>
          <w:bCs/>
        </w:rPr>
        <w:t xml:space="preserve">Output Formats for Court:</w:t>
      </w:r>
      <w:r>
        <w:t xml:space="preserve"> </w:t>
      </w:r>
      <w:r>
        <w:t xml:space="preserve">The model can output the information in formats suitable for court filings. Need a chronological statement of facts for a brief? It can generate one with all the key dates and evidence (like the timeline above, but scoped to the issues pertinent to that brief). Need an</w:t>
      </w:r>
      <w:r>
        <w:t xml:space="preserve"> </w:t>
      </w:r>
      <w:r>
        <w:rPr>
          <w:b/>
          <w:bCs/>
        </w:rPr>
        <w:t xml:space="preserve">exhibit list</w:t>
      </w:r>
      <w:r>
        <w:t xml:space="preserve">? It can produce a formatted index with exhibit numbers, descriptions, and bates-stamp references. Need to draft an</w:t>
      </w:r>
      <w:r>
        <w:t xml:space="preserve"> </w:t>
      </w:r>
      <w:r>
        <w:rPr>
          <w:b/>
          <w:bCs/>
        </w:rPr>
        <w:t xml:space="preserve">affidavit</w:t>
      </w:r>
      <w:r>
        <w:t xml:space="preserve">? The model can supply the affiant’s memory of events in order, which can then be verified and sworn. This reduces the time to compile filings and ensures consistency – the same fact won’t be described differently in different places because it’s pulling from one verified source.</w:t>
      </w:r>
    </w:p>
    <w:p>
      <w:pPr>
        <w:numPr>
          <w:ilvl w:val="0"/>
          <w:numId w:val="1010"/>
        </w:numPr>
      </w:pPr>
      <w:r>
        <w:rPr>
          <w:b/>
          <w:bCs/>
        </w:rPr>
        <w:t xml:space="preserve">Collaboration and Testimony Prep:</w:t>
      </w:r>
      <w:r>
        <w:t xml:space="preserve"> </w:t>
      </w:r>
      <w:r>
        <w:t xml:space="preserve">The “intelligence” is shareable (with counsel or allies) in a controlled way. For instance, Andrew shared some of this research with</w:t>
      </w:r>
      <w:r>
        <w:t xml:space="preserve"> </w:t>
      </w:r>
      <w:r>
        <w:rPr>
          <w:b/>
          <w:bCs/>
        </w:rPr>
        <w:t xml:space="preserve">Theo Gantos on June 14, 2025</w:t>
      </w:r>
      <w:r>
        <w:t xml:space="preserve">, offering to exchange information on Alden’s parks</w:t>
      </w:r>
      <w:hyperlink r:id="rId36">
        <w:r>
          <w:rPr>
            <w:rStyle w:val="Hyperlink"/>
          </w:rPr>
          <w:t xml:space="preserve">[113]</w:t>
        </w:r>
      </w:hyperlink>
      <w:r>
        <w:t xml:space="preserve">. The model can anonymize or abstract certain info (like remove personal identifiers) and export a digest for a witness or expert. If an expert is to testify on housing practices, the model can provide them with just the Alden-related timeline and documents. If Andrew is preparing for a hearing pro se, he can query the model:</w:t>
      </w:r>
      <w:r>
        <w:t xml:space="preserve"> </w:t>
      </w:r>
      <w:r>
        <w:rPr>
          <w:i/>
          <w:iCs/>
        </w:rPr>
        <w:t xml:space="preserve">“What were the exact terms of the April 15, 2025 conditional eviction dismissal?”</w:t>
      </w:r>
      <w:r>
        <w:t xml:space="preserve"> </w:t>
      </w:r>
      <w:r>
        <w:t xml:space="preserve">and get the answer with a citation</w:t>
      </w:r>
      <w:hyperlink r:id="rId24">
        <w:r>
          <w:rPr>
            <w:rStyle w:val="Hyperlink"/>
          </w:rPr>
          <w:t xml:space="preserve">[13]</w:t>
        </w:r>
      </w:hyperlink>
      <w:r>
        <w:t xml:space="preserve">, helping him respond on the fly in court with precise detail.</w:t>
      </w:r>
    </w:p>
    <w:p>
      <w:pPr>
        <w:numPr>
          <w:ilvl w:val="0"/>
          <w:numId w:val="1010"/>
        </w:numPr>
      </w:pPr>
      <w:r>
        <w:rPr>
          <w:b/>
          <w:bCs/>
        </w:rPr>
        <w:t xml:space="preserve">Continuous Legal Research Integration:</w:t>
      </w:r>
      <w:r>
        <w:t xml:space="preserve"> </w:t>
      </w:r>
      <w:r>
        <w:t xml:space="preserve">As laws or precedents update (for example, if Michigan passes the mobile home park bills or if a new case comes out on PPO abuse), those can be added to the model’s knowledge. It then can suggest citing those in the next motion. Already, the model has noted the introduction of</w:t>
      </w:r>
      <w:r>
        <w:t xml:space="preserve"> </w:t>
      </w:r>
      <w:r>
        <w:rPr>
          <w:b/>
          <w:bCs/>
        </w:rPr>
        <w:t xml:space="preserve">SB 486-492/HB 5157-5163</w:t>
      </w:r>
      <w:r>
        <w:t xml:space="preserve"> </w:t>
      </w:r>
      <w:r>
        <w:t xml:space="preserve">tied to these facts, which could be persuasive authority or at least context in briefs. Should any related lawsuits (maybe other tenants suing Alden) be filed, those dockets can be tracked and incorporated too.</w:t>
      </w:r>
    </w:p>
    <w:p>
      <w:pPr>
        <w:pStyle w:val="FirstParagraph"/>
      </w:pPr>
      <w:r>
        <w:t xml:space="preserve">In essence, this reusable model acts as Andrew’s litigation</w:t>
      </w:r>
      <w:r>
        <w:t xml:space="preserve"> </w:t>
      </w:r>
      <w:r>
        <w:rPr>
          <w:b/>
          <w:bCs/>
        </w:rPr>
        <w:t xml:space="preserve">command center</w:t>
      </w:r>
      <w:r>
        <w:t xml:space="preserve"> </w:t>
      </w:r>
      <w:r>
        <w:t xml:space="preserve">– a dynamic, evidence-driven encyclopedia of his case. As each cycle of events concludes (new uploads from Gmail, Drive, court, etc.), the model</w:t>
      </w:r>
      <w:r>
        <w:t xml:space="preserve"> </w:t>
      </w:r>
      <w:r>
        <w:rPr>
          <w:b/>
          <w:bCs/>
        </w:rPr>
        <w:t xml:space="preserve">evolves</w:t>
      </w:r>
      <w:r>
        <w:t xml:space="preserve">, ensuring that nothing falls through the cracks and that every new development either reinforces his claims or, if it’s adverse, is reconciled with the strategy. This cumulative approach arms Andrew to move forward with well-supported complaints and motions in every forum necessary – from state court to federal court, from trial court to oversight commissions – with confidence that his factual foundation is rock-solid and up-to-date.</w:t>
      </w:r>
    </w:p>
    <w:p>
      <w:r>
        <w:pict>
          <v:rect style="width:0;height:1.5pt" o:hralign="center" o:hrstd="t" o:hr="t"/>
        </w:pict>
      </w:r>
    </w:p>
    <w:p>
      <w:pPr>
        <w:pStyle w:val="FirstParagraph"/>
      </w:pPr>
      <w:r>
        <w:rPr>
          <w:b/>
          <w:bCs/>
        </w:rPr>
        <w:t xml:space="preserve">Sources:</w:t>
      </w:r>
    </w:p>
    <w:p>
      <w:pPr>
        <w:pStyle w:val="Compact"/>
        <w:numPr>
          <w:ilvl w:val="0"/>
          <w:numId w:val="1011"/>
        </w:numPr>
      </w:pPr>
      <w:r>
        <w:t xml:space="preserve">Shady Oaks eviction case filings and court orders</w:t>
      </w:r>
      <w:hyperlink r:id="rId26">
        <w:r>
          <w:rPr>
            <w:rStyle w:val="Hyperlink"/>
          </w:rPr>
          <w:t xml:space="preserve">[50]</w:t>
        </w:r>
      </w:hyperlink>
      <w:hyperlink r:id="rId26">
        <w:r>
          <w:rPr>
            <w:rStyle w:val="Hyperlink"/>
          </w:rPr>
          <w:t xml:space="preserve">[114]</w:t>
        </w:r>
      </w:hyperlink>
    </w:p>
    <w:p>
      <w:pPr>
        <w:pStyle w:val="Compact"/>
        <w:numPr>
          <w:ilvl w:val="0"/>
          <w:numId w:val="1011"/>
        </w:numPr>
      </w:pPr>
      <w:r>
        <w:t xml:space="preserve">Andrew Pigors’s objection and affidavits (14th Circuit Court, Aug 2025)</w:t>
      </w:r>
      <w:hyperlink r:id="rId26">
        <w:r>
          <w:rPr>
            <w:rStyle w:val="Hyperlink"/>
          </w:rPr>
          <w:t xml:space="preserve">[54]</w:t>
        </w:r>
      </w:hyperlink>
      <w:hyperlink r:id="rId26">
        <w:r>
          <w:rPr>
            <w:rStyle w:val="Hyperlink"/>
          </w:rPr>
          <w:t xml:space="preserve">[58]</w:t>
        </w:r>
      </w:hyperlink>
    </w:p>
    <w:p>
      <w:pPr>
        <w:pStyle w:val="Compact"/>
        <w:numPr>
          <w:ilvl w:val="0"/>
          <w:numId w:val="1011"/>
        </w:numPr>
      </w:pPr>
      <w:r>
        <w:t xml:space="preserve">Pigors v. Watson draft complaint and case notes (IIED and custody)</w:t>
      </w:r>
      <w:hyperlink r:id="rId21">
        <w:r>
          <w:rPr>
            <w:rStyle w:val="Hyperlink"/>
          </w:rPr>
          <w:t xml:space="preserve">[115]</w:t>
        </w:r>
      </w:hyperlink>
      <w:hyperlink r:id="rId21">
        <w:r>
          <w:rPr>
            <w:rStyle w:val="Hyperlink"/>
          </w:rPr>
          <w:t xml:space="preserve">[81]</w:t>
        </w:r>
      </w:hyperlink>
    </w:p>
    <w:p>
      <w:pPr>
        <w:pStyle w:val="Compact"/>
        <w:numPr>
          <w:ilvl w:val="0"/>
          <w:numId w:val="1011"/>
        </w:numPr>
      </w:pPr>
      <w:r>
        <w:t xml:space="preserve">Norton Shores Police Department reports index</w:t>
      </w:r>
      <w:hyperlink r:id="rId22">
        <w:r>
          <w:rPr>
            <w:rStyle w:val="Hyperlink"/>
          </w:rPr>
          <w:t xml:space="preserve">[106]</w:t>
        </w:r>
      </w:hyperlink>
      <w:hyperlink r:id="rId22">
        <w:r>
          <w:rPr>
            <w:rStyle w:val="Hyperlink"/>
          </w:rPr>
          <w:t xml:space="preserve">[7]</w:t>
        </w:r>
      </w:hyperlink>
    </w:p>
    <w:p>
      <w:pPr>
        <w:pStyle w:val="Compact"/>
        <w:numPr>
          <w:ilvl w:val="0"/>
          <w:numId w:val="1011"/>
        </w:numPr>
      </w:pPr>
      <w:r>
        <w:t xml:space="preserve">Composite case report on Shady Oaks &amp; Alden Global Capital’s conduct</w:t>
      </w:r>
      <w:hyperlink r:id="rId24">
        <w:r>
          <w:rPr>
            <w:rStyle w:val="Hyperlink"/>
          </w:rPr>
          <w:t xml:space="preserve">[76]</w:t>
        </w:r>
      </w:hyperlink>
      <w:hyperlink r:id="rId24">
        <w:r>
          <w:rPr>
            <w:rStyle w:val="Hyperlink"/>
          </w:rPr>
          <w:t xml:space="preserve">[27]</w:t>
        </w:r>
      </w:hyperlink>
    </w:p>
    <w:p>
      <w:pPr>
        <w:pStyle w:val="Compact"/>
        <w:numPr>
          <w:ilvl w:val="0"/>
          <w:numId w:val="1011"/>
        </w:numPr>
      </w:pPr>
      <w:r>
        <w:t xml:space="preserve">Context chronology “Watson Trail” (updated Sep 2025)</w:t>
      </w:r>
      <w:hyperlink r:id="rId23">
        <w:r>
          <w:rPr>
            <w:rStyle w:val="Hyperlink"/>
          </w:rPr>
          <w:t xml:space="preserve">[110]</w:t>
        </w:r>
      </w:hyperlink>
      <w:hyperlink r:id="rId23">
        <w:r>
          <w:rPr>
            <w:rStyle w:val="Hyperlink"/>
          </w:rPr>
          <w:t xml:space="preserve">[24]</w:t>
        </w:r>
      </w:hyperlink>
    </w:p>
    <w:bookmarkEnd w:id="37"/>
    <w:bookmarkEnd w:id="38"/>
    <w:bookmarkEnd w:id="39"/>
    <w:p>
      <w:r>
        <w:pict>
          <v:rect style="width:0;height:1.5pt" o:hralign="center" o:hrstd="t" o:hr="t"/>
        </w:pict>
      </w:r>
    </w:p>
    <w:bookmarkStart w:id="4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[9]</w:t>
        </w:r>
      </w:hyperlink>
      <w:r>
        <w:t xml:space="preserve"> </w:t>
      </w:r>
      <w:hyperlink r:id="rId21">
        <w:r>
          <w:rPr>
            <w:rStyle w:val="Hyperlink"/>
          </w:rPr>
          <w:t xml:space="preserve">[16]</w:t>
        </w:r>
      </w:hyperlink>
      <w:r>
        <w:t xml:space="preserve"> </w:t>
      </w:r>
      <w:hyperlink r:id="rId21">
        <w:r>
          <w:rPr>
            <w:rStyle w:val="Hyperlink"/>
          </w:rPr>
          <w:t xml:space="preserve">[20]</w:t>
        </w:r>
      </w:hyperlink>
      <w:r>
        <w:t xml:space="preserve"> </w:t>
      </w:r>
      <w:hyperlink r:id="rId21">
        <w:r>
          <w:rPr>
            <w:rStyle w:val="Hyperlink"/>
          </w:rPr>
          <w:t xml:space="preserve">[78]</w:t>
        </w:r>
      </w:hyperlink>
      <w:r>
        <w:t xml:space="preserve"> </w:t>
      </w:r>
      <w:hyperlink r:id="rId21">
        <w:r>
          <w:rPr>
            <w:rStyle w:val="Hyperlink"/>
          </w:rPr>
          <w:t xml:space="preserve">[81]</w:t>
        </w:r>
      </w:hyperlink>
      <w:r>
        <w:t xml:space="preserve"> </w:t>
      </w:r>
      <w:hyperlink r:id="rId21">
        <w:r>
          <w:rPr>
            <w:rStyle w:val="Hyperlink"/>
          </w:rPr>
          <w:t xml:space="preserve">[82]</w:t>
        </w:r>
      </w:hyperlink>
      <w:r>
        <w:t xml:space="preserve"> </w:t>
      </w:r>
      <w:hyperlink r:id="rId21">
        <w:r>
          <w:rPr>
            <w:rStyle w:val="Hyperlink"/>
          </w:rPr>
          <w:t xml:space="preserve">[83]</w:t>
        </w:r>
      </w:hyperlink>
      <w:r>
        <w:t xml:space="preserve"> </w:t>
      </w:r>
      <w:hyperlink r:id="rId21">
        <w:r>
          <w:rPr>
            <w:rStyle w:val="Hyperlink"/>
          </w:rPr>
          <w:t xml:space="preserve">[84]</w:t>
        </w:r>
      </w:hyperlink>
      <w:r>
        <w:t xml:space="preserve"> </w:t>
      </w:r>
      <w:hyperlink r:id="rId21">
        <w:r>
          <w:rPr>
            <w:rStyle w:val="Hyperlink"/>
          </w:rPr>
          <w:t xml:space="preserve">[85]</w:t>
        </w:r>
      </w:hyperlink>
      <w:r>
        <w:t xml:space="preserve"> </w:t>
      </w:r>
      <w:hyperlink r:id="rId21">
        <w:r>
          <w:rPr>
            <w:rStyle w:val="Hyperlink"/>
          </w:rPr>
          <w:t xml:space="preserve">[86]</w:t>
        </w:r>
      </w:hyperlink>
      <w:r>
        <w:t xml:space="preserve"> </w:t>
      </w:r>
      <w:hyperlink r:id="rId21">
        <w:r>
          <w:rPr>
            <w:rStyle w:val="Hyperlink"/>
          </w:rPr>
          <w:t xml:space="preserve">[87]</w:t>
        </w:r>
      </w:hyperlink>
      <w:r>
        <w:t xml:space="preserve"> </w:t>
      </w:r>
      <w:hyperlink r:id="rId21">
        <w:r>
          <w:rPr>
            <w:rStyle w:val="Hyperlink"/>
          </w:rPr>
          <w:t xml:space="preserve">[88]</w:t>
        </w:r>
      </w:hyperlink>
      <w:r>
        <w:t xml:space="preserve"> </w:t>
      </w:r>
      <w:hyperlink r:id="rId21">
        <w:r>
          <w:rPr>
            <w:rStyle w:val="Hyperlink"/>
          </w:rPr>
          <w:t xml:space="preserve">[89]</w:t>
        </w:r>
      </w:hyperlink>
      <w:r>
        <w:t xml:space="preserve"> </w:t>
      </w:r>
      <w:hyperlink r:id="rId21">
        <w:r>
          <w:rPr>
            <w:rStyle w:val="Hyperlink"/>
          </w:rPr>
          <w:t xml:space="preserve">[96]</w:t>
        </w:r>
      </w:hyperlink>
      <w:r>
        <w:t xml:space="preserve"> </w:t>
      </w:r>
      <w:hyperlink r:id="rId21">
        <w:r>
          <w:rPr>
            <w:rStyle w:val="Hyperlink"/>
          </w:rPr>
          <w:t xml:space="preserve">[115]</w:t>
        </w:r>
      </w:hyperlink>
      <w:r>
        <w:t xml:space="preserve"> </w:t>
      </w:r>
      <w:r>
        <w:t xml:space="preserve">EMILY WATSON FINAL LAWSUIT!!!!! (2024_12_22 19_39_36 UTC).pdf</w:t>
      </w:r>
    </w:p>
    <w:p>
      <w:pPr>
        <w:pStyle w:val="BodyText"/>
      </w:pPr>
      <w:hyperlink r:id="rId21">
        <w:r>
          <w:rPr>
            <w:rStyle w:val="Hyperlink"/>
          </w:rPr>
          <w:t xml:space="preserve">https://drive.google.com/file/d/1xEgkYvDEffbyCl2zJXnYnjmbuB-7Ar_j</w:t>
        </w:r>
      </w:hyperlink>
    </w:p>
    <w:p>
      <w:pPr>
        <w:pStyle w:val="BodyText"/>
      </w:pP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[7]</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[12]</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[22]</w:t>
        </w:r>
      </w:hyperlink>
      <w:r>
        <w:t xml:space="preserve"> </w:t>
      </w:r>
      <w:hyperlink r:id="rId22">
        <w:r>
          <w:rPr>
            <w:rStyle w:val="Hyperlink"/>
          </w:rPr>
          <w:t xml:space="preserve">[79]</w:t>
        </w:r>
      </w:hyperlink>
      <w:r>
        <w:t xml:space="preserve"> </w:t>
      </w:r>
      <w:hyperlink r:id="rId22">
        <w:r>
          <w:rPr>
            <w:rStyle w:val="Hyperlink"/>
          </w:rPr>
          <w:t xml:space="preserve">[80]</w:t>
        </w:r>
      </w:hyperlink>
      <w:r>
        <w:t xml:space="preserve"> </w:t>
      </w:r>
      <w:hyperlink r:id="rId22">
        <w:r>
          <w:rPr>
            <w:rStyle w:val="Hyperlink"/>
          </w:rPr>
          <w:t xml:space="preserve">[95]</w:t>
        </w:r>
      </w:hyperlink>
      <w:r>
        <w:t xml:space="preserve"> </w:t>
      </w:r>
      <w:hyperlink r:id="rId22">
        <w:r>
          <w:rPr>
            <w:rStyle w:val="Hyperlink"/>
          </w:rPr>
          <w:t xml:space="preserve">[103]</w:t>
        </w:r>
      </w:hyperlink>
      <w:r>
        <w:t xml:space="preserve"> </w:t>
      </w:r>
      <w:hyperlink r:id="rId22">
        <w:r>
          <w:rPr>
            <w:rStyle w:val="Hyperlink"/>
          </w:rPr>
          <w:t xml:space="preserve">[104]</w:t>
        </w:r>
      </w:hyperlink>
      <w:r>
        <w:t xml:space="preserve"> </w:t>
      </w:r>
      <w:hyperlink r:id="rId22">
        <w:r>
          <w:rPr>
            <w:rStyle w:val="Hyperlink"/>
          </w:rPr>
          <w:t xml:space="preserve">[105]</w:t>
        </w:r>
      </w:hyperlink>
      <w:r>
        <w:t xml:space="preserve"> </w:t>
      </w:r>
      <w:hyperlink r:id="rId22">
        <w:r>
          <w:rPr>
            <w:rStyle w:val="Hyperlink"/>
          </w:rPr>
          <w:t xml:space="preserve">[106]</w:t>
        </w:r>
      </w:hyperlink>
      <w:r>
        <w:t xml:space="preserve"> </w:t>
      </w:r>
      <w:r>
        <w:t xml:space="preserve">EXHIBIT_STACK_NSPD_POLICE_REPORTS (1).docx</w:t>
      </w:r>
    </w:p>
    <w:p>
      <w:pPr>
        <w:pStyle w:val="BodyText"/>
      </w:pPr>
      <w:hyperlink r:id="rId22">
        <w:r>
          <w:rPr>
            <w:rStyle w:val="Hyperlink"/>
          </w:rPr>
          <w:t xml:space="preserve">https://drive.google.com/file/d/12cuQ6lAWoowmje7QTZ08ODOXmd2ZGeXg</w:t>
        </w:r>
      </w:hyperlink>
    </w:p>
    <w:p>
      <w:pPr>
        <w:pStyle w:val="BodyText"/>
      </w:pPr>
      <w:hyperlink r:id="rId23">
        <w:r>
          <w:rPr>
            <w:rStyle w:val="Hyperlink"/>
          </w:rPr>
          <w:t xml:space="preserve">[6]</w:t>
        </w:r>
      </w:hyperlink>
      <w:r>
        <w:t xml:space="preserve"> </w:t>
      </w:r>
      <w:hyperlink r:id="rId23">
        <w:r>
          <w:rPr>
            <w:rStyle w:val="Hyperlink"/>
          </w:rPr>
          <w:t xml:space="preserve">[11]</w:t>
        </w:r>
      </w:hyperlink>
      <w:r>
        <w:t xml:space="preserve"> </w:t>
      </w:r>
      <w:hyperlink r:id="rId23">
        <w:r>
          <w:rPr>
            <w:rStyle w:val="Hyperlink"/>
          </w:rPr>
          <w:t xml:space="preserve">[15]</w:t>
        </w:r>
      </w:hyperlink>
      <w:r>
        <w:t xml:space="preserve"> </w:t>
      </w:r>
      <w:hyperlink r:id="rId23">
        <w:r>
          <w:rPr>
            <w:rStyle w:val="Hyperlink"/>
          </w:rPr>
          <w:t xml:space="preserve">[21]</w:t>
        </w:r>
      </w:hyperlink>
      <w:r>
        <w:t xml:space="preserve"> </w:t>
      </w:r>
      <w:hyperlink r:id="rId23">
        <w:r>
          <w:rPr>
            <w:rStyle w:val="Hyperlink"/>
          </w:rPr>
          <w:t xml:space="preserve">[23]</w:t>
        </w:r>
      </w:hyperlink>
      <w:r>
        <w:t xml:space="preserve"> </w:t>
      </w:r>
      <w:hyperlink r:id="rId23">
        <w:r>
          <w:rPr>
            <w:rStyle w:val="Hyperlink"/>
          </w:rPr>
          <w:t xml:space="preserve">[24]</w:t>
        </w:r>
      </w:hyperlink>
      <w:r>
        <w:t xml:space="preserve"> </w:t>
      </w:r>
      <w:hyperlink r:id="rId23">
        <w:r>
          <w:rPr>
            <w:rStyle w:val="Hyperlink"/>
          </w:rPr>
          <w:t xml:space="preserve">[45]</w:t>
        </w:r>
      </w:hyperlink>
      <w:r>
        <w:t xml:space="preserve"> </w:t>
      </w:r>
      <w:hyperlink r:id="rId23">
        <w:r>
          <w:rPr>
            <w:rStyle w:val="Hyperlink"/>
          </w:rPr>
          <w:t xml:space="preserve">[46]</w:t>
        </w:r>
      </w:hyperlink>
      <w:r>
        <w:t xml:space="preserve"> </w:t>
      </w:r>
      <w:hyperlink r:id="rId23">
        <w:r>
          <w:rPr>
            <w:rStyle w:val="Hyperlink"/>
          </w:rPr>
          <w:t xml:space="preserve">[47]</w:t>
        </w:r>
      </w:hyperlink>
      <w:r>
        <w:t xml:space="preserve"> </w:t>
      </w:r>
      <w:hyperlink r:id="rId23">
        <w:r>
          <w:rPr>
            <w:rStyle w:val="Hyperlink"/>
          </w:rPr>
          <w:t xml:space="preserve">[59]</w:t>
        </w:r>
      </w:hyperlink>
      <w:r>
        <w:t xml:space="preserve"> </w:t>
      </w:r>
      <w:hyperlink r:id="rId23">
        <w:r>
          <w:rPr>
            <w:rStyle w:val="Hyperlink"/>
          </w:rPr>
          <w:t xml:space="preserve">[60]</w:t>
        </w:r>
      </w:hyperlink>
      <w:r>
        <w:t xml:space="preserve"> </w:t>
      </w:r>
      <w:hyperlink r:id="rId23">
        <w:r>
          <w:rPr>
            <w:rStyle w:val="Hyperlink"/>
          </w:rPr>
          <w:t xml:space="preserve">[90]</w:t>
        </w:r>
      </w:hyperlink>
      <w:r>
        <w:t xml:space="preserve"> </w:t>
      </w:r>
      <w:hyperlink r:id="rId23">
        <w:r>
          <w:rPr>
            <w:rStyle w:val="Hyperlink"/>
          </w:rPr>
          <w:t xml:space="preserve">[91]</w:t>
        </w:r>
      </w:hyperlink>
      <w:r>
        <w:t xml:space="preserve"> </w:t>
      </w:r>
      <w:hyperlink r:id="rId23">
        <w:r>
          <w:rPr>
            <w:rStyle w:val="Hyperlink"/>
          </w:rPr>
          <w:t xml:space="preserve">[92]</w:t>
        </w:r>
      </w:hyperlink>
      <w:r>
        <w:t xml:space="preserve"> </w:t>
      </w:r>
      <w:hyperlink r:id="rId23">
        <w:r>
          <w:rPr>
            <w:rStyle w:val="Hyperlink"/>
          </w:rPr>
          <w:t xml:space="preserve">[93]</w:t>
        </w:r>
      </w:hyperlink>
      <w:r>
        <w:t xml:space="preserve"> </w:t>
      </w:r>
      <w:hyperlink r:id="rId23">
        <w:r>
          <w:rPr>
            <w:rStyle w:val="Hyperlink"/>
          </w:rPr>
          <w:t xml:space="preserve">[94]</w:t>
        </w:r>
      </w:hyperlink>
      <w:r>
        <w:t xml:space="preserve"> </w:t>
      </w:r>
      <w:hyperlink r:id="rId23">
        <w:r>
          <w:rPr>
            <w:rStyle w:val="Hyperlink"/>
          </w:rPr>
          <w:t xml:space="preserve">[97]</w:t>
        </w:r>
      </w:hyperlink>
      <w:r>
        <w:t xml:space="preserve"> </w:t>
      </w:r>
      <w:hyperlink r:id="rId23">
        <w:r>
          <w:rPr>
            <w:rStyle w:val="Hyperlink"/>
          </w:rPr>
          <w:t xml:space="preserve">[98]</w:t>
        </w:r>
      </w:hyperlink>
      <w:r>
        <w:t xml:space="preserve"> </w:t>
      </w:r>
      <w:hyperlink r:id="rId23">
        <w:r>
          <w:rPr>
            <w:rStyle w:val="Hyperlink"/>
          </w:rPr>
          <w:t xml:space="preserve">[107]</w:t>
        </w:r>
      </w:hyperlink>
      <w:r>
        <w:t xml:space="preserve"> </w:t>
      </w:r>
      <w:hyperlink r:id="rId23">
        <w:r>
          <w:rPr>
            <w:rStyle w:val="Hyperlink"/>
          </w:rPr>
          <w:t xml:space="preserve">[109]</w:t>
        </w:r>
      </w:hyperlink>
      <w:r>
        <w:t xml:space="preserve"> </w:t>
      </w:r>
      <w:hyperlink r:id="rId23">
        <w:r>
          <w:rPr>
            <w:rStyle w:val="Hyperlink"/>
          </w:rPr>
          <w:t xml:space="preserve">[110]</w:t>
        </w:r>
      </w:hyperlink>
      <w:r>
        <w:t xml:space="preserve"> </w:t>
      </w:r>
      <w:hyperlink r:id="rId23">
        <w:r>
          <w:rPr>
            <w:rStyle w:val="Hyperlink"/>
          </w:rPr>
          <w:t xml:space="preserve">[111]</w:t>
        </w:r>
      </w:hyperlink>
      <w:r>
        <w:t xml:space="preserve"> </w:t>
      </w:r>
      <w:r>
        <w:t xml:space="preserve">WATSON_CONTEXT_TRAIL(1).txt</w:t>
      </w:r>
    </w:p>
    <w:p>
      <w:pPr>
        <w:pStyle w:val="BodyText"/>
      </w:pPr>
      <w:hyperlink r:id="rId23">
        <w:r>
          <w:rPr>
            <w:rStyle w:val="Hyperlink"/>
          </w:rPr>
          <w:t xml:space="preserve">https://drive.google.com/file/d/1dtDTW8_lLlzl1OBrWoaiJ6LM4TyOt4DQ</w:t>
        </w:r>
      </w:hyperlink>
    </w:p>
    <w:p>
      <w:pPr>
        <w:pStyle w:val="BodyText"/>
      </w:pPr>
      <w:hyperlink r:id="rId24">
        <w:r>
          <w:rPr>
            <w:rStyle w:val="Hyperlink"/>
          </w:rPr>
          <w:t xml:space="preserve">[13]</w:t>
        </w:r>
      </w:hyperlink>
      <w:r>
        <w:t xml:space="preserve"> </w:t>
      </w:r>
      <w:hyperlink r:id="rId24">
        <w:r>
          <w:rPr>
            <w:rStyle w:val="Hyperlink"/>
          </w:rPr>
          <w:t xml:space="preserve">[14]</w:t>
        </w:r>
      </w:hyperlink>
      <w:r>
        <w:t xml:space="preserve"> </w:t>
      </w:r>
      <w:hyperlink r:id="rId24">
        <w:r>
          <w:rPr>
            <w:rStyle w:val="Hyperlink"/>
          </w:rPr>
          <w:t xml:space="preserve">[17]</w:t>
        </w:r>
      </w:hyperlink>
      <w:r>
        <w:t xml:space="preserve"> </w:t>
      </w:r>
      <w:hyperlink r:id="rId24">
        <w:r>
          <w:rPr>
            <w:rStyle w:val="Hyperlink"/>
          </w:rPr>
          <w:t xml:space="preserve">[25]</w:t>
        </w:r>
      </w:hyperlink>
      <w:r>
        <w:t xml:space="preserve"> </w:t>
      </w:r>
      <w:hyperlink r:id="rId24">
        <w:r>
          <w:rPr>
            <w:rStyle w:val="Hyperlink"/>
          </w:rPr>
          <w:t xml:space="preserve">[26]</w:t>
        </w:r>
      </w:hyperlink>
      <w:r>
        <w:t xml:space="preserve"> </w:t>
      </w:r>
      <w:hyperlink r:id="rId24">
        <w:r>
          <w:rPr>
            <w:rStyle w:val="Hyperlink"/>
          </w:rPr>
          <w:t xml:space="preserve">[27]</w:t>
        </w:r>
      </w:hyperlink>
      <w:r>
        <w:t xml:space="preserve"> </w:t>
      </w:r>
      <w:hyperlink r:id="rId24">
        <w:r>
          <w:rPr>
            <w:rStyle w:val="Hyperlink"/>
          </w:rPr>
          <w:t xml:space="preserve">[28]</w:t>
        </w:r>
      </w:hyperlink>
      <w:r>
        <w:t xml:space="preserve"> </w:t>
      </w:r>
      <w:hyperlink r:id="rId24">
        <w:r>
          <w:rPr>
            <w:rStyle w:val="Hyperlink"/>
          </w:rPr>
          <w:t xml:space="preserve">[29]</w:t>
        </w:r>
      </w:hyperlink>
      <w:r>
        <w:t xml:space="preserve"> </w:t>
      </w:r>
      <w:hyperlink r:id="rId24">
        <w:r>
          <w:rPr>
            <w:rStyle w:val="Hyperlink"/>
          </w:rPr>
          <w:t xml:space="preserve">[30]</w:t>
        </w:r>
      </w:hyperlink>
      <w:r>
        <w:t xml:space="preserve"> </w:t>
      </w:r>
      <w:hyperlink r:id="rId24">
        <w:r>
          <w:rPr>
            <w:rStyle w:val="Hyperlink"/>
          </w:rPr>
          <w:t xml:space="preserve">[31]</w:t>
        </w:r>
      </w:hyperlink>
      <w:r>
        <w:t xml:space="preserve"> </w:t>
      </w:r>
      <w:hyperlink r:id="rId24">
        <w:r>
          <w:rPr>
            <w:rStyle w:val="Hyperlink"/>
          </w:rPr>
          <w:t xml:space="preserve">[32]</w:t>
        </w:r>
      </w:hyperlink>
      <w:r>
        <w:t xml:space="preserve"> </w:t>
      </w:r>
      <w:hyperlink r:id="rId24">
        <w:r>
          <w:rPr>
            <w:rStyle w:val="Hyperlink"/>
          </w:rPr>
          <w:t xml:space="preserve">[33]</w:t>
        </w:r>
      </w:hyperlink>
      <w:r>
        <w:t xml:space="preserve"> </w:t>
      </w:r>
      <w:hyperlink r:id="rId24">
        <w:r>
          <w:rPr>
            <w:rStyle w:val="Hyperlink"/>
          </w:rPr>
          <w:t xml:space="preserve">[34]</w:t>
        </w:r>
      </w:hyperlink>
      <w:r>
        <w:t xml:space="preserve"> </w:t>
      </w:r>
      <w:hyperlink r:id="rId24">
        <w:r>
          <w:rPr>
            <w:rStyle w:val="Hyperlink"/>
          </w:rPr>
          <w:t xml:space="preserve">[37]</w:t>
        </w:r>
      </w:hyperlink>
      <w:r>
        <w:t xml:space="preserve"> </w:t>
      </w:r>
      <w:hyperlink r:id="rId24">
        <w:r>
          <w:rPr>
            <w:rStyle w:val="Hyperlink"/>
          </w:rPr>
          <w:t xml:space="preserve">[38]</w:t>
        </w:r>
      </w:hyperlink>
      <w:r>
        <w:t xml:space="preserve"> </w:t>
      </w:r>
      <w:hyperlink r:id="rId24">
        <w:r>
          <w:rPr>
            <w:rStyle w:val="Hyperlink"/>
          </w:rPr>
          <w:t xml:space="preserve">[39]</w:t>
        </w:r>
      </w:hyperlink>
      <w:r>
        <w:t xml:space="preserve"> </w:t>
      </w:r>
      <w:hyperlink r:id="rId24">
        <w:r>
          <w:rPr>
            <w:rStyle w:val="Hyperlink"/>
          </w:rPr>
          <w:t xml:space="preserve">[40]</w:t>
        </w:r>
      </w:hyperlink>
      <w:r>
        <w:t xml:space="preserve"> </w:t>
      </w:r>
      <w:hyperlink r:id="rId24">
        <w:r>
          <w:rPr>
            <w:rStyle w:val="Hyperlink"/>
          </w:rPr>
          <w:t xml:space="preserve">[41]</w:t>
        </w:r>
      </w:hyperlink>
      <w:r>
        <w:t xml:space="preserve"> </w:t>
      </w:r>
      <w:hyperlink r:id="rId24">
        <w:r>
          <w:rPr>
            <w:rStyle w:val="Hyperlink"/>
          </w:rPr>
          <w:t xml:space="preserve">[63]</w:t>
        </w:r>
      </w:hyperlink>
      <w:r>
        <w:t xml:space="preserve"> </w:t>
      </w:r>
      <w:hyperlink r:id="rId24">
        <w:r>
          <w:rPr>
            <w:rStyle w:val="Hyperlink"/>
          </w:rPr>
          <w:t xml:space="preserve">[64]</w:t>
        </w:r>
      </w:hyperlink>
      <w:r>
        <w:t xml:space="preserve"> </w:t>
      </w:r>
      <w:hyperlink r:id="rId24">
        <w:r>
          <w:rPr>
            <w:rStyle w:val="Hyperlink"/>
          </w:rPr>
          <w:t xml:space="preserve">[65]</w:t>
        </w:r>
      </w:hyperlink>
      <w:r>
        <w:t xml:space="preserve"> </w:t>
      </w:r>
      <w:hyperlink r:id="rId24">
        <w:r>
          <w:rPr>
            <w:rStyle w:val="Hyperlink"/>
          </w:rPr>
          <w:t xml:space="preserve">[66]</w:t>
        </w:r>
      </w:hyperlink>
      <w:r>
        <w:t xml:space="preserve"> </w:t>
      </w:r>
      <w:hyperlink r:id="rId24">
        <w:r>
          <w:rPr>
            <w:rStyle w:val="Hyperlink"/>
          </w:rPr>
          <w:t xml:space="preserve">[67]</w:t>
        </w:r>
      </w:hyperlink>
      <w:r>
        <w:t xml:space="preserve"> </w:t>
      </w:r>
      <w:hyperlink r:id="rId24">
        <w:r>
          <w:rPr>
            <w:rStyle w:val="Hyperlink"/>
          </w:rPr>
          <w:t xml:space="preserve">[68]</w:t>
        </w:r>
      </w:hyperlink>
      <w:r>
        <w:t xml:space="preserve"> </w:t>
      </w:r>
      <w:hyperlink r:id="rId24">
        <w:r>
          <w:rPr>
            <w:rStyle w:val="Hyperlink"/>
          </w:rPr>
          <w:t xml:space="preserve">[69]</w:t>
        </w:r>
      </w:hyperlink>
      <w:r>
        <w:t xml:space="preserve"> </w:t>
      </w:r>
      <w:hyperlink r:id="rId24">
        <w:r>
          <w:rPr>
            <w:rStyle w:val="Hyperlink"/>
          </w:rPr>
          <w:t xml:space="preserve">[70]</w:t>
        </w:r>
      </w:hyperlink>
      <w:r>
        <w:t xml:space="preserve"> </w:t>
      </w:r>
      <w:hyperlink r:id="rId24">
        <w:r>
          <w:rPr>
            <w:rStyle w:val="Hyperlink"/>
          </w:rPr>
          <w:t xml:space="preserve">[71]</w:t>
        </w:r>
      </w:hyperlink>
      <w:r>
        <w:t xml:space="preserve"> </w:t>
      </w:r>
      <w:hyperlink r:id="rId24">
        <w:r>
          <w:rPr>
            <w:rStyle w:val="Hyperlink"/>
          </w:rPr>
          <w:t xml:space="preserve">[73]</w:t>
        </w:r>
      </w:hyperlink>
      <w:r>
        <w:t xml:space="preserve"> </w:t>
      </w:r>
      <w:hyperlink r:id="rId24">
        <w:r>
          <w:rPr>
            <w:rStyle w:val="Hyperlink"/>
          </w:rPr>
          <w:t xml:space="preserve">[74]</w:t>
        </w:r>
      </w:hyperlink>
      <w:r>
        <w:t xml:space="preserve"> </w:t>
      </w:r>
      <w:hyperlink r:id="rId24">
        <w:r>
          <w:rPr>
            <w:rStyle w:val="Hyperlink"/>
          </w:rPr>
          <w:t xml:space="preserve">[75]</w:t>
        </w:r>
      </w:hyperlink>
      <w:r>
        <w:t xml:space="preserve"> </w:t>
      </w:r>
      <w:hyperlink r:id="rId24">
        <w:r>
          <w:rPr>
            <w:rStyle w:val="Hyperlink"/>
          </w:rPr>
          <w:t xml:space="preserve">[76]</w:t>
        </w:r>
      </w:hyperlink>
      <w:r>
        <w:t xml:space="preserve"> </w:t>
      </w:r>
      <w:hyperlink r:id="rId24">
        <w:r>
          <w:rPr>
            <w:rStyle w:val="Hyperlink"/>
          </w:rPr>
          <w:t xml:space="preserve">[77]</w:t>
        </w:r>
      </w:hyperlink>
      <w:r>
        <w:t xml:space="preserve"> </w:t>
      </w:r>
      <w:hyperlink r:id="rId24">
        <w:r>
          <w:rPr>
            <w:rStyle w:val="Hyperlink"/>
          </w:rPr>
          <w:t xml:space="preserve">[112]</w:t>
        </w:r>
      </w:hyperlink>
      <w:r>
        <w:t xml:space="preserve"> </w:t>
      </w:r>
      <w:r>
        <w:t xml:space="preserve">Case Report_ Unlawful Eviction and Damages at Shady Oaks (Homes of America_Alden Global).pdf</w:t>
      </w:r>
    </w:p>
    <w:p>
      <w:pPr>
        <w:pStyle w:val="BodyText"/>
      </w:pPr>
      <w:hyperlink r:id="rId24">
        <w:r>
          <w:rPr>
            <w:rStyle w:val="Hyperlink"/>
          </w:rPr>
          <w:t xml:space="preserve">https://drive.google.com/file/d/1O3ocM3zbuS12_dn-2HWOQQTy5ufkKgfz</w:t>
        </w:r>
      </w:hyperlink>
    </w:p>
    <w:p>
      <w:pPr>
        <w:pStyle w:val="BodyText"/>
      </w:pPr>
      <w:hyperlink r:id="rId25">
        <w:r>
          <w:rPr>
            <w:rStyle w:val="Hyperlink"/>
          </w:rPr>
          <w:t xml:space="preserve">[35]</w:t>
        </w:r>
      </w:hyperlink>
      <w:r>
        <w:t xml:space="preserve"> </w:t>
      </w:r>
      <w:hyperlink r:id="rId25">
        <w:r>
          <w:rPr>
            <w:rStyle w:val="Hyperlink"/>
          </w:rPr>
          <w:t xml:space="preserve">[36]</w:t>
        </w:r>
      </w:hyperlink>
      <w:r>
        <w:t xml:space="preserve"> </w:t>
      </w:r>
      <w:hyperlink r:id="rId25">
        <w:r>
          <w:rPr>
            <w:rStyle w:val="Hyperlink"/>
          </w:rPr>
          <w:t xml:space="preserve">[42]</w:t>
        </w:r>
      </w:hyperlink>
      <w:r>
        <w:t xml:space="preserve"> </w:t>
      </w:r>
      <w:hyperlink r:id="rId25">
        <w:r>
          <w:rPr>
            <w:rStyle w:val="Hyperlink"/>
          </w:rPr>
          <w:t xml:space="preserve">[43]</w:t>
        </w:r>
      </w:hyperlink>
      <w:r>
        <w:t xml:space="preserve"> </w:t>
      </w:r>
      <w:hyperlink r:id="rId25">
        <w:r>
          <w:rPr>
            <w:rStyle w:val="Hyperlink"/>
          </w:rPr>
          <w:t xml:space="preserve">[44]</w:t>
        </w:r>
      </w:hyperlink>
      <w:r>
        <w:t xml:space="preserve"> </w:t>
      </w:r>
      <w:hyperlink r:id="rId25">
        <w:r>
          <w:rPr>
            <w:rStyle w:val="Hyperlink"/>
          </w:rPr>
          <w:t xml:space="preserve">[99]</w:t>
        </w:r>
      </w:hyperlink>
      <w:r>
        <w:t xml:space="preserve"> </w:t>
      </w:r>
      <w:hyperlink r:id="rId25">
        <w:r>
          <w:rPr>
            <w:rStyle w:val="Hyperlink"/>
          </w:rPr>
          <w:t xml:space="preserve">[100]</w:t>
        </w:r>
      </w:hyperlink>
      <w:r>
        <w:t xml:space="preserve"> </w:t>
      </w:r>
      <w:hyperlink r:id="rId25">
        <w:r>
          <w:rPr>
            <w:rStyle w:val="Hyperlink"/>
          </w:rPr>
          <w:t xml:space="preserve">[101]</w:t>
        </w:r>
      </w:hyperlink>
      <w:r>
        <w:t xml:space="preserve"> </w:t>
      </w:r>
      <w:hyperlink r:id="rId25">
        <w:r>
          <w:rPr>
            <w:rStyle w:val="Hyperlink"/>
          </w:rPr>
          <w:t xml:space="preserve">[102]</w:t>
        </w:r>
      </w:hyperlink>
      <w:r>
        <w:t xml:space="preserve"> </w:t>
      </w:r>
      <w:r>
        <w:t xml:space="preserve">Shady Oaks (1).pdf</w:t>
      </w:r>
    </w:p>
    <w:p>
      <w:pPr>
        <w:pStyle w:val="BodyText"/>
      </w:pPr>
      <w:hyperlink r:id="rId25">
        <w:r>
          <w:rPr>
            <w:rStyle w:val="Hyperlink"/>
          </w:rPr>
          <w:t xml:space="preserve">https://drive.google.com/file/d/1c_kta3mOOO4kaHSw0FnZAWQAquWd42xU</w:t>
        </w:r>
      </w:hyperlink>
    </w:p>
    <w:p>
      <w:pPr>
        <w:pStyle w:val="BodyText"/>
      </w:pPr>
      <w:hyperlink r:id="rId26">
        <w:r>
          <w:rPr>
            <w:rStyle w:val="Hyperlink"/>
          </w:rPr>
          <w:t xml:space="preserve">[48]</w:t>
        </w:r>
      </w:hyperlink>
      <w:r>
        <w:t xml:space="preserve"> </w:t>
      </w:r>
      <w:hyperlink r:id="rId26">
        <w:r>
          <w:rPr>
            <w:rStyle w:val="Hyperlink"/>
          </w:rPr>
          <w:t xml:space="preserve">[49]</w:t>
        </w:r>
      </w:hyperlink>
      <w:r>
        <w:t xml:space="preserve"> </w:t>
      </w:r>
      <w:hyperlink r:id="rId26">
        <w:r>
          <w:rPr>
            <w:rStyle w:val="Hyperlink"/>
          </w:rPr>
          <w:t xml:space="preserve">[50]</w:t>
        </w:r>
      </w:hyperlink>
      <w:r>
        <w:t xml:space="preserve"> </w:t>
      </w:r>
      <w:hyperlink r:id="rId26">
        <w:r>
          <w:rPr>
            <w:rStyle w:val="Hyperlink"/>
          </w:rPr>
          <w:t xml:space="preserve">[51]</w:t>
        </w:r>
      </w:hyperlink>
      <w:r>
        <w:t xml:space="preserve"> </w:t>
      </w:r>
      <w:hyperlink r:id="rId26">
        <w:r>
          <w:rPr>
            <w:rStyle w:val="Hyperlink"/>
          </w:rPr>
          <w:t xml:space="preserve">[52]</w:t>
        </w:r>
      </w:hyperlink>
      <w:r>
        <w:t xml:space="preserve"> </w:t>
      </w:r>
      <w:hyperlink r:id="rId26">
        <w:r>
          <w:rPr>
            <w:rStyle w:val="Hyperlink"/>
          </w:rPr>
          <w:t xml:space="preserve">[53]</w:t>
        </w:r>
      </w:hyperlink>
      <w:r>
        <w:t xml:space="preserve"> </w:t>
      </w:r>
      <w:hyperlink r:id="rId26">
        <w:r>
          <w:rPr>
            <w:rStyle w:val="Hyperlink"/>
          </w:rPr>
          <w:t xml:space="preserve">[54]</w:t>
        </w:r>
      </w:hyperlink>
      <w:r>
        <w:t xml:space="preserve"> </w:t>
      </w:r>
      <w:hyperlink r:id="rId26">
        <w:r>
          <w:rPr>
            <w:rStyle w:val="Hyperlink"/>
          </w:rPr>
          <w:t xml:space="preserve">[55]</w:t>
        </w:r>
      </w:hyperlink>
      <w:r>
        <w:t xml:space="preserve"> </w:t>
      </w:r>
      <w:hyperlink r:id="rId26">
        <w:r>
          <w:rPr>
            <w:rStyle w:val="Hyperlink"/>
          </w:rPr>
          <w:t xml:space="preserve">[56]</w:t>
        </w:r>
      </w:hyperlink>
      <w:r>
        <w:t xml:space="preserve"> </w:t>
      </w:r>
      <w:hyperlink r:id="rId26">
        <w:r>
          <w:rPr>
            <w:rStyle w:val="Hyperlink"/>
          </w:rPr>
          <w:t xml:space="preserve">[57]</w:t>
        </w:r>
      </w:hyperlink>
      <w:r>
        <w:t xml:space="preserve"> </w:t>
      </w:r>
      <w:hyperlink r:id="rId26">
        <w:r>
          <w:rPr>
            <w:rStyle w:val="Hyperlink"/>
          </w:rPr>
          <w:t xml:space="preserve">[58]</w:t>
        </w:r>
      </w:hyperlink>
      <w:r>
        <w:t xml:space="preserve"> </w:t>
      </w:r>
      <w:hyperlink r:id="rId26">
        <w:r>
          <w:rPr>
            <w:rStyle w:val="Hyperlink"/>
          </w:rPr>
          <w:t xml:space="preserve">[72]</w:t>
        </w:r>
      </w:hyperlink>
      <w:r>
        <w:t xml:space="preserve"> </w:t>
      </w:r>
      <w:hyperlink r:id="rId26">
        <w:r>
          <w:rPr>
            <w:rStyle w:val="Hyperlink"/>
          </w:rPr>
          <w:t xml:space="preserve">[114]</w:t>
        </w:r>
      </w:hyperlink>
      <w:r>
        <w:t xml:space="preserve"> </w:t>
      </w:r>
      <w:r>
        <w:t xml:space="preserve">SHADYOAKSAUGUSTFILINGS.txt</w:t>
      </w:r>
    </w:p>
    <w:p>
      <w:pPr>
        <w:pStyle w:val="BodyText"/>
      </w:pPr>
      <w:hyperlink r:id="rId26">
        <w:r>
          <w:rPr>
            <w:rStyle w:val="Hyperlink"/>
          </w:rPr>
          <w:t xml:space="preserve">https://drive.google.com/file/d/1S0B7AtitgiAmDRWXjSkvTVXrSqZt48bB</w:t>
        </w:r>
      </w:hyperlink>
    </w:p>
    <w:p>
      <w:pPr>
        <w:pStyle w:val="BodyText"/>
      </w:pPr>
      <w:hyperlink r:id="rId27">
        <w:r>
          <w:rPr>
            <w:rStyle w:val="Hyperlink"/>
          </w:rPr>
          <w:t xml:space="preserve">[61]</w:t>
        </w:r>
      </w:hyperlink>
      <w:r>
        <w:t xml:space="preserve"> </w:t>
      </w:r>
      <w:hyperlink r:id="rId27">
        <w:r>
          <w:rPr>
            <w:rStyle w:val="Hyperlink"/>
          </w:rPr>
          <w:t xml:space="preserve">[62]</w:t>
        </w:r>
      </w:hyperlink>
      <w:r>
        <w:t xml:space="preserve"> </w:t>
      </w:r>
      <w:r>
        <w:t xml:space="preserve">DEEP RESEARCH ALDEN GLOBAL HOA.txt</w:t>
      </w:r>
    </w:p>
    <w:p>
      <w:pPr>
        <w:pStyle w:val="BodyText"/>
      </w:pPr>
      <w:hyperlink r:id="rId27">
        <w:r>
          <w:rPr>
            <w:rStyle w:val="Hyperlink"/>
          </w:rPr>
          <w:t xml:space="preserve">https://drive.google.com/file/d/1jGzk8UQGO_Rj4kM1M4qY1WhJD97zPQjG</w:t>
        </w:r>
      </w:hyperlink>
    </w:p>
    <w:p>
      <w:pPr>
        <w:pStyle w:val="BodyText"/>
      </w:pPr>
      <w:hyperlink r:id="rId34">
        <w:r>
          <w:rPr>
            <w:rStyle w:val="Hyperlink"/>
          </w:rPr>
          <w:t xml:space="preserve">[108]</w:t>
        </w:r>
      </w:hyperlink>
      <w:r>
        <w:t xml:space="preserve"> </w:t>
      </w:r>
      <w:hyperlink r:id="rId36">
        <w:r>
          <w:rPr>
            <w:rStyle w:val="Hyperlink"/>
          </w:rPr>
          <w:t xml:space="preserve">[113]</w:t>
        </w:r>
      </w:hyperlink>
      <w:r>
        <w:t xml:space="preserve"> </w:t>
      </w:r>
      <w:r>
        <w:t xml:space="preserve">(No Subject)</w:t>
      </w:r>
    </w:p>
    <w:p>
      <w:pPr>
        <w:pStyle w:val="BodyText"/>
      </w:pPr>
      <w:hyperlink r:id="rId40">
        <w:r>
          <w:rPr>
            <w:rStyle w:val="Hyperlink"/>
          </w:rPr>
          <w:t xml:space="preserve">https://mail.google.com/mail/u/0/</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rive.google.com/file/d/12cuQ6lAWoowmje7QTZ08ODOXmd2ZGeXg" TargetMode="External" /><Relationship Type="http://schemas.openxmlformats.org/officeDocument/2006/relationships/hyperlink" Id="rId24" Target="https://drive.google.com/file/d/1O3ocM3zbuS12_dn-2HWOQQTy5ufkKgfz" TargetMode="External" /><Relationship Type="http://schemas.openxmlformats.org/officeDocument/2006/relationships/hyperlink" Id="rId26" Target="https://drive.google.com/file/d/1S0B7AtitgiAmDRWXjSkvTVXrSqZt48bB" TargetMode="External" /><Relationship Type="http://schemas.openxmlformats.org/officeDocument/2006/relationships/hyperlink" Id="rId25" Target="https://drive.google.com/file/d/1c_kta3mOOO4kaHSw0FnZAWQAquWd42xU" TargetMode="External" /><Relationship Type="http://schemas.openxmlformats.org/officeDocument/2006/relationships/hyperlink" Id="rId23" Target="https://drive.google.com/file/d/1dtDTW8_lLlzl1OBrWoaiJ6LM4TyOt4DQ" TargetMode="External" /><Relationship Type="http://schemas.openxmlformats.org/officeDocument/2006/relationships/hyperlink" Id="rId27" Target="https://drive.google.com/file/d/1jGzk8UQGO_Rj4kM1M4qY1WhJD97zPQjG" TargetMode="External" /><Relationship Type="http://schemas.openxmlformats.org/officeDocument/2006/relationships/hyperlink" Id="rId21" Target="https://drive.google.com/file/d/1xEgkYvDEffbyCl2zJXnYnjmbuB-7Ar_j" TargetMode="External" /><Relationship Type="http://schemas.openxmlformats.org/officeDocument/2006/relationships/hyperlink" Id="rId40" Target="https://mail.google.com/mail/u/0/" TargetMode="External" /><Relationship Type="http://schemas.openxmlformats.org/officeDocument/2006/relationships/hyperlink" Id="rId36" Target="https://mail.google.com/mail/u/0/#all/1976ca0ac430bea3" TargetMode="External" /><Relationship Type="http://schemas.openxmlformats.org/officeDocument/2006/relationships/hyperlink" Id="rId34" Target="https://mail.google.com/mail/u/0/#all/1993537a1459f1bf" TargetMode="External" /></Relationships>
</file>

<file path=word/_rels/footnotes.xml.rels><?xml version="1.0" encoding="UTF-8"?><Relationships xmlns="http://schemas.openxmlformats.org/package/2006/relationships"><Relationship Type="http://schemas.openxmlformats.org/officeDocument/2006/relationships/hyperlink" Id="rId22" Target="https://drive.google.com/file/d/12cuQ6lAWoowmje7QTZ08ODOXmd2ZGeXg" TargetMode="External" /><Relationship Type="http://schemas.openxmlformats.org/officeDocument/2006/relationships/hyperlink" Id="rId24" Target="https://drive.google.com/file/d/1O3ocM3zbuS12_dn-2HWOQQTy5ufkKgfz" TargetMode="External" /><Relationship Type="http://schemas.openxmlformats.org/officeDocument/2006/relationships/hyperlink" Id="rId26" Target="https://drive.google.com/file/d/1S0B7AtitgiAmDRWXjSkvTVXrSqZt48bB" TargetMode="External" /><Relationship Type="http://schemas.openxmlformats.org/officeDocument/2006/relationships/hyperlink" Id="rId25" Target="https://drive.google.com/file/d/1c_kta3mOOO4kaHSw0FnZAWQAquWd42xU" TargetMode="External" /><Relationship Type="http://schemas.openxmlformats.org/officeDocument/2006/relationships/hyperlink" Id="rId23" Target="https://drive.google.com/file/d/1dtDTW8_lLlzl1OBrWoaiJ6LM4TyOt4DQ" TargetMode="External" /><Relationship Type="http://schemas.openxmlformats.org/officeDocument/2006/relationships/hyperlink" Id="rId27" Target="https://drive.google.com/file/d/1jGzk8UQGO_Rj4kM1M4qY1WhJD97zPQjG" TargetMode="External" /><Relationship Type="http://schemas.openxmlformats.org/officeDocument/2006/relationships/hyperlink" Id="rId21" Target="https://drive.google.com/file/d/1xEgkYvDEffbyCl2zJXnYnjmbuB-7Ar_j" TargetMode="External" /><Relationship Type="http://schemas.openxmlformats.org/officeDocument/2006/relationships/hyperlink" Id="rId40" Target="https://mail.google.com/mail/u/0/" TargetMode="External" /><Relationship Type="http://schemas.openxmlformats.org/officeDocument/2006/relationships/hyperlink" Id="rId36" Target="https://mail.google.com/mail/u/0/#all/1976ca0ac430bea3" TargetMode="External" /><Relationship Type="http://schemas.openxmlformats.org/officeDocument/2006/relationships/hyperlink" Id="rId34" Target="https://mail.google.com/mail/u/0/#all/1993537a1459f1b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2025-10-08T17:19:23Z</dcterms:created>
  <dcterms:modified xsi:type="dcterms:W3CDTF">2025-10-08T17:19:23Z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