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sz w:val="24"/>
        </w:rPr>
        <w:t>STATE OF MICHIGAN</w:t>
      </w:r>
    </w:p>
    <w:p>
      <w:pPr>
        <w:spacing w:before="0" w:after="0" w:line="480" w:lineRule="auto"/>
        <w:jc w:val="center"/>
      </w:pPr>
      <w:r>
        <w:rPr>
          <w:rFonts w:ascii="Times New Roman" w:hAnsi="Times New Roman"/>
          <w:b/>
          <w:sz w:val="24"/>
        </w:rPr>
        <w:t>IN THE CIRCUIT COURT FOR THE COUNTY OF MUSKEGON</w:t>
      </w:r>
    </w:p>
    <w:p>
      <w:pPr>
        <w:spacing w:before="0" w:after="0" w:line="480" w:lineRule="auto"/>
        <w:jc w:val="center"/>
      </w:pPr>
      <w:r>
        <w:rPr>
          <w:rFonts w:ascii="Times New Roman" w:hAnsi="Times New Roman"/>
          <w:b/>
          <w:sz w:val="24"/>
        </w:rPr>
        <w:t>14TH JUDICIAL CIRCUIT – FAMILY DIVISION</w:t>
      </w:r>
    </w:p>
    <w:p/>
    <w:tbl>
      <w:tblPr>
        <w:tblW w:type="auto" w:w="0"/>
        <w:jc w:val="center"/>
        <w:tblLayout w:type="autofit"/>
        <w:tblLook w:firstColumn="1" w:firstRow="1" w:lastColumn="0" w:lastRow="0" w:noHBand="0" w:noVBand="1" w:val="04A0"/>
      </w:tblPr>
      <w:tblGrid>
        <w:gridCol w:w="4680"/>
        <w:gridCol w:w="4680"/>
      </w:tblGrid>
      <w:tr>
        <w:tc>
          <w:tcPr>
            <w:tcW w:type="dxa" w:w="4680"/>
          </w:tcPr>
          <w:p>
            <w:pPr>
              <w:spacing w:before="0" w:after="0" w:line="480" w:lineRule="auto"/>
            </w:pPr>
            <w:r>
              <w:rPr>
                <w:rFonts w:ascii="Times New Roman" w:hAnsi="Times New Roman"/>
                <w:sz w:val="24"/>
              </w:rPr>
              <w:t>ANDREW J. PIGORS,</w:t>
            </w:r>
          </w:p>
          <w:p>
            <w:pPr>
              <w:spacing w:before="0" w:after="0" w:line="480" w:lineRule="auto"/>
            </w:pPr>
            <w:r>
              <w:rPr>
                <w:rFonts w:ascii="Times New Roman" w:hAnsi="Times New Roman"/>
                <w:sz w:val="24"/>
              </w:rPr>
              <w:t xml:space="preserve">   Plaintiff,</w:t>
            </w:r>
          </w:p>
          <w:p>
            <w:pPr>
              <w:spacing w:before="0" w:after="0" w:line="480" w:lineRule="auto"/>
            </w:pPr>
          </w:p>
          <w:p>
            <w:pPr>
              <w:spacing w:before="0" w:after="0" w:line="480" w:lineRule="auto"/>
            </w:pPr>
            <w:r>
              <w:rPr>
                <w:rFonts w:ascii="Times New Roman" w:hAnsi="Times New Roman"/>
                <w:sz w:val="24"/>
              </w:rPr>
              <w:t>v.</w:t>
            </w:r>
          </w:p>
          <w:p>
            <w:pPr>
              <w:spacing w:before="0" w:after="0" w:line="480" w:lineRule="auto"/>
            </w:pPr>
          </w:p>
          <w:p>
            <w:pPr>
              <w:spacing w:before="0" w:after="0" w:line="480" w:lineRule="auto"/>
            </w:pPr>
            <w:r>
              <w:rPr>
                <w:rFonts w:ascii="Times New Roman" w:hAnsi="Times New Roman"/>
                <w:sz w:val="24"/>
              </w:rPr>
              <w:t>EMILY A. WATSON,</w:t>
            </w:r>
          </w:p>
          <w:p>
            <w:pPr>
              <w:spacing w:before="0" w:after="0" w:line="480" w:lineRule="auto"/>
            </w:pPr>
            <w:r>
              <w:rPr>
                <w:rFonts w:ascii="Times New Roman" w:hAnsi="Times New Roman"/>
                <w:sz w:val="24"/>
              </w:rPr>
              <w:t xml:space="preserve">   Defendant.</w:t>
            </w:r>
          </w:p>
        </w:tc>
        <w:tc>
          <w:tcPr>
            <w:tcW w:type="dxa" w:w="4680"/>
          </w:tcPr>
          <w:p>
            <w:pPr>
              <w:spacing w:before="0" w:after="0" w:line="480" w:lineRule="auto"/>
            </w:pPr>
            <w:r>
              <w:rPr>
                <w:rFonts w:ascii="Times New Roman" w:hAnsi="Times New Roman"/>
                <w:sz w:val="24"/>
              </w:rPr>
              <w:t>Case No.: 2024-001507-DC</w:t>
            </w:r>
          </w:p>
          <w:p>
            <w:pPr>
              <w:spacing w:before="0" w:after="0" w:line="480" w:lineRule="auto"/>
            </w:pPr>
            <w:r>
              <w:rPr>
                <w:rFonts w:ascii="Times New Roman" w:hAnsi="Times New Roman"/>
                <w:sz w:val="24"/>
              </w:rPr>
              <w:t>Hon. Jenny L. McNeill</w:t>
            </w:r>
          </w:p>
          <w:p>
            <w:pPr>
              <w:spacing w:before="0" w:after="0" w:line="480" w:lineRule="auto"/>
            </w:pPr>
          </w:p>
          <w:p>
            <w:pPr>
              <w:spacing w:before="0" w:after="0" w:line="480" w:lineRule="auto"/>
            </w:pPr>
            <w:r>
              <w:rPr>
                <w:rFonts w:ascii="Times New Roman" w:hAnsi="Times New Roman"/>
                <w:sz w:val="24"/>
              </w:rPr>
              <w:t>DRAFT — FILE-READY AFTER</w:t>
            </w:r>
          </w:p>
          <w:p>
            <w:pPr>
              <w:spacing w:before="0" w:after="0" w:line="480" w:lineRule="auto"/>
            </w:pPr>
            <w:r>
              <w:rPr>
                <w:rFonts w:ascii="Times New Roman" w:hAnsi="Times New Roman"/>
                <w:sz w:val="24"/>
              </w:rPr>
              <w:t>OPERATING ORDER PIN +</w:t>
            </w:r>
          </w:p>
          <w:p>
            <w:pPr>
              <w:spacing w:before="0" w:after="0" w:line="480" w:lineRule="auto"/>
            </w:pPr>
            <w:r>
              <w:rPr>
                <w:rFonts w:ascii="Times New Roman" w:hAnsi="Times New Roman"/>
                <w:sz w:val="24"/>
              </w:rPr>
              <w:t>SERVICE / DEADLINE CHECK</w:t>
            </w:r>
          </w:p>
        </w:tc>
      </w:tr>
    </w:tbl>
    <w:p/>
    <w:p>
      <w:pPr>
        <w:spacing w:before="0" w:after="0" w:line="480" w:lineRule="auto"/>
        <w:jc w:val="center"/>
      </w:pPr>
      <w:r>
        <w:rPr>
          <w:rFonts w:ascii="Times New Roman" w:hAnsi="Times New Roman"/>
          <w:b/>
          <w:sz w:val="24"/>
        </w:rPr>
        <w:t>VERIFIED EMERGENCY MOTION</w:t>
      </w:r>
    </w:p>
    <w:p>
      <w:pPr>
        <w:spacing w:before="0" w:after="0" w:line="480" w:lineRule="auto"/>
        <w:jc w:val="center"/>
      </w:pPr>
      <w:r>
        <w:rPr>
          <w:rFonts w:ascii="Times New Roman" w:hAnsi="Times New Roman"/>
          <w:b/>
          <w:sz w:val="24"/>
        </w:rPr>
        <w:t>TO RESTORE PARENTING TIME; FOR RELIEF FROM EX PARTE ORDER;</w:t>
      </w:r>
    </w:p>
    <w:p>
      <w:pPr>
        <w:spacing w:before="0" w:after="0" w:line="480" w:lineRule="auto"/>
        <w:jc w:val="center"/>
      </w:pPr>
      <w:r>
        <w:rPr>
          <w:rFonts w:ascii="Times New Roman" w:hAnsi="Times New Roman"/>
          <w:b/>
          <w:sz w:val="24"/>
        </w:rPr>
        <w:t>TO SET EXPEDITED EVIDENTIARY HEARING; AND TO STAY SANCTIONS</w:t>
      </w:r>
    </w:p>
    <w:p/>
    <w:p>
      <w:pPr>
        <w:spacing w:before="240" w:after="0" w:line="480" w:lineRule="auto"/>
      </w:pPr>
      <w:r>
        <w:rPr>
          <w:rFonts w:ascii="Times New Roman" w:hAnsi="Times New Roman"/>
          <w:b/>
          <w:sz w:val="24"/>
        </w:rPr>
        <w:t>I. RELIEF REQUESTED</w:t>
      </w:r>
    </w:p>
    <w:p>
      <w:pPr>
        <w:spacing w:before="0" w:after="0" w:line="480" w:lineRule="auto"/>
        <w:jc w:val="left"/>
      </w:pPr>
      <w:r>
        <w:rPr>
          <w:rFonts w:ascii="Times New Roman" w:hAnsi="Times New Roman"/>
          <w:b w:val="0"/>
          <w:i w:val="0"/>
          <w:sz w:val="24"/>
        </w:rPr>
        <w:t>Plaintiff Andrew J. Pigors moves this Court under MCR 2.119 and related authority for immediate relief restoring parenting time (structured/supervised if the Court deems necessary), setting an expedited evidentiary hearing date certain, and granting relief from the continuing effects of the emergency ex parte suspension order(s).</w:t>
      </w:r>
    </w:p>
    <w:p>
      <w:pPr>
        <w:spacing w:before="0" w:after="0" w:line="480" w:lineRule="auto"/>
        <w:jc w:val="left"/>
      </w:pPr>
      <w:r>
        <w:rPr>
          <w:rFonts w:ascii="Times New Roman" w:hAnsi="Times New Roman"/>
          <w:b w:val="0"/>
          <w:i w:val="0"/>
          <w:sz w:val="24"/>
        </w:rPr>
        <w:t>Plaintiff further requests a stay of enforcement of any contempt/jail sanctions or collateral restrictions that prevent participation in parenting-time proceedings or that punish litigation conduct.</w:t>
      </w:r>
    </w:p>
    <w:p>
      <w:pPr>
        <w:spacing w:before="240" w:after="0" w:line="480" w:lineRule="auto"/>
      </w:pPr>
      <w:r>
        <w:rPr>
          <w:rFonts w:ascii="Times New Roman" w:hAnsi="Times New Roman"/>
          <w:b/>
          <w:sz w:val="24"/>
        </w:rPr>
        <w:t>II. FACTUAL BASIS (RECORD-ANCHORED)</w:t>
      </w:r>
    </w:p>
    <w:p>
      <w:pPr>
        <w:spacing w:before="0" w:after="0" w:line="480" w:lineRule="auto"/>
        <w:jc w:val="left"/>
      </w:pPr>
      <w:r>
        <w:rPr>
          <w:rFonts w:ascii="Times New Roman" w:hAnsi="Times New Roman"/>
          <w:b w:val="0"/>
          <w:i w:val="0"/>
          <w:sz w:val="24"/>
        </w:rPr>
        <w:t>A. The provided record set includes custody-case documents stamped RECEIVED/FILED 09/09/2025 and flagged as ex parte / parenting-time related. See Appendix A and custody scanned PDFs dated 09/09/2025 (Exhibit Matrix).</w:t>
      </w:r>
    </w:p>
    <w:p>
      <w:pPr>
        <w:spacing w:before="0" w:after="0" w:line="480" w:lineRule="auto"/>
        <w:jc w:val="left"/>
      </w:pPr>
      <w:r>
        <w:rPr>
          <w:rFonts w:ascii="Times New Roman" w:hAnsi="Times New Roman"/>
          <w:b w:val="0"/>
          <w:i w:val="0"/>
          <w:sz w:val="24"/>
        </w:rPr>
        <w:t>B. Plaintiff asserts that an emergency ex parte parenting-time suspension entered on or about 08/08/2025 was continued through repeated continuances and was later maintained by conditioning Plaintiff’s right to be heard on completion of a mental-health assessment (as reflected in a 09/09/2025 order in the record set).</w:t>
      </w:r>
    </w:p>
    <w:p>
      <w:pPr>
        <w:spacing w:before="0" w:after="0" w:line="480" w:lineRule="auto"/>
        <w:jc w:val="left"/>
      </w:pPr>
      <w:r>
        <w:rPr>
          <w:rFonts w:ascii="Times New Roman" w:hAnsi="Times New Roman"/>
          <w:b w:val="0"/>
          <w:i w:val="0"/>
          <w:sz w:val="24"/>
        </w:rPr>
        <w:t>C. Plaintiff asserts that the factual basis for the emergency suspension relied on ex parte submissions including a partial recorded phone call and hearsay reports, and that Plaintiff did not receive full access to the recording until after the Court/staff reviewed it.</w:t>
      </w:r>
    </w:p>
    <w:p>
      <w:pPr>
        <w:spacing w:before="0" w:after="0" w:line="480" w:lineRule="auto"/>
        <w:jc w:val="left"/>
      </w:pPr>
      <w:r>
        <w:rPr>
          <w:rFonts w:ascii="Times New Roman" w:hAnsi="Times New Roman"/>
          <w:b w:val="0"/>
          <w:i w:val="0"/>
          <w:sz w:val="24"/>
        </w:rPr>
        <w:t>D. Plaintiff asserts he has been deprived of parenting time for an extended period, causing irreparable harm to the minor child’s relationship with Plaintiff.</w:t>
      </w:r>
    </w:p>
    <w:p>
      <w:pPr>
        <w:spacing w:before="0" w:after="0" w:line="480" w:lineRule="auto"/>
        <w:jc w:val="left"/>
      </w:pPr>
      <w:r>
        <w:rPr>
          <w:rFonts w:ascii="Times New Roman" w:hAnsi="Times New Roman"/>
          <w:b w:val="0"/>
          <w:i w:val="0"/>
          <w:sz w:val="24"/>
        </w:rPr>
        <w:t>E. Plaintiff asserts overlapping PPO proceedings were used to characterize non-threatening communications (including parenting-time requests) as violations, resulting in repeated show-cause filings and incarceration that interfered with timely appellate review and participation. See Appendix A and PPO exhibits.</w:t>
      </w:r>
    </w:p>
    <w:p>
      <w:pPr>
        <w:spacing w:before="240" w:after="0" w:line="480" w:lineRule="auto"/>
      </w:pPr>
      <w:r>
        <w:rPr>
          <w:rFonts w:ascii="Times New Roman" w:hAnsi="Times New Roman"/>
          <w:b/>
          <w:sz w:val="24"/>
        </w:rPr>
        <w:t>III. GOVERNING STANDARDS (CITATION IDS)</w:t>
      </w:r>
    </w:p>
    <w:p>
      <w:pPr>
        <w:spacing w:before="0" w:after="0" w:line="480" w:lineRule="auto"/>
        <w:jc w:val="left"/>
      </w:pPr>
      <w:r>
        <w:rPr>
          <w:rFonts w:ascii="Times New Roman" w:hAnsi="Times New Roman"/>
          <w:b w:val="0"/>
          <w:i w:val="0"/>
          <w:sz w:val="24"/>
        </w:rPr>
        <w:t>MCR 2.119 (motions) governs procedure for this motion, including notice and supporting documents.</w:t>
      </w:r>
    </w:p>
    <w:p>
      <w:pPr>
        <w:spacing w:before="0" w:after="0" w:line="480" w:lineRule="auto"/>
        <w:jc w:val="left"/>
      </w:pPr>
      <w:r>
        <w:rPr>
          <w:rFonts w:ascii="Times New Roman" w:hAnsi="Times New Roman"/>
          <w:b w:val="0"/>
          <w:i w:val="0"/>
          <w:sz w:val="24"/>
        </w:rPr>
        <w:t>MCR 3.207 (custody and parenting time; emergency/ex parte orders) provides the framework for emergency relief and the required showing and procedure.</w:t>
      </w:r>
    </w:p>
    <w:p>
      <w:pPr>
        <w:spacing w:before="0" w:after="0" w:line="480" w:lineRule="auto"/>
        <w:jc w:val="left"/>
      </w:pPr>
      <w:r>
        <w:rPr>
          <w:rFonts w:ascii="Times New Roman" w:hAnsi="Times New Roman"/>
          <w:b w:val="0"/>
          <w:i w:val="0"/>
          <w:sz w:val="24"/>
        </w:rPr>
        <w:t>MCL 722.27a (parenting time) and MCL 722.23 (best-interest factors) govern substantive standards for parenting time and restrictions.</w:t>
      </w:r>
    </w:p>
    <w:p>
      <w:pPr>
        <w:spacing w:before="0" w:after="0" w:line="480" w:lineRule="auto"/>
        <w:jc w:val="left"/>
      </w:pPr>
      <w:r>
        <w:rPr>
          <w:rFonts w:ascii="Times New Roman" w:hAnsi="Times New Roman"/>
          <w:b w:val="0"/>
          <w:i w:val="0"/>
          <w:sz w:val="24"/>
        </w:rPr>
        <w:t>MCR 2.612 (relief from judgment/order) provides a mechanism to seek relief from orders where justice requires.</w:t>
      </w:r>
    </w:p>
    <w:p>
      <w:pPr>
        <w:spacing w:before="0" w:after="0" w:line="480" w:lineRule="auto"/>
        <w:jc w:val="left"/>
      </w:pPr>
      <w:r>
        <w:rPr>
          <w:rFonts w:ascii="Times New Roman" w:hAnsi="Times New Roman"/>
          <w:b w:val="0"/>
          <w:i w:val="0"/>
          <w:sz w:val="24"/>
        </w:rPr>
        <w:t>Related evidence standards may implicate MRE 901 (authentication) and hearsay rules (MRE 801–803), to the extent emergency action was based on recordings/hearsay.</w:t>
      </w:r>
    </w:p>
    <w:p>
      <w:pPr>
        <w:spacing w:before="240" w:after="0" w:line="480" w:lineRule="auto"/>
      </w:pPr>
      <w:r>
        <w:rPr>
          <w:rFonts w:ascii="Times New Roman" w:hAnsi="Times New Roman"/>
          <w:b/>
          <w:sz w:val="24"/>
        </w:rPr>
        <w:t>IV. ARGUMENT</w:t>
      </w:r>
    </w:p>
    <w:p>
      <w:pPr>
        <w:spacing w:before="240" w:after="0" w:line="480" w:lineRule="auto"/>
      </w:pPr>
      <w:r>
        <w:rPr>
          <w:rFonts w:ascii="Times New Roman" w:hAnsi="Times New Roman"/>
          <w:b/>
          <w:sz w:val="24"/>
        </w:rPr>
        <w:t>A. The continuing parenting-time suspension exceeds the proper scope of emergency ex parte relief.</w:t>
      </w:r>
    </w:p>
    <w:p>
      <w:pPr>
        <w:spacing w:before="0" w:after="0" w:line="480" w:lineRule="auto"/>
        <w:jc w:val="left"/>
      </w:pPr>
      <w:r>
        <w:rPr>
          <w:rFonts w:ascii="Times New Roman" w:hAnsi="Times New Roman"/>
          <w:b w:val="0"/>
          <w:i w:val="0"/>
          <w:sz w:val="24"/>
        </w:rPr>
        <w:t>Emergency ex parte relief is, by nature, temporary and must be followed promptly by a meaningful opportunity to be heard.</w:t>
      </w:r>
    </w:p>
    <w:p>
      <w:pPr>
        <w:spacing w:before="0" w:after="0" w:line="480" w:lineRule="auto"/>
        <w:jc w:val="left"/>
      </w:pPr>
      <w:r>
        <w:rPr>
          <w:rFonts w:ascii="Times New Roman" w:hAnsi="Times New Roman"/>
          <w:b w:val="0"/>
          <w:i w:val="0"/>
          <w:sz w:val="24"/>
        </w:rPr>
        <w:t>Plaintiff requests that the Court set an expedited evidentiary hearing with witness testimony and exhibit exchange and enter findings on the record supporting any continuing restriction, including the specific basis and duration.</w:t>
      </w:r>
    </w:p>
    <w:p>
      <w:pPr>
        <w:spacing w:before="240" w:after="0" w:line="480" w:lineRule="auto"/>
      </w:pPr>
      <w:r>
        <w:rPr>
          <w:rFonts w:ascii="Times New Roman" w:hAnsi="Times New Roman"/>
          <w:b/>
          <w:sz w:val="24"/>
        </w:rPr>
        <w:t>B. Conditioning the right to be heard on an assessment is an improper barrier to due process.</w:t>
      </w:r>
    </w:p>
    <w:p>
      <w:pPr>
        <w:spacing w:before="0" w:after="0" w:line="480" w:lineRule="auto"/>
        <w:jc w:val="left"/>
      </w:pPr>
      <w:r>
        <w:rPr>
          <w:rFonts w:ascii="Times New Roman" w:hAnsi="Times New Roman"/>
          <w:b w:val="0"/>
          <w:i w:val="0"/>
          <w:sz w:val="24"/>
        </w:rPr>
        <w:t>Plaintiff requests that the Court remove any condition that postpones the hearing indefinitely based on completion of an assessment, and instead proceed to hearing on the merits with the existing record and admissible evidence.</w:t>
      </w:r>
    </w:p>
    <w:p>
      <w:pPr>
        <w:spacing w:before="0" w:after="0" w:line="480" w:lineRule="auto"/>
        <w:jc w:val="left"/>
      </w:pPr>
      <w:r>
        <w:rPr>
          <w:rFonts w:ascii="Times New Roman" w:hAnsi="Times New Roman"/>
          <w:b w:val="0"/>
          <w:i w:val="0"/>
          <w:sz w:val="24"/>
        </w:rPr>
        <w:t>If the Court believes an assessment is necessary, Plaintiff requests that it be addressed as a separate evidentiary issue with defined scope, deadlines, and findings, without continuing a total suspension absent a current emergency.</w:t>
      </w:r>
    </w:p>
    <w:p>
      <w:pPr>
        <w:spacing w:before="240" w:after="0" w:line="480" w:lineRule="auto"/>
      </w:pPr>
      <w:r>
        <w:rPr>
          <w:rFonts w:ascii="Times New Roman" w:hAnsi="Times New Roman"/>
          <w:b/>
          <w:sz w:val="24"/>
        </w:rPr>
        <w:t>C. Immediate interim parenting time is necessary to prevent irreparable harm.</w:t>
      </w:r>
    </w:p>
    <w:p>
      <w:pPr>
        <w:spacing w:before="0" w:after="0" w:line="480" w:lineRule="auto"/>
        <w:jc w:val="left"/>
      </w:pPr>
      <w:r>
        <w:rPr>
          <w:rFonts w:ascii="Times New Roman" w:hAnsi="Times New Roman"/>
          <w:b w:val="0"/>
          <w:i w:val="0"/>
          <w:sz w:val="24"/>
        </w:rPr>
        <w:t>Plaintiff requests a temporary parenting-time plan immediately, even if structured/supervised, pending the evidentiary hearing.</w:t>
      </w:r>
    </w:p>
    <w:p>
      <w:pPr>
        <w:spacing w:before="0" w:after="0" w:line="480" w:lineRule="auto"/>
        <w:jc w:val="left"/>
      </w:pPr>
      <w:r>
        <w:rPr>
          <w:rFonts w:ascii="Times New Roman" w:hAnsi="Times New Roman"/>
          <w:b w:val="0"/>
          <w:i w:val="0"/>
          <w:sz w:val="24"/>
        </w:rPr>
        <w:t>Plaintiff requests that Defendant be ordered not to interfere with parenting time and that any exchanges occur at a neutral location under defined conditions.</w:t>
      </w:r>
    </w:p>
    <w:p>
      <w:pPr>
        <w:spacing w:before="240" w:after="0" w:line="480" w:lineRule="auto"/>
      </w:pPr>
      <w:r>
        <w:rPr>
          <w:rFonts w:ascii="Times New Roman" w:hAnsi="Times New Roman"/>
          <w:b/>
          <w:sz w:val="24"/>
        </w:rPr>
        <w:t>D. Stay sanctions that obstruct participation and meaningful review.</w:t>
      </w:r>
    </w:p>
    <w:p>
      <w:pPr>
        <w:spacing w:before="0" w:after="0" w:line="480" w:lineRule="auto"/>
        <w:jc w:val="left"/>
      </w:pPr>
      <w:r>
        <w:rPr>
          <w:rFonts w:ascii="Times New Roman" w:hAnsi="Times New Roman"/>
          <w:b w:val="0"/>
          <w:i w:val="0"/>
          <w:sz w:val="24"/>
        </w:rPr>
        <w:t>Plaintiff requests a stay of contempt/jail enforcement and collateral restrictions that prevent participation in this matter or that penalize protected litigation conduct and parenting-time communications.</w:t>
      </w:r>
    </w:p>
    <w:p>
      <w:pPr>
        <w:spacing w:before="0" w:after="0" w:line="480" w:lineRule="auto"/>
        <w:jc w:val="left"/>
      </w:pPr>
      <w:r>
        <w:rPr>
          <w:rFonts w:ascii="Times New Roman" w:hAnsi="Times New Roman"/>
          <w:b w:val="0"/>
          <w:i w:val="0"/>
          <w:sz w:val="24"/>
        </w:rPr>
        <w:t>Plaintiff also requests that the Court clarify the record procedures for submission of evidence (including whether evidence may be filed with the clerk in advance of hearings) and enter a written protocol to ensure fairness.</w:t>
      </w:r>
    </w:p>
    <w:p>
      <w:pPr>
        <w:spacing w:before="240" w:after="0" w:line="480" w:lineRule="auto"/>
      </w:pPr>
      <w:r>
        <w:rPr>
          <w:rFonts w:ascii="Times New Roman" w:hAnsi="Times New Roman"/>
          <w:b/>
          <w:sz w:val="24"/>
        </w:rPr>
        <w:t>V. PROPOSED ORDER</w:t>
      </w:r>
    </w:p>
    <w:p>
      <w:pPr>
        <w:spacing w:before="0" w:after="0" w:line="480" w:lineRule="auto"/>
        <w:jc w:val="left"/>
      </w:pPr>
      <w:r>
        <w:rPr>
          <w:rFonts w:ascii="Times New Roman" w:hAnsi="Times New Roman"/>
          <w:b w:val="0"/>
          <w:i w:val="0"/>
          <w:sz w:val="24"/>
        </w:rPr>
        <w:t>A proposed order is requested with the following components:</w:t>
      </w:r>
    </w:p>
    <w:p>
      <w:pPr>
        <w:spacing w:before="0" w:after="0" w:line="480" w:lineRule="auto"/>
        <w:jc w:val="left"/>
      </w:pPr>
      <w:r>
        <w:rPr>
          <w:rFonts w:ascii="Times New Roman" w:hAnsi="Times New Roman"/>
          <w:b w:val="0"/>
          <w:i w:val="0"/>
          <w:sz w:val="24"/>
        </w:rPr>
        <w:t>(1) Temporary parenting-time schedule effective immediately;</w:t>
      </w:r>
    </w:p>
    <w:p>
      <w:pPr>
        <w:spacing w:before="0" w:after="0" w:line="480" w:lineRule="auto"/>
        <w:jc w:val="left"/>
      </w:pPr>
      <w:r>
        <w:rPr>
          <w:rFonts w:ascii="Times New Roman" w:hAnsi="Times New Roman"/>
          <w:b w:val="0"/>
          <w:i w:val="0"/>
          <w:sz w:val="24"/>
        </w:rPr>
        <w:t>(2) Evidentiary hearing set within ____ days with defined exhibit exchange deadline;</w:t>
      </w:r>
    </w:p>
    <w:p>
      <w:pPr>
        <w:spacing w:before="0" w:after="0" w:line="480" w:lineRule="auto"/>
        <w:jc w:val="left"/>
      </w:pPr>
      <w:r>
        <w:rPr>
          <w:rFonts w:ascii="Times New Roman" w:hAnsi="Times New Roman"/>
          <w:b w:val="0"/>
          <w:i w:val="0"/>
          <w:sz w:val="24"/>
        </w:rPr>
        <w:t>(3) Any existing ex parte suspension modified/vacated pending hearing;</w:t>
      </w:r>
    </w:p>
    <w:p>
      <w:pPr>
        <w:spacing w:before="0" w:after="0" w:line="480" w:lineRule="auto"/>
        <w:jc w:val="left"/>
      </w:pPr>
      <w:r>
        <w:rPr>
          <w:rFonts w:ascii="Times New Roman" w:hAnsi="Times New Roman"/>
          <w:b w:val="0"/>
          <w:i w:val="0"/>
          <w:sz w:val="24"/>
        </w:rPr>
        <w:t>(4) Stay of enforcement of contempt/jail sanctions pending further order;</w:t>
      </w:r>
    </w:p>
    <w:p>
      <w:pPr>
        <w:spacing w:before="0" w:after="0" w:line="480" w:lineRule="auto"/>
        <w:jc w:val="left"/>
      </w:pPr>
      <w:r>
        <w:rPr>
          <w:rFonts w:ascii="Times New Roman" w:hAnsi="Times New Roman"/>
          <w:b w:val="0"/>
          <w:i w:val="0"/>
          <w:sz w:val="24"/>
        </w:rPr>
        <w:t>(5) Record-preservation directive (recordings, submissions, and clerk communications).</w:t>
      </w:r>
    </w:p>
    <w:p>
      <w:pPr>
        <w:spacing w:before="240" w:after="0" w:line="480" w:lineRule="auto"/>
      </w:pPr>
      <w:r>
        <w:rPr>
          <w:rFonts w:ascii="Times New Roman" w:hAnsi="Times New Roman"/>
          <w:b/>
          <w:sz w:val="24"/>
        </w:rPr>
        <w:t>VI. VERIFICATION</w:t>
      </w:r>
    </w:p>
    <w:p>
      <w:pPr>
        <w:spacing w:before="0" w:after="0" w:line="480" w:lineRule="auto"/>
        <w:jc w:val="left"/>
      </w:pPr>
      <w:r>
        <w:rPr>
          <w:rFonts w:ascii="Times New Roman" w:hAnsi="Times New Roman"/>
          <w:b w:val="0"/>
          <w:i w:val="0"/>
          <w:sz w:val="24"/>
        </w:rPr>
        <w:t>I declare under penalty of perjury that the factual statements in this motion are true to the best of my knowledge, information, and belief, and that supporting references are identified in the attached exhibit index materials.</w:t>
      </w:r>
    </w:p>
    <w:p>
      <w:pPr>
        <w:spacing w:before="0" w:after="0" w:line="480" w:lineRule="auto"/>
        <w:jc w:val="left"/>
      </w:pPr>
      <w:r>
        <w:rPr>
          <w:rFonts w:ascii="Times New Roman" w:hAnsi="Times New Roman"/>
          <w:b w:val="0"/>
          <w:i w:val="0"/>
          <w:sz w:val="24"/>
        </w:rPr>
      </w:r>
    </w:p>
    <w:p>
      <w:pPr>
        <w:spacing w:before="0" w:after="0" w:line="480" w:lineRule="auto"/>
        <w:jc w:val="left"/>
      </w:pPr>
      <w:r>
        <w:rPr>
          <w:rFonts w:ascii="Times New Roman" w:hAnsi="Times New Roman"/>
          <w:b w:val="0"/>
          <w:i w:val="0"/>
          <w:sz w:val="24"/>
        </w:rPr>
        <w:t>Date: ____________________        ______________________________</w:t>
      </w:r>
    </w:p>
    <w:p>
      <w:pPr>
        <w:spacing w:before="0" w:after="0" w:line="480" w:lineRule="auto"/>
        <w:jc w:val="left"/>
      </w:pPr>
      <w:r>
        <w:rPr>
          <w:rFonts w:ascii="Times New Roman" w:hAnsi="Times New Roman"/>
          <w:b w:val="0"/>
          <w:i w:val="0"/>
          <w:sz w:val="24"/>
        </w:rPr>
        <w:t xml:space="preserve">                                 ANDREW J. PIGORS (in pro per)</w:t>
      </w:r>
    </w:p>
    <w:p>
      <w:pPr>
        <w:spacing w:before="240" w:after="0" w:line="480" w:lineRule="auto"/>
      </w:pPr>
      <w:r>
        <w:rPr>
          <w:rFonts w:ascii="Times New Roman" w:hAnsi="Times New Roman"/>
          <w:b/>
          <w:sz w:val="24"/>
        </w:rPr>
        <w:t>VII. ATTACHMENTS</w:t>
      </w:r>
    </w:p>
    <w:p>
      <w:pPr>
        <w:spacing w:before="0" w:after="0" w:line="480" w:lineRule="auto"/>
        <w:jc w:val="left"/>
      </w:pPr>
      <w:r>
        <w:rPr>
          <w:rFonts w:ascii="Times New Roman" w:hAnsi="Times New Roman"/>
          <w:b w:val="0"/>
          <w:i/>
          <w:sz w:val="24"/>
        </w:rPr>
        <w:t>Appendix A–C and ExhibitMatrix_V2.csv are attached/available as the supporting index for the referenced record items. Key PDFs/TXTs are included in the pack exhibits folder.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