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APPENDIX B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FORMS / CHECKLIST POINTERS (FROM USER CORPUS)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These entries come from MI_MASTER_COURT_FORMS_MAP(2).csv in the provided bundle. URLs are included as pointers only.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B.1 Court of Appeals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Form Name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Source URL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Authority Cites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Jurisdictional Checklist (Court of Appeals)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https://www.courts.michigan.gov/494732/siteassets/forms/coa/jurisdictional-checklist.pdf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MCR 7.204(C); IOP 7.204(C)(6)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Must be filed with each claim of appeal per IOP; see COA clerk IOPs.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Claim of Appeal (Court of Appeals)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https://www.courts.michigan.gov/siteassets/rules-instructions-administrative-orders/michigan-court-rules/michigan-court-rules-responsive-html5.zip/Michigan_Court_Rules/Court_Rules_Chapter_7/Court_Rules_Chapter_7.htm?rhtocid=_8_1_4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MCR 7.204; MCR 7.203; MCR 7.202(6)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Form content governed by rule; official template available in COA manuals/Forms page.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Court of Appeals Docketing Statement (Domestic Relations)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https://www.courts.michigan.gov/siteassets/forms/coa/docketing-statement-for-domestic-relations.pdf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MCR 7.204(H); MCR 7.217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Pilot docketing statement required within 28 days after claim of appeal; see IOPs for enforcement.</w:t>
            </w:r>
          </w:p>
        </w:tc>
      </w:tr>
    </w:tbl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B.2 Michigan Supreme Court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Form Name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Source URL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Authority Cites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Pro Per Application for Leave to Appeal (Civil)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https://www.courts.michigan.gov/4a5385/siteassets/forms/msc/self-represented/pro-per_mi-sup-ct_civil-application_fillable.pdf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MCR 7.305(A)-(E); Benchbook §20.4 (MCR 7.300 et seq.)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Supreme Court pro se application template; civil deadline generally 42 days after COA decision.</w:t>
            </w:r>
          </w:p>
        </w:tc>
      </w:tr>
      <w:tr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Pro Per Application for Leave to Appeal (Criminal)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https://www.courts.michigan.gov/4a5350/siteassets/forms/msc/self-represented/pro-per_mi-sup-ct_criminal-application_fillable.pdf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MCR 7.305(A)-(E)</w:t>
            </w:r>
          </w:p>
        </w:tc>
        <w:tc>
          <w:tcPr>
            <w:tcW w:type="dxa" w:w="234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  <w:t>Supreme Court pro se application template for criminal cases.</w:t>
            </w:r>
          </w:p>
        </w:tc>
      </w:tr>
    </w:tbl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B.3 Judicial Tenure Commission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No dedicated JTC complaint form was located in the current forms map file. Procedure references are captured in authority shards (MCR 9.200 et seq).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