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sz w:val="24"/>
        </w:rPr>
        <w:t>STATE OF MICHIGAN</w:t>
      </w:r>
    </w:p>
    <w:p>
      <w:pPr>
        <w:spacing w:before="0" w:after="0" w:line="480" w:lineRule="auto"/>
        <w:jc w:val="center"/>
      </w:pPr>
      <w:r>
        <w:rPr>
          <w:rFonts w:ascii="Times New Roman" w:hAnsi="Times New Roman"/>
          <w:b/>
          <w:sz w:val="24"/>
        </w:rPr>
        <w:t>IN THE COURT OF APPEALS</w:t>
      </w:r>
    </w:p>
    <w:p/>
    <w:tbl>
      <w:tblPr>
        <w:tblW w:type="auto" w:w="0"/>
        <w:jc w:val="center"/>
        <w:tblLayout w:type="autofit"/>
        <w:tblLook w:firstColumn="1" w:firstRow="1" w:lastColumn="0" w:lastRow="0" w:noHBand="0" w:noVBand="1" w:val="04A0"/>
      </w:tblPr>
      <w:tblGrid>
        <w:gridCol w:w="4680"/>
        <w:gridCol w:w="4680"/>
      </w:tblGrid>
      <w:tr>
        <w:tc>
          <w:tcPr>
            <w:tcW w:type="dxa" w:w="4680"/>
          </w:tcPr>
          <w:p>
            <w:pPr>
              <w:spacing w:before="0" w:after="0" w:line="480" w:lineRule="auto"/>
            </w:pPr>
            <w:r>
              <w:rPr>
                <w:rFonts w:ascii="Times New Roman" w:hAnsi="Times New Roman"/>
                <w:sz w:val="24"/>
              </w:rPr>
              <w:t>ANDREW J. PIGORS,</w:t>
            </w:r>
          </w:p>
          <w:p>
            <w:pPr>
              <w:spacing w:before="0" w:after="0" w:line="480" w:lineRule="auto"/>
            </w:pPr>
            <w:r>
              <w:rPr>
                <w:rFonts w:ascii="Times New Roman" w:hAnsi="Times New Roman"/>
                <w:sz w:val="24"/>
              </w:rPr>
              <w:t xml:space="preserve">   Petitioner,</w:t>
            </w:r>
          </w:p>
          <w:p>
            <w:pPr>
              <w:spacing w:before="0" w:after="0" w:line="480" w:lineRule="auto"/>
            </w:pPr>
          </w:p>
          <w:p>
            <w:pPr>
              <w:spacing w:before="0" w:after="0" w:line="480" w:lineRule="auto"/>
            </w:pPr>
            <w:r>
              <w:rPr>
                <w:rFonts w:ascii="Times New Roman" w:hAnsi="Times New Roman"/>
                <w:sz w:val="24"/>
              </w:rPr>
              <w:t>v.</w:t>
            </w:r>
          </w:p>
          <w:p>
            <w:pPr>
              <w:spacing w:before="0" w:after="0" w:line="480" w:lineRule="auto"/>
            </w:pPr>
          </w:p>
          <w:p>
            <w:pPr>
              <w:spacing w:before="0" w:after="0" w:line="480" w:lineRule="auto"/>
            </w:pPr>
            <w:r>
              <w:rPr>
                <w:rFonts w:ascii="Times New Roman" w:hAnsi="Times New Roman"/>
                <w:sz w:val="24"/>
              </w:rPr>
              <w:t>THE HONORABLE JENNY L. McNEILL,</w:t>
            </w:r>
          </w:p>
          <w:p>
            <w:pPr>
              <w:spacing w:before="0" w:after="0" w:line="480" w:lineRule="auto"/>
            </w:pPr>
            <w:r>
              <w:rPr>
                <w:rFonts w:ascii="Times New Roman" w:hAnsi="Times New Roman"/>
                <w:sz w:val="24"/>
              </w:rPr>
              <w:t>in her official capacity as a Judge of the</w:t>
            </w:r>
          </w:p>
          <w:p>
            <w:pPr>
              <w:spacing w:before="0" w:after="0" w:line="480" w:lineRule="auto"/>
            </w:pPr>
            <w:r>
              <w:rPr>
                <w:rFonts w:ascii="Times New Roman" w:hAnsi="Times New Roman"/>
                <w:sz w:val="24"/>
              </w:rPr>
              <w:t>14th Circuit Court, Family Division,</w:t>
            </w:r>
          </w:p>
          <w:p>
            <w:pPr>
              <w:spacing w:before="0" w:after="0" w:line="480" w:lineRule="auto"/>
            </w:pPr>
            <w:r>
              <w:rPr>
                <w:rFonts w:ascii="Times New Roman" w:hAnsi="Times New Roman"/>
                <w:sz w:val="24"/>
              </w:rPr>
              <w:t>and the 14th Circuit Court,</w:t>
            </w:r>
          </w:p>
          <w:p>
            <w:pPr>
              <w:spacing w:before="0" w:after="0" w:line="480" w:lineRule="auto"/>
            </w:pPr>
            <w:r>
              <w:rPr>
                <w:rFonts w:ascii="Times New Roman" w:hAnsi="Times New Roman"/>
                <w:sz w:val="24"/>
              </w:rPr>
              <w:t xml:space="preserve">   Respondents.</w:t>
            </w:r>
          </w:p>
          <w:p>
            <w:pPr>
              <w:spacing w:before="0" w:after="0" w:line="480" w:lineRule="auto"/>
            </w:pPr>
          </w:p>
          <w:p>
            <w:pPr>
              <w:spacing w:before="0" w:after="0" w:line="480" w:lineRule="auto"/>
            </w:pPr>
            <w:r>
              <w:rPr>
                <w:rFonts w:ascii="Times New Roman" w:hAnsi="Times New Roman"/>
                <w:sz w:val="24"/>
              </w:rPr>
              <w:t>EMILY A. WATSON,</w:t>
            </w:r>
          </w:p>
          <w:p>
            <w:pPr>
              <w:spacing w:before="0" w:after="0" w:line="480" w:lineRule="auto"/>
            </w:pPr>
            <w:r>
              <w:rPr>
                <w:rFonts w:ascii="Times New Roman" w:hAnsi="Times New Roman"/>
                <w:sz w:val="24"/>
              </w:rPr>
              <w:t xml:space="preserve">   Interested Party.</w:t>
            </w:r>
          </w:p>
        </w:tc>
        <w:tc>
          <w:tcPr>
            <w:tcW w:type="dxa" w:w="4680"/>
          </w:tcPr>
          <w:p>
            <w:pPr>
              <w:spacing w:before="0" w:after="0" w:line="480" w:lineRule="auto"/>
            </w:pPr>
            <w:r>
              <w:rPr>
                <w:rFonts w:ascii="Times New Roman" w:hAnsi="Times New Roman"/>
                <w:sz w:val="24"/>
              </w:rPr>
              <w:t>Court of Appeals No.: __________________</w:t>
            </w:r>
          </w:p>
          <w:p>
            <w:pPr>
              <w:spacing w:before="0" w:after="0" w:line="480" w:lineRule="auto"/>
            </w:pPr>
            <w:r>
              <w:rPr>
                <w:rFonts w:ascii="Times New Roman" w:hAnsi="Times New Roman"/>
                <w:sz w:val="24"/>
              </w:rPr>
              <w:t>Lower Court No. (Custody): 2024-001507-DC</w:t>
            </w:r>
          </w:p>
          <w:p>
            <w:pPr>
              <w:spacing w:before="0" w:after="0" w:line="480" w:lineRule="auto"/>
            </w:pPr>
            <w:r>
              <w:rPr>
                <w:rFonts w:ascii="Times New Roman" w:hAnsi="Times New Roman"/>
                <w:sz w:val="24"/>
              </w:rPr>
              <w:t>Lower Court No. (PPO): 2023-005907-PP</w:t>
            </w:r>
          </w:p>
          <w:p>
            <w:pPr>
              <w:spacing w:before="0" w:after="0" w:line="480" w:lineRule="auto"/>
            </w:pPr>
          </w:p>
          <w:p>
            <w:pPr>
              <w:spacing w:before="0" w:after="0" w:line="480" w:lineRule="auto"/>
            </w:pPr>
            <w:r>
              <w:rPr>
                <w:rFonts w:ascii="Times New Roman" w:hAnsi="Times New Roman"/>
                <w:sz w:val="24"/>
              </w:rPr>
              <w:t>Nature of Action:</w:t>
            </w:r>
          </w:p>
          <w:p>
            <w:pPr>
              <w:spacing w:before="0" w:after="0" w:line="480" w:lineRule="auto"/>
            </w:pPr>
            <w:r>
              <w:rPr>
                <w:rFonts w:ascii="Times New Roman" w:hAnsi="Times New Roman"/>
                <w:sz w:val="24"/>
              </w:rPr>
              <w:t>Complaint / Petition for</w:t>
            </w:r>
          </w:p>
          <w:p>
            <w:pPr>
              <w:spacing w:before="0" w:after="0" w:line="480" w:lineRule="auto"/>
            </w:pPr>
            <w:r>
              <w:rPr>
                <w:rFonts w:ascii="Times New Roman" w:hAnsi="Times New Roman"/>
                <w:sz w:val="24"/>
              </w:rPr>
              <w:t>Superintending Control</w:t>
            </w:r>
          </w:p>
          <w:p>
            <w:pPr>
              <w:spacing w:before="0" w:after="0" w:line="480" w:lineRule="auto"/>
            </w:pPr>
            <w:r>
              <w:rPr>
                <w:rFonts w:ascii="Times New Roman" w:hAnsi="Times New Roman"/>
                <w:sz w:val="24"/>
              </w:rPr>
              <w:t>and Emergency Interim Relief</w:t>
            </w:r>
          </w:p>
          <w:p>
            <w:pPr>
              <w:spacing w:before="0" w:after="0" w:line="480" w:lineRule="auto"/>
            </w:pPr>
          </w:p>
          <w:p>
            <w:pPr>
              <w:spacing w:before="0" w:after="0" w:line="480" w:lineRule="auto"/>
            </w:pPr>
            <w:r>
              <w:rPr>
                <w:rFonts w:ascii="Times New Roman" w:hAnsi="Times New Roman"/>
                <w:sz w:val="24"/>
              </w:rPr>
              <w:t>DRAFT — FILE-READY AFTER FINAL</w:t>
            </w:r>
          </w:p>
          <w:p>
            <w:pPr>
              <w:spacing w:before="0" w:after="0" w:line="480" w:lineRule="auto"/>
            </w:pPr>
            <w:r>
              <w:rPr>
                <w:rFonts w:ascii="Times New Roman" w:hAnsi="Times New Roman"/>
                <w:sz w:val="24"/>
              </w:rPr>
              <w:t>ORDER-PIN + SERVICE CHECK</w:t>
            </w:r>
          </w:p>
        </w:tc>
      </w:tr>
    </w:tbl>
    <w:p/>
    <w:p>
      <w:pPr>
        <w:spacing w:before="0" w:after="0" w:line="480" w:lineRule="auto"/>
        <w:jc w:val="center"/>
      </w:pPr>
      <w:r>
        <w:rPr>
          <w:rFonts w:ascii="Times New Roman" w:hAnsi="Times New Roman"/>
          <w:b/>
          <w:sz w:val="24"/>
        </w:rPr>
        <w:t>COMPLAINT FOR SUPERINTENDING CONTROL</w:t>
      </w:r>
    </w:p>
    <w:p>
      <w:pPr>
        <w:spacing w:before="0" w:after="0" w:line="480" w:lineRule="auto"/>
        <w:jc w:val="center"/>
      </w:pPr>
      <w:r>
        <w:rPr>
          <w:rFonts w:ascii="Times New Roman" w:hAnsi="Times New Roman"/>
          <w:b/>
          <w:sz w:val="24"/>
        </w:rPr>
        <w:t>AND MOTION FOR EMERGENCY INTERIM RELIEF</w:t>
      </w:r>
    </w:p>
    <w:p/>
    <w:p>
      <w:pPr>
        <w:spacing w:before="0" w:after="0" w:line="480" w:lineRule="auto"/>
        <w:jc w:val="left"/>
      </w:pPr>
      <w:r>
        <w:rPr>
          <w:rFonts w:ascii="Times New Roman" w:hAnsi="Times New Roman"/>
          <w:b w:val="0"/>
          <w:i w:val="0"/>
          <w:sz w:val="24"/>
        </w:rPr>
        <w:t>Petitioner Andrew J. Pigors, appearing in propria persona, states as follows:</w:t>
      </w:r>
    </w:p>
    <w:p/>
    <w:p>
      <w:pPr>
        <w:spacing w:before="240" w:after="0" w:line="480" w:lineRule="auto"/>
      </w:pPr>
      <w:r>
        <w:rPr>
          <w:rFonts w:ascii="Times New Roman" w:hAnsi="Times New Roman"/>
          <w:b/>
          <w:sz w:val="24"/>
        </w:rPr>
        <w:t>I. INTRODUCTION</w:t>
      </w:r>
    </w:p>
    <w:p>
      <w:pPr>
        <w:spacing w:before="0" w:after="0" w:line="480" w:lineRule="auto"/>
        <w:jc w:val="left"/>
      </w:pPr>
      <w:r>
        <w:rPr>
          <w:rFonts w:ascii="Times New Roman" w:hAnsi="Times New Roman"/>
          <w:b w:val="0"/>
          <w:i w:val="0"/>
          <w:sz w:val="24"/>
        </w:rPr>
        <w:t>This is an original action requesting superintending control and emergency interim relief to stop continuing deprivation of Petitioner’s parenting time with his minor child, to correct ongoing procedural defects in the lower-court proceedings, and to preserve the record for appellate review.</w:t>
      </w:r>
    </w:p>
    <w:p>
      <w:pPr>
        <w:spacing w:before="0" w:after="0" w:line="480" w:lineRule="auto"/>
        <w:jc w:val="left"/>
      </w:pPr>
      <w:r>
        <w:rPr>
          <w:rFonts w:ascii="Times New Roman" w:hAnsi="Times New Roman"/>
          <w:b w:val="0"/>
          <w:i w:val="0"/>
          <w:sz w:val="24"/>
        </w:rPr>
        <w:t>Based on the documents in the provided record set (see Appendix A and ExhibitMatrix_V2.csv), the lower court entered and continued orders that (a) suspended parenting time on an emergency ex parte basis, (b) extended the suspension by conditioning Petitioner’s right to be heard on completion of a mental-health assessment, and (c) imposed contempt sanctions in intertwined PPO/custody proceedings in a manner Petitioner contends was procedurally defective and prejudicial.</w:t>
      </w:r>
    </w:p>
    <w:p>
      <w:pPr>
        <w:spacing w:before="0" w:after="0" w:line="480" w:lineRule="auto"/>
        <w:jc w:val="left"/>
      </w:pPr>
      <w:r>
        <w:rPr>
          <w:rFonts w:ascii="Times New Roman" w:hAnsi="Times New Roman"/>
          <w:b w:val="0"/>
          <w:i w:val="0"/>
          <w:sz w:val="24"/>
        </w:rPr>
        <w:t>Petitioner asserts that ordinary appellate remedies have been rendered inadequate by the combination of (i) immediate and continuing harm to the parent-child relationship, (ii) a rolling series of continued hearings, and (iii) the practical barriers created by incarceration and sanction-based fee obstacles described in the record narrative materials (see Exhibit text items in the Exhibit Matrix).</w:t>
      </w:r>
    </w:p>
    <w:p>
      <w:pPr>
        <w:spacing w:before="240" w:after="0" w:line="480" w:lineRule="auto"/>
      </w:pPr>
      <w:r>
        <w:rPr>
          <w:rFonts w:ascii="Times New Roman" w:hAnsi="Times New Roman"/>
          <w:b/>
          <w:sz w:val="24"/>
        </w:rPr>
        <w:t>II. JURISDICTION &amp; STANDARD</w:t>
      </w:r>
    </w:p>
    <w:p>
      <w:pPr>
        <w:spacing w:before="0" w:after="0" w:line="480" w:lineRule="auto"/>
        <w:jc w:val="left"/>
      </w:pPr>
      <w:r>
        <w:rPr>
          <w:rFonts w:ascii="Times New Roman" w:hAnsi="Times New Roman"/>
          <w:b w:val="0"/>
          <w:i w:val="0"/>
          <w:sz w:val="24"/>
        </w:rPr>
        <w:t>This Court has authority to exercise superintending control over lower courts. See MCR 7.306 (superintending control) and related appellate rules, including MCR 7.206 (general filing provisions).</w:t>
      </w:r>
    </w:p>
    <w:p>
      <w:pPr>
        <w:spacing w:before="0" w:after="0" w:line="480" w:lineRule="auto"/>
        <w:jc w:val="left"/>
      </w:pPr>
      <w:r>
        <w:rPr>
          <w:rFonts w:ascii="Times New Roman" w:hAnsi="Times New Roman"/>
          <w:b w:val="0"/>
          <w:i w:val="0"/>
          <w:sz w:val="24"/>
        </w:rPr>
        <w:t>Superintending control is an extraordinary remedy; it is appropriate where no other adequate remedy is available and where immediate intervention is necessary to prevent substantial and irreparable harm.</w:t>
      </w:r>
    </w:p>
    <w:p>
      <w:pPr>
        <w:spacing w:before="0" w:after="0" w:line="480" w:lineRule="auto"/>
        <w:jc w:val="left"/>
      </w:pPr>
      <w:r>
        <w:rPr>
          <w:rFonts w:ascii="Times New Roman" w:hAnsi="Times New Roman"/>
          <w:b w:val="0"/>
          <w:i w:val="0"/>
          <w:sz w:val="24"/>
        </w:rPr>
        <w:t>This filing is presented as a “record-first” submission: all factual propositions intended to support relief are mapped to an exhibit pointer in ExhibitMatrix_V2.csv and/or Appendix A.</w:t>
      </w:r>
    </w:p>
    <w:p>
      <w:pPr>
        <w:spacing w:before="240" w:after="0" w:line="480" w:lineRule="auto"/>
      </w:pPr>
      <w:r>
        <w:rPr>
          <w:rFonts w:ascii="Times New Roman" w:hAnsi="Times New Roman"/>
          <w:b/>
          <w:sz w:val="24"/>
        </w:rPr>
        <w:t>III. QUESTIONS PRESENTED</w:t>
      </w:r>
    </w:p>
    <w:p>
      <w:pPr>
        <w:spacing w:before="0" w:after="0" w:line="480" w:lineRule="auto"/>
        <w:jc w:val="left"/>
      </w:pPr>
      <w:r>
        <w:rPr>
          <w:rFonts w:ascii="Times New Roman" w:hAnsi="Times New Roman"/>
          <w:b w:val="0"/>
          <w:i w:val="0"/>
          <w:sz w:val="24"/>
        </w:rPr>
        <w:t>1. Whether the lower court violated due process by continuing an ex parte suspension of parenting time and conditioning Petitioner’s right to be heard on completion of a mental-health assessment.</w:t>
      </w:r>
    </w:p>
    <w:p>
      <w:pPr>
        <w:spacing w:before="0" w:after="0" w:line="480" w:lineRule="auto"/>
        <w:jc w:val="left"/>
      </w:pPr>
      <w:r>
        <w:rPr>
          <w:rFonts w:ascii="Times New Roman" w:hAnsi="Times New Roman"/>
          <w:b w:val="0"/>
          <w:i w:val="0"/>
          <w:sz w:val="24"/>
        </w:rPr>
        <w:t>2. Whether the lower court’s handling of contempt proceedings (including alleged service defects and record access issues) warrants extraordinary intervention to protect the integrity of the proceedings and to prevent irreparable harm.</w:t>
      </w:r>
    </w:p>
    <w:p>
      <w:pPr>
        <w:spacing w:before="0" w:after="0" w:line="480" w:lineRule="auto"/>
        <w:jc w:val="left"/>
      </w:pPr>
      <w:r>
        <w:rPr>
          <w:rFonts w:ascii="Times New Roman" w:hAnsi="Times New Roman"/>
          <w:b w:val="0"/>
          <w:i w:val="0"/>
          <w:sz w:val="24"/>
        </w:rPr>
        <w:t>3. Whether this Court should enter interim relief to restore parenting time (or, at minimum, order an expedited evidentiary hearing with defined record procedures) pending full consideration.</w:t>
      </w:r>
    </w:p>
    <w:p>
      <w:pPr>
        <w:spacing w:before="240" w:after="0" w:line="480" w:lineRule="auto"/>
      </w:pPr>
      <w:r>
        <w:rPr>
          <w:rFonts w:ascii="Times New Roman" w:hAnsi="Times New Roman"/>
          <w:b/>
          <w:sz w:val="24"/>
        </w:rPr>
        <w:t>IV. STATEMENT OF FACTS (RECORD-ANCHORED SUMMARY)</w:t>
      </w:r>
    </w:p>
    <w:p>
      <w:pPr>
        <w:spacing w:before="0" w:after="0" w:line="480" w:lineRule="auto"/>
        <w:jc w:val="left"/>
      </w:pPr>
      <w:r>
        <w:rPr>
          <w:rFonts w:ascii="Times New Roman" w:hAnsi="Times New Roman"/>
          <w:b w:val="0"/>
          <w:i w:val="0"/>
          <w:sz w:val="24"/>
        </w:rPr>
        <w:t>A. Intertwined PPO and custody proceedings. The record set includes materials labeled with lower-court numbers 2023-005907-PP (PPO) and 2024-001507-DC (custody). See Appendix A chronology and ExhibitMatrix_V2.csv.</w:t>
      </w:r>
    </w:p>
    <w:p>
      <w:pPr>
        <w:spacing w:before="0" w:after="0" w:line="480" w:lineRule="auto"/>
        <w:jc w:val="left"/>
      </w:pPr>
      <w:r>
        <w:rPr>
          <w:rFonts w:ascii="Times New Roman" w:hAnsi="Times New Roman"/>
          <w:b w:val="0"/>
          <w:i w:val="0"/>
          <w:sz w:val="24"/>
        </w:rPr>
        <w:t>B. PPO proceeding anchor: transcript cover page for a show-cause hearing on a personal protection order dated October 30, 2024 (PPO file number shown on transcript cover). See ExhibitMatrix row(s) for the transcript PDFs (EXH_PDF_001 et seq.) and Appendix A.</w:t>
      </w:r>
    </w:p>
    <w:p>
      <w:pPr>
        <w:spacing w:before="0" w:after="0" w:line="480" w:lineRule="auto"/>
        <w:jc w:val="left"/>
      </w:pPr>
      <w:r>
        <w:rPr>
          <w:rFonts w:ascii="Times New Roman" w:hAnsi="Times New Roman"/>
          <w:b w:val="0"/>
          <w:i w:val="0"/>
          <w:sz w:val="24"/>
        </w:rPr>
        <w:t>C. Custody/parenting-time suspension anchor: the record set includes an order stamped RECEIVED/FILED 09/09/2025 in the custody case (2024-001507-DC) that is flagged as EX PARTE / PARENTING TIME in automated extraction. See ExhibitMatrix rows for custody scanned PDF(s) dated 09/09/2025 and Appendix A.</w:t>
      </w:r>
    </w:p>
    <w:p>
      <w:pPr>
        <w:spacing w:before="0" w:after="0" w:line="480" w:lineRule="auto"/>
        <w:jc w:val="left"/>
      </w:pPr>
      <w:r>
        <w:rPr>
          <w:rFonts w:ascii="Times New Roman" w:hAnsi="Times New Roman"/>
          <w:b w:val="0"/>
          <w:i w:val="0"/>
          <w:sz w:val="24"/>
        </w:rPr>
        <w:t>D. Contempt/jail anchors: the record set includes multiple items stamped RECEIVED/FILED 02/28/2025 and 06/12/2025, flagged as contempt/jail-related in automated extraction. See Appendix A and related PDF exhibits.</w:t>
      </w:r>
    </w:p>
    <w:p>
      <w:pPr>
        <w:spacing w:before="0" w:after="0" w:line="480" w:lineRule="auto"/>
        <w:jc w:val="left"/>
      </w:pPr>
      <w:r>
        <w:rPr>
          <w:rFonts w:ascii="Times New Roman" w:hAnsi="Times New Roman"/>
          <w:b w:val="0"/>
          <w:i w:val="0"/>
          <w:sz w:val="24"/>
        </w:rPr>
        <w:t>E. Service and record-access allegations. Petitioner asserts repeated defects in service timing/method in show-cause proceedings and asserts restrictions on submitting evidence through the clerk, as documented in petitioner-compiled exhibit text and supporting emails. See Exhibit text items (Service Defects; Impeachment/Bias; Canon Crosswalk) in the Exhibit Matrix.</w:t>
      </w:r>
    </w:p>
    <w:p>
      <w:pPr>
        <w:spacing w:before="240" w:after="0" w:line="480" w:lineRule="auto"/>
      </w:pPr>
      <w:r>
        <w:rPr>
          <w:rFonts w:ascii="Times New Roman" w:hAnsi="Times New Roman"/>
          <w:b/>
          <w:sz w:val="24"/>
        </w:rPr>
        <w:t>V. ARGUMENT</w:t>
      </w:r>
    </w:p>
    <w:p>
      <w:pPr>
        <w:spacing w:before="240" w:after="0" w:line="480" w:lineRule="auto"/>
      </w:pPr>
      <w:r>
        <w:rPr>
          <w:rFonts w:ascii="Times New Roman" w:hAnsi="Times New Roman"/>
          <w:b/>
          <w:sz w:val="24"/>
        </w:rPr>
        <w:t>A. Continuing ex parte parenting-time suspension without a prompt, meaningful hearing warrants extraordinary intervention.</w:t>
      </w:r>
    </w:p>
    <w:p>
      <w:pPr>
        <w:spacing w:before="0" w:after="0" w:line="480" w:lineRule="auto"/>
        <w:jc w:val="left"/>
      </w:pPr>
      <w:r>
        <w:rPr>
          <w:rFonts w:ascii="Times New Roman" w:hAnsi="Times New Roman"/>
          <w:b w:val="0"/>
          <w:i w:val="0"/>
          <w:sz w:val="24"/>
        </w:rPr>
        <w:t>Petitioner contends the lower court’s ex parte suspension and its continuation without a prompt, meaningful hearing caused ongoing irreparable injury to the parent-child relationship.</w:t>
      </w:r>
    </w:p>
    <w:p>
      <w:pPr>
        <w:spacing w:before="0" w:after="0" w:line="480" w:lineRule="auto"/>
        <w:jc w:val="left"/>
      </w:pPr>
      <w:r>
        <w:rPr>
          <w:rFonts w:ascii="Times New Roman" w:hAnsi="Times New Roman"/>
          <w:b w:val="0"/>
          <w:i w:val="0"/>
          <w:sz w:val="24"/>
        </w:rPr>
        <w:t>Petitioner further contends the lower court’s conditioning of the right to be heard on completion of a mental-health assessment effectively extended emergency relief without the findings and procedure required by Michigan law for parenting-time restrictions.</w:t>
      </w:r>
    </w:p>
    <w:p>
      <w:pPr>
        <w:spacing w:before="0" w:after="0" w:line="480" w:lineRule="auto"/>
        <w:jc w:val="left"/>
      </w:pPr>
      <w:r>
        <w:rPr>
          <w:rFonts w:ascii="Times New Roman" w:hAnsi="Times New Roman"/>
          <w:b w:val="0"/>
          <w:i w:val="0"/>
          <w:sz w:val="24"/>
        </w:rPr>
        <w:t>Requested remedy is tailored: at minimum, an order requiring an expedited evidentiary hearing with defined record procedures (exhibit exchange, witness testimony, and findings on the record), plus interim parenting-time relief in a structured, supervised format if the Court deems appropriate.</w:t>
      </w:r>
    </w:p>
    <w:p>
      <w:pPr>
        <w:spacing w:before="240" w:after="0" w:line="480" w:lineRule="auto"/>
      </w:pPr>
      <w:r>
        <w:rPr>
          <w:rFonts w:ascii="Times New Roman" w:hAnsi="Times New Roman"/>
          <w:b/>
          <w:sz w:val="24"/>
        </w:rPr>
        <w:t>B. Contempt proceedings and alleged service defects threaten the integrity of the record and require immediate guardrails.</w:t>
      </w:r>
    </w:p>
    <w:p>
      <w:pPr>
        <w:spacing w:before="0" w:after="0" w:line="480" w:lineRule="auto"/>
        <w:jc w:val="left"/>
      </w:pPr>
      <w:r>
        <w:rPr>
          <w:rFonts w:ascii="Times New Roman" w:hAnsi="Times New Roman"/>
          <w:b w:val="0"/>
          <w:i w:val="0"/>
          <w:sz w:val="24"/>
        </w:rPr>
        <w:t>Petitioner alleges that multiple show-cause proceedings were served less than the minimum notice required for meaningful preparation, including instances of service by interested-party family members and service during custody exchanges.</w:t>
      </w:r>
    </w:p>
    <w:p>
      <w:pPr>
        <w:spacing w:before="0" w:after="0" w:line="480" w:lineRule="auto"/>
        <w:jc w:val="left"/>
      </w:pPr>
      <w:r>
        <w:rPr>
          <w:rFonts w:ascii="Times New Roman" w:hAnsi="Times New Roman"/>
          <w:b w:val="0"/>
          <w:i w:val="0"/>
          <w:sz w:val="24"/>
        </w:rPr>
        <w:t>Petitioner also alleges that contempt sanctions were imposed in a manner that chilled protected access to the courts and parenting-time communications.</w:t>
      </w:r>
    </w:p>
    <w:p>
      <w:pPr>
        <w:spacing w:before="0" w:after="0" w:line="480" w:lineRule="auto"/>
        <w:jc w:val="left"/>
      </w:pPr>
      <w:r>
        <w:rPr>
          <w:rFonts w:ascii="Times New Roman" w:hAnsi="Times New Roman"/>
          <w:b w:val="0"/>
          <w:i w:val="0"/>
          <w:sz w:val="24"/>
        </w:rPr>
        <w:t>Superintending control is appropriate to ensure the lower court follows minimum procedural protections (proper service, opportunity to present evidence, and written findings supporting coercive or punitive sanctions).</w:t>
      </w:r>
    </w:p>
    <w:p>
      <w:pPr>
        <w:spacing w:before="240" w:after="0" w:line="480" w:lineRule="auto"/>
      </w:pPr>
      <w:r>
        <w:rPr>
          <w:rFonts w:ascii="Times New Roman" w:hAnsi="Times New Roman"/>
          <w:b/>
          <w:sz w:val="24"/>
        </w:rPr>
        <w:t>C. Narrow interim relief is necessary to prevent continuing irreparable harm pending final determination.</w:t>
      </w:r>
    </w:p>
    <w:p>
      <w:pPr>
        <w:spacing w:before="0" w:after="0" w:line="480" w:lineRule="auto"/>
        <w:jc w:val="left"/>
      </w:pPr>
      <w:r>
        <w:rPr>
          <w:rFonts w:ascii="Times New Roman" w:hAnsi="Times New Roman"/>
          <w:b w:val="0"/>
          <w:i w:val="0"/>
          <w:sz w:val="24"/>
        </w:rPr>
        <w:t>Even if the merits require additional briefing, interim relief is necessary to stabilize the situation and protect the minor child’s relationship with Petitioner.</w:t>
      </w:r>
    </w:p>
    <w:p>
      <w:pPr>
        <w:spacing w:before="0" w:after="0" w:line="480" w:lineRule="auto"/>
        <w:jc w:val="left"/>
      </w:pPr>
      <w:r>
        <w:rPr>
          <w:rFonts w:ascii="Times New Roman" w:hAnsi="Times New Roman"/>
          <w:b w:val="0"/>
          <w:i w:val="0"/>
          <w:sz w:val="24"/>
        </w:rPr>
        <w:t>Petitioner requests an interim order directing (i) a prompt evidentiary hearing date certain, (ii) a temporary parenting-time schedule (supervised or otherwise structured), and (iii) a stay of incarceration / punitive sanctions that would prevent participation in proceedings, pending resolution of this original action.</w:t>
      </w:r>
    </w:p>
    <w:p>
      <w:pPr>
        <w:spacing w:before="240" w:after="0" w:line="480" w:lineRule="auto"/>
      </w:pPr>
      <w:r>
        <w:rPr>
          <w:rFonts w:ascii="Times New Roman" w:hAnsi="Times New Roman"/>
          <w:b/>
          <w:sz w:val="24"/>
        </w:rPr>
        <w:t>VI. RELIEF REQUESTED</w:t>
      </w:r>
    </w:p>
    <w:p>
      <w:pPr>
        <w:spacing w:before="0" w:after="0" w:line="480" w:lineRule="auto"/>
        <w:jc w:val="left"/>
      </w:pPr>
      <w:r>
        <w:rPr>
          <w:rFonts w:ascii="Times New Roman" w:hAnsi="Times New Roman"/>
          <w:b w:val="0"/>
          <w:i w:val="0"/>
          <w:sz w:val="24"/>
        </w:rPr>
        <w:t>1. Issue an order of superintending control directing Respondents to vacate or modify the continuing parenting-time suspension and to hold an expedited evidentiary hearing with findings on the record.</w:t>
      </w:r>
    </w:p>
    <w:p>
      <w:pPr>
        <w:spacing w:before="0" w:after="0" w:line="480" w:lineRule="auto"/>
        <w:jc w:val="left"/>
      </w:pPr>
      <w:r>
        <w:rPr>
          <w:rFonts w:ascii="Times New Roman" w:hAnsi="Times New Roman"/>
          <w:b w:val="0"/>
          <w:i w:val="0"/>
          <w:sz w:val="24"/>
        </w:rPr>
        <w:t>2. Enter emergency interim relief establishing temporary parenting time (structured/supervised if necessary) pending the evidentiary hearing.</w:t>
      </w:r>
    </w:p>
    <w:p>
      <w:pPr>
        <w:spacing w:before="0" w:after="0" w:line="480" w:lineRule="auto"/>
        <w:jc w:val="left"/>
      </w:pPr>
      <w:r>
        <w:rPr>
          <w:rFonts w:ascii="Times New Roman" w:hAnsi="Times New Roman"/>
          <w:b w:val="0"/>
          <w:i w:val="0"/>
          <w:sz w:val="24"/>
        </w:rPr>
        <w:t>3. Stay enforcement of any contempt/jail sanctions that interfere with Petitioner’s ability to litigate and to maintain parenting time, pending final resolution.</w:t>
      </w:r>
    </w:p>
    <w:p>
      <w:pPr>
        <w:spacing w:before="0" w:after="0" w:line="480" w:lineRule="auto"/>
        <w:jc w:val="left"/>
      </w:pPr>
      <w:r>
        <w:rPr>
          <w:rFonts w:ascii="Times New Roman" w:hAnsi="Times New Roman"/>
          <w:b w:val="0"/>
          <w:i w:val="0"/>
          <w:sz w:val="24"/>
        </w:rPr>
        <w:t>4. Direct preservation of the complete record, including all recordings and clerk communications related to submission/review of ex parte materials.</w:t>
      </w:r>
    </w:p>
    <w:p>
      <w:pPr>
        <w:spacing w:before="0" w:after="0" w:line="480" w:lineRule="auto"/>
        <w:jc w:val="left"/>
      </w:pPr>
      <w:r>
        <w:rPr>
          <w:rFonts w:ascii="Times New Roman" w:hAnsi="Times New Roman"/>
          <w:b w:val="0"/>
          <w:i w:val="0"/>
          <w:sz w:val="24"/>
        </w:rPr>
        <w:t>5. Grant any other relief this Court deems just.</w:t>
      </w:r>
    </w:p>
    <w:p>
      <w:pPr>
        <w:spacing w:before="240" w:after="0" w:line="480" w:lineRule="auto"/>
      </w:pPr>
      <w:r>
        <w:rPr>
          <w:rFonts w:ascii="Times New Roman" w:hAnsi="Times New Roman"/>
          <w:b/>
          <w:sz w:val="24"/>
        </w:rPr>
        <w:t>VII. VERIFICATION</w:t>
      </w:r>
    </w:p>
    <w:p>
      <w:pPr>
        <w:spacing w:before="0" w:after="0" w:line="480" w:lineRule="auto"/>
        <w:jc w:val="left"/>
      </w:pPr>
      <w:r>
        <w:rPr>
          <w:rFonts w:ascii="Times New Roman" w:hAnsi="Times New Roman"/>
          <w:b w:val="0"/>
          <w:i w:val="0"/>
          <w:sz w:val="24"/>
        </w:rPr>
        <w:t>I declare under penalty of perjury that the foregoing statements of fact are true to the best of my knowledge, information, and belief, and that factual assertions are intended to be supported by the referenced exhibits.</w:t>
      </w:r>
    </w:p>
    <w:p>
      <w:pPr>
        <w:spacing w:before="0" w:after="0" w:line="480" w:lineRule="auto"/>
        <w:jc w:val="left"/>
      </w:pPr>
      <w:r>
        <w:rPr>
          <w:rFonts w:ascii="Times New Roman" w:hAnsi="Times New Roman"/>
          <w:b w:val="0"/>
          <w:i w:val="0"/>
          <w:sz w:val="24"/>
        </w:rPr>
      </w:r>
    </w:p>
    <w:p>
      <w:pPr>
        <w:spacing w:before="0" w:after="0" w:line="480" w:lineRule="auto"/>
        <w:jc w:val="left"/>
      </w:pPr>
      <w:r>
        <w:rPr>
          <w:rFonts w:ascii="Times New Roman" w:hAnsi="Times New Roman"/>
          <w:b w:val="0"/>
          <w:i w:val="0"/>
          <w:sz w:val="24"/>
        </w:rPr>
        <w:t>Date: ____________________        ______________________________</w:t>
      </w:r>
    </w:p>
    <w:p>
      <w:pPr>
        <w:spacing w:before="0" w:after="0" w:line="480" w:lineRule="auto"/>
        <w:jc w:val="left"/>
      </w:pPr>
      <w:r>
        <w:rPr>
          <w:rFonts w:ascii="Times New Roman" w:hAnsi="Times New Roman"/>
          <w:b w:val="0"/>
          <w:i w:val="0"/>
          <w:sz w:val="24"/>
        </w:rPr>
        <w:t xml:space="preserve">                                 ANDREW J. PIGORS, Petitioner (in pro per)</w:t>
      </w:r>
    </w:p>
    <w:p>
      <w:pPr>
        <w:spacing w:before="240" w:after="0" w:line="480" w:lineRule="auto"/>
      </w:pPr>
      <w:r>
        <w:rPr>
          <w:rFonts w:ascii="Times New Roman" w:hAnsi="Times New Roman"/>
          <w:b/>
          <w:sz w:val="24"/>
        </w:rPr>
        <w:t>VIII. EXHIBITS &amp; APPENDICES</w:t>
      </w:r>
    </w:p>
    <w:p>
      <w:pPr>
        <w:spacing w:before="0" w:after="0" w:line="480" w:lineRule="auto"/>
        <w:jc w:val="left"/>
      </w:pPr>
      <w:r>
        <w:rPr>
          <w:rFonts w:ascii="Times New Roman" w:hAnsi="Times New Roman"/>
          <w:b w:val="0"/>
          <w:i/>
          <w:sz w:val="24"/>
        </w:rPr>
        <w:t>See: (1) Appendix A (Record-Dated Filings Chronology); (2) Appendix B (Forms Pointers); (3) Appendix C (Authority Shortlist); (4) ExhibitMatrix_V2.csv; and (5) the Exhibit PDFs/TXTs bundled in this pack.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