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b/>
          <w:sz w:val="24"/>
        </w:rPr>
        <w:t>STATE OF MICHIGAN</w:t>
      </w:r>
    </w:p>
    <w:p>
      <w:pPr>
        <w:spacing w:before="0" w:after="0" w:line="480" w:lineRule="auto"/>
        <w:jc w:val="center"/>
      </w:pPr>
      <w:r>
        <w:rPr>
          <w:rFonts w:ascii="Times New Roman" w:hAnsi="Times New Roman"/>
          <w:b/>
          <w:sz w:val="24"/>
        </w:rPr>
        <w:t>IN THE SUPREME COURT</w:t>
      </w:r>
    </w:p>
    <w:p/>
    <w:tbl>
      <w:tblPr>
        <w:tblW w:type="auto" w:w="0"/>
        <w:jc w:val="center"/>
        <w:tblLayout w:type="autofit"/>
        <w:tblLook w:firstColumn="1" w:firstRow="1" w:lastColumn="0" w:lastRow="0" w:noHBand="0" w:noVBand="1" w:val="04A0"/>
      </w:tblPr>
      <w:tblGrid>
        <w:gridCol w:w="4680"/>
        <w:gridCol w:w="4680"/>
      </w:tblGrid>
      <w:tr>
        <w:tc>
          <w:tcPr>
            <w:tcW w:type="dxa" w:w="4680"/>
          </w:tcPr>
          <w:p>
            <w:pPr>
              <w:spacing w:before="0" w:after="0" w:line="480" w:lineRule="auto"/>
            </w:pPr>
            <w:r>
              <w:rPr>
                <w:rFonts w:ascii="Times New Roman" w:hAnsi="Times New Roman"/>
                <w:sz w:val="24"/>
              </w:rPr>
              <w:t>ANDREW J. PIGORS,</w:t>
            </w:r>
          </w:p>
          <w:p>
            <w:pPr>
              <w:spacing w:before="0" w:after="0" w:line="480" w:lineRule="auto"/>
            </w:pPr>
            <w:r>
              <w:rPr>
                <w:rFonts w:ascii="Times New Roman" w:hAnsi="Times New Roman"/>
                <w:sz w:val="24"/>
              </w:rPr>
              <w:t xml:space="preserve">   Petitioner,</w:t>
            </w:r>
          </w:p>
          <w:p>
            <w:pPr>
              <w:spacing w:before="0" w:after="0" w:line="480" w:lineRule="auto"/>
            </w:pPr>
          </w:p>
          <w:p>
            <w:pPr>
              <w:spacing w:before="0" w:after="0" w:line="480" w:lineRule="auto"/>
            </w:pPr>
            <w:r>
              <w:rPr>
                <w:rFonts w:ascii="Times New Roman" w:hAnsi="Times New Roman"/>
                <w:sz w:val="24"/>
              </w:rPr>
              <w:t>v.</w:t>
            </w:r>
          </w:p>
          <w:p>
            <w:pPr>
              <w:spacing w:before="0" w:after="0" w:line="480" w:lineRule="auto"/>
            </w:pPr>
          </w:p>
          <w:p>
            <w:pPr>
              <w:spacing w:before="0" w:after="0" w:line="480" w:lineRule="auto"/>
            </w:pPr>
            <w:r>
              <w:rPr>
                <w:rFonts w:ascii="Times New Roman" w:hAnsi="Times New Roman"/>
                <w:sz w:val="24"/>
              </w:rPr>
              <w:t>THE HONORABLE JENNY L. McNEILL,</w:t>
            </w:r>
          </w:p>
          <w:p>
            <w:pPr>
              <w:spacing w:before="0" w:after="0" w:line="480" w:lineRule="auto"/>
            </w:pPr>
            <w:r>
              <w:rPr>
                <w:rFonts w:ascii="Times New Roman" w:hAnsi="Times New Roman"/>
                <w:sz w:val="24"/>
              </w:rPr>
              <w:t>14th Circuit Court, Family Division,</w:t>
            </w:r>
          </w:p>
          <w:p>
            <w:pPr>
              <w:spacing w:before="0" w:after="0" w:line="480" w:lineRule="auto"/>
            </w:pPr>
            <w:r>
              <w:rPr>
                <w:rFonts w:ascii="Times New Roman" w:hAnsi="Times New Roman"/>
                <w:sz w:val="24"/>
              </w:rPr>
              <w:t>and the 14th Circuit Court,</w:t>
            </w:r>
          </w:p>
          <w:p>
            <w:pPr>
              <w:spacing w:before="0" w:after="0" w:line="480" w:lineRule="auto"/>
            </w:pPr>
            <w:r>
              <w:rPr>
                <w:rFonts w:ascii="Times New Roman" w:hAnsi="Times New Roman"/>
                <w:sz w:val="24"/>
              </w:rPr>
              <w:t xml:space="preserve">   Respondents.</w:t>
            </w:r>
          </w:p>
          <w:p>
            <w:pPr>
              <w:spacing w:before="0" w:after="0" w:line="480" w:lineRule="auto"/>
            </w:pPr>
          </w:p>
          <w:p>
            <w:pPr>
              <w:spacing w:before="0" w:after="0" w:line="480" w:lineRule="auto"/>
            </w:pPr>
            <w:r>
              <w:rPr>
                <w:rFonts w:ascii="Times New Roman" w:hAnsi="Times New Roman"/>
                <w:sz w:val="24"/>
              </w:rPr>
              <w:t>EMILY A. WATSON,</w:t>
            </w:r>
          </w:p>
          <w:p>
            <w:pPr>
              <w:spacing w:before="0" w:after="0" w:line="480" w:lineRule="auto"/>
            </w:pPr>
            <w:r>
              <w:rPr>
                <w:rFonts w:ascii="Times New Roman" w:hAnsi="Times New Roman"/>
                <w:sz w:val="24"/>
              </w:rPr>
              <w:t xml:space="preserve">   Interested Party.</w:t>
            </w:r>
          </w:p>
        </w:tc>
        <w:tc>
          <w:tcPr>
            <w:tcW w:type="dxa" w:w="4680"/>
          </w:tcPr>
          <w:p>
            <w:pPr>
              <w:spacing w:before="0" w:after="0" w:line="480" w:lineRule="auto"/>
            </w:pPr>
            <w:r>
              <w:rPr>
                <w:rFonts w:ascii="Times New Roman" w:hAnsi="Times New Roman"/>
                <w:sz w:val="24"/>
              </w:rPr>
              <w:t>Supreme Court No.: __________________</w:t>
            </w:r>
          </w:p>
          <w:p>
            <w:pPr>
              <w:spacing w:before="0" w:after="0" w:line="480" w:lineRule="auto"/>
            </w:pPr>
            <w:r>
              <w:rPr>
                <w:rFonts w:ascii="Times New Roman" w:hAnsi="Times New Roman"/>
                <w:sz w:val="24"/>
              </w:rPr>
              <w:t>Lower Court No. (Custody): 2024-001507-DC</w:t>
            </w:r>
          </w:p>
          <w:p>
            <w:pPr>
              <w:spacing w:before="0" w:after="0" w:line="480" w:lineRule="auto"/>
            </w:pPr>
            <w:r>
              <w:rPr>
                <w:rFonts w:ascii="Times New Roman" w:hAnsi="Times New Roman"/>
                <w:sz w:val="24"/>
              </w:rPr>
              <w:t>Lower Court No. (PPO): 2023-005907-PP</w:t>
            </w:r>
          </w:p>
          <w:p>
            <w:pPr>
              <w:spacing w:before="0" w:after="0" w:line="480" w:lineRule="auto"/>
            </w:pPr>
          </w:p>
          <w:p>
            <w:pPr>
              <w:spacing w:before="0" w:after="0" w:line="480" w:lineRule="auto"/>
            </w:pPr>
            <w:r>
              <w:rPr>
                <w:rFonts w:ascii="Times New Roman" w:hAnsi="Times New Roman"/>
                <w:sz w:val="24"/>
              </w:rPr>
              <w:t>Nature of Action:</w:t>
            </w:r>
          </w:p>
          <w:p>
            <w:pPr>
              <w:spacing w:before="0" w:after="0" w:line="480" w:lineRule="auto"/>
            </w:pPr>
            <w:r>
              <w:rPr>
                <w:rFonts w:ascii="Times New Roman" w:hAnsi="Times New Roman"/>
                <w:sz w:val="24"/>
              </w:rPr>
              <w:t>Original Action —</w:t>
            </w:r>
          </w:p>
          <w:p>
            <w:pPr>
              <w:spacing w:before="0" w:after="0" w:line="480" w:lineRule="auto"/>
            </w:pPr>
            <w:r>
              <w:rPr>
                <w:rFonts w:ascii="Times New Roman" w:hAnsi="Times New Roman"/>
                <w:sz w:val="24"/>
              </w:rPr>
              <w:t>Superintending Control /</w:t>
            </w:r>
          </w:p>
          <w:p>
            <w:pPr>
              <w:spacing w:before="0" w:after="0" w:line="480" w:lineRule="auto"/>
            </w:pPr>
            <w:r>
              <w:rPr>
                <w:rFonts w:ascii="Times New Roman" w:hAnsi="Times New Roman"/>
                <w:sz w:val="24"/>
              </w:rPr>
              <w:t>Remedial Writs</w:t>
            </w:r>
          </w:p>
          <w:p>
            <w:pPr>
              <w:spacing w:before="0" w:after="0" w:line="480" w:lineRule="auto"/>
            </w:pPr>
          </w:p>
          <w:p>
            <w:pPr>
              <w:spacing w:before="0" w:after="0" w:line="480" w:lineRule="auto"/>
            </w:pPr>
            <w:r>
              <w:rPr>
                <w:rFonts w:ascii="Times New Roman" w:hAnsi="Times New Roman"/>
                <w:sz w:val="24"/>
              </w:rPr>
              <w:t>DRAFT — FILE-READY AFTER FINAL</w:t>
            </w:r>
          </w:p>
          <w:p>
            <w:pPr>
              <w:spacing w:before="0" w:after="0" w:line="480" w:lineRule="auto"/>
            </w:pPr>
            <w:r>
              <w:rPr>
                <w:rFonts w:ascii="Times New Roman" w:hAnsi="Times New Roman"/>
                <w:sz w:val="24"/>
              </w:rPr>
              <w:t>ORDER-PIN + SERVICE CHECK</w:t>
            </w:r>
          </w:p>
        </w:tc>
      </w:tr>
    </w:tbl>
    <w:p/>
    <w:p>
      <w:pPr>
        <w:spacing w:before="0" w:after="0" w:line="480" w:lineRule="auto"/>
        <w:jc w:val="center"/>
      </w:pPr>
      <w:r>
        <w:rPr>
          <w:rFonts w:ascii="Times New Roman" w:hAnsi="Times New Roman"/>
          <w:b/>
          <w:sz w:val="24"/>
        </w:rPr>
        <w:t>COMPLAINT FOR SUPERINTENDING CONTROL</w:t>
      </w:r>
    </w:p>
    <w:p>
      <w:pPr>
        <w:spacing w:before="0" w:after="0" w:line="480" w:lineRule="auto"/>
        <w:jc w:val="center"/>
      </w:pPr>
      <w:r>
        <w:rPr>
          <w:rFonts w:ascii="Times New Roman" w:hAnsi="Times New Roman"/>
          <w:b/>
          <w:sz w:val="24"/>
        </w:rPr>
        <w:t>AND EMERGENCY INTERIM RELIEF</w:t>
      </w:r>
    </w:p>
    <w:p/>
    <w:p>
      <w:pPr>
        <w:spacing w:before="0" w:after="0" w:line="480" w:lineRule="auto"/>
        <w:jc w:val="left"/>
      </w:pPr>
      <w:r>
        <w:rPr>
          <w:rFonts w:ascii="Times New Roman" w:hAnsi="Times New Roman"/>
          <w:b w:val="0"/>
          <w:i w:val="0"/>
          <w:sz w:val="24"/>
        </w:rPr>
        <w:t>Petitioner Andrew J. Pigors, appearing in propria persona, states as follows:</w:t>
      </w:r>
    </w:p>
    <w:p/>
    <w:p>
      <w:pPr>
        <w:spacing w:before="240" w:after="0" w:line="480" w:lineRule="auto"/>
      </w:pPr>
      <w:r>
        <w:rPr>
          <w:rFonts w:ascii="Times New Roman" w:hAnsi="Times New Roman"/>
          <w:b/>
          <w:sz w:val="24"/>
        </w:rPr>
        <w:t>I. JURISDICTION</w:t>
      </w:r>
    </w:p>
    <w:p>
      <w:pPr>
        <w:spacing w:before="0" w:after="0" w:line="480" w:lineRule="auto"/>
        <w:jc w:val="left"/>
      </w:pPr>
      <w:r>
        <w:rPr>
          <w:rFonts w:ascii="Times New Roman" w:hAnsi="Times New Roman"/>
          <w:b w:val="0"/>
          <w:i w:val="0"/>
          <w:sz w:val="24"/>
        </w:rPr>
        <w:t>The Michigan Supreme Court possesses general superintending control over all courts and power to issue, hear, and determine prerogative and remedial writs. See Const 1963, art 6, § 4.</w:t>
      </w:r>
    </w:p>
    <w:p>
      <w:pPr>
        <w:spacing w:before="0" w:after="0" w:line="480" w:lineRule="auto"/>
        <w:jc w:val="left"/>
      </w:pPr>
      <w:r>
        <w:rPr>
          <w:rFonts w:ascii="Times New Roman" w:hAnsi="Times New Roman"/>
          <w:b w:val="0"/>
          <w:i w:val="0"/>
          <w:sz w:val="24"/>
        </w:rPr>
        <w:t>This original action is filed to obtain immediate relief where lower-court processes have allegedly produced continuing and irreparable harm to a parent-child relationship and where ordinary remedies have proven ineffective or practically unavailable.</w:t>
      </w:r>
    </w:p>
    <w:p>
      <w:pPr>
        <w:spacing w:before="0" w:after="0" w:line="480" w:lineRule="auto"/>
        <w:jc w:val="left"/>
      </w:pPr>
      <w:r>
        <w:rPr>
          <w:rFonts w:ascii="Times New Roman" w:hAnsi="Times New Roman"/>
          <w:b w:val="0"/>
          <w:i w:val="0"/>
          <w:sz w:val="24"/>
        </w:rPr>
        <w:t>This filing is coordinated with (and complementary to) an intended Court of Appeals original action; Petitioner seeks Supreme Court intervention because of the extraordinary circumstances alleged and the continuing nature of the harm.</w:t>
      </w:r>
    </w:p>
    <w:p>
      <w:pPr>
        <w:spacing w:before="240" w:after="0" w:line="480" w:lineRule="auto"/>
      </w:pPr>
      <w:r>
        <w:rPr>
          <w:rFonts w:ascii="Times New Roman" w:hAnsi="Times New Roman"/>
          <w:b/>
          <w:sz w:val="24"/>
        </w:rPr>
        <w:t>II. SUMMARY OF RELIEF SOUGHT</w:t>
      </w:r>
    </w:p>
    <w:p>
      <w:pPr>
        <w:spacing w:before="0" w:after="0" w:line="480" w:lineRule="auto"/>
        <w:jc w:val="left"/>
      </w:pPr>
      <w:r>
        <w:rPr>
          <w:rFonts w:ascii="Times New Roman" w:hAnsi="Times New Roman"/>
          <w:b w:val="0"/>
          <w:i w:val="0"/>
          <w:sz w:val="24"/>
        </w:rPr>
        <w:t>Petitioner seeks an order directing the lower court to: (1) restore parenting time immediately in a structured fashion; (2) set an expedited evidentiary hearing date certain; (3) enter written findings on the record to support any restrictions; and (4) enforce minimum procedural protections in any contempt/show-cause proceedings.</w:t>
      </w:r>
    </w:p>
    <w:p>
      <w:pPr>
        <w:spacing w:before="0" w:after="0" w:line="480" w:lineRule="auto"/>
        <w:jc w:val="left"/>
      </w:pPr>
      <w:r>
        <w:rPr>
          <w:rFonts w:ascii="Times New Roman" w:hAnsi="Times New Roman"/>
          <w:b w:val="0"/>
          <w:i w:val="0"/>
          <w:sz w:val="24"/>
        </w:rPr>
        <w:t>Petitioner also seeks interim relief staying incarceration or punitive sanctions that interfere with participation in proceedings and parenting time.</w:t>
      </w:r>
    </w:p>
    <w:p>
      <w:pPr>
        <w:spacing w:before="240" w:after="0" w:line="480" w:lineRule="auto"/>
      </w:pPr>
      <w:r>
        <w:rPr>
          <w:rFonts w:ascii="Times New Roman" w:hAnsi="Times New Roman"/>
          <w:b/>
          <w:sz w:val="24"/>
        </w:rPr>
        <w:t>III. STATEMENT OF FACTS (RECORD-ANCHORED)</w:t>
      </w:r>
    </w:p>
    <w:p>
      <w:pPr>
        <w:spacing w:before="0" w:after="0" w:line="480" w:lineRule="auto"/>
        <w:jc w:val="left"/>
      </w:pPr>
      <w:r>
        <w:rPr>
          <w:rFonts w:ascii="Times New Roman" w:hAnsi="Times New Roman"/>
          <w:b w:val="0"/>
          <w:i w:val="0"/>
          <w:sz w:val="24"/>
        </w:rPr>
        <w:t>Petitioner incorporates Appendix A and ExhibitMatrix_V2.csv as the record index for this complaint.</w:t>
      </w:r>
    </w:p>
    <w:p>
      <w:pPr>
        <w:spacing w:before="0" w:after="0" w:line="480" w:lineRule="auto"/>
        <w:jc w:val="left"/>
      </w:pPr>
      <w:r>
        <w:rPr>
          <w:rFonts w:ascii="Times New Roman" w:hAnsi="Times New Roman"/>
          <w:b w:val="0"/>
          <w:i w:val="0"/>
          <w:sz w:val="24"/>
        </w:rPr>
        <w:t>The record set includes documentary stamps showing a sequence of filed/received events in the PPO and custody matters, including filings stamped 12/04/2023, 11/27/2024, 12/09/2024, 02/28/2025, 06/12/2025, and 09/09/2025. See Appendix A.</w:t>
      </w:r>
    </w:p>
    <w:p>
      <w:pPr>
        <w:spacing w:before="0" w:after="0" w:line="480" w:lineRule="auto"/>
        <w:jc w:val="left"/>
      </w:pPr>
      <w:r>
        <w:rPr>
          <w:rFonts w:ascii="Times New Roman" w:hAnsi="Times New Roman"/>
          <w:b w:val="0"/>
          <w:i w:val="0"/>
          <w:sz w:val="24"/>
        </w:rPr>
        <w:t>A transcript cover page indicates a show-cause hearing on the PPO occurred on 10/30/2024. See transcript PDFs (EXH_PDF_001 et seq.).</w:t>
      </w:r>
    </w:p>
    <w:p>
      <w:pPr>
        <w:spacing w:before="0" w:after="0" w:line="480" w:lineRule="auto"/>
        <w:jc w:val="left"/>
      </w:pPr>
      <w:r>
        <w:rPr>
          <w:rFonts w:ascii="Times New Roman" w:hAnsi="Times New Roman"/>
          <w:b w:val="0"/>
          <w:i w:val="0"/>
          <w:sz w:val="24"/>
        </w:rPr>
        <w:t>Petitioner asserts that emergency ex parte parenting-time suspension and later continuation were driven by a disputed, partial, secretly recorded phone call and hearsay materials submitted ex parte, and that Petitioner did not receive access to the recording until after court staff reviewed it. See petitioner narrative materials and ex parte exhibits referenced in the Exhibit Matrix.</w:t>
      </w:r>
    </w:p>
    <w:p>
      <w:pPr>
        <w:spacing w:before="0" w:after="0" w:line="480" w:lineRule="auto"/>
        <w:jc w:val="left"/>
      </w:pPr>
      <w:r>
        <w:rPr>
          <w:rFonts w:ascii="Times New Roman" w:hAnsi="Times New Roman"/>
          <w:b w:val="0"/>
          <w:i w:val="0"/>
          <w:sz w:val="24"/>
        </w:rPr>
        <w:t>Petitioner further asserts that, as of the most recent timeframe described in the narrative materials, parenting time has been suspended for an extended period, creating irreparable injury.</w:t>
      </w:r>
    </w:p>
    <w:p>
      <w:pPr>
        <w:spacing w:before="240" w:after="0" w:line="480" w:lineRule="auto"/>
      </w:pPr>
      <w:r>
        <w:rPr>
          <w:rFonts w:ascii="Times New Roman" w:hAnsi="Times New Roman"/>
          <w:b/>
          <w:sz w:val="24"/>
        </w:rPr>
        <w:t>IV. GROUNDS FOR SUPERVISORY INTERVENTION</w:t>
      </w:r>
    </w:p>
    <w:p>
      <w:pPr>
        <w:spacing w:before="240" w:after="0" w:line="480" w:lineRule="auto"/>
      </w:pPr>
      <w:r>
        <w:rPr>
          <w:rFonts w:ascii="Times New Roman" w:hAnsi="Times New Roman"/>
          <w:b/>
          <w:sz w:val="24"/>
        </w:rPr>
        <w:t>A. Due process failures in continuing parenting-time suspension</w:t>
      </w:r>
    </w:p>
    <w:p>
      <w:pPr>
        <w:spacing w:before="0" w:after="0" w:line="480" w:lineRule="auto"/>
        <w:jc w:val="left"/>
      </w:pPr>
      <w:r>
        <w:rPr>
          <w:rFonts w:ascii="Times New Roman" w:hAnsi="Times New Roman"/>
          <w:b w:val="0"/>
          <w:i w:val="0"/>
          <w:sz w:val="24"/>
        </w:rPr>
        <w:t>Petitioner contends the lower court used emergency ex parte procedures to impose a long-term parenting-time suspension without the prompt, meaningful hearing required for restrictions affecting a fundamental parent-child relationship.</w:t>
      </w:r>
    </w:p>
    <w:p>
      <w:pPr>
        <w:spacing w:before="0" w:after="0" w:line="480" w:lineRule="auto"/>
        <w:jc w:val="left"/>
      </w:pPr>
      <w:r>
        <w:rPr>
          <w:rFonts w:ascii="Times New Roman" w:hAnsi="Times New Roman"/>
          <w:b w:val="0"/>
          <w:i w:val="0"/>
          <w:sz w:val="24"/>
        </w:rPr>
        <w:t>Petitioner contends the lower court conditioned the right to be heard on completion of a mental-health assessment, thereby extending emergency relief without proper procedure and findings.</w:t>
      </w:r>
    </w:p>
    <w:p>
      <w:pPr>
        <w:spacing w:before="240" w:after="0" w:line="480" w:lineRule="auto"/>
      </w:pPr>
      <w:r>
        <w:rPr>
          <w:rFonts w:ascii="Times New Roman" w:hAnsi="Times New Roman"/>
          <w:b/>
          <w:sz w:val="24"/>
        </w:rPr>
        <w:t>B. Procedural defects in contempt/show-cause proceedings</w:t>
      </w:r>
    </w:p>
    <w:p>
      <w:pPr>
        <w:spacing w:before="0" w:after="0" w:line="480" w:lineRule="auto"/>
        <w:jc w:val="left"/>
      </w:pPr>
      <w:r>
        <w:rPr>
          <w:rFonts w:ascii="Times New Roman" w:hAnsi="Times New Roman"/>
          <w:b w:val="0"/>
          <w:i w:val="0"/>
          <w:sz w:val="24"/>
        </w:rPr>
        <w:t>Petitioner contends show-cause proceedings were repeatedly served with insufficient notice and improper service methods, undermining ability to prepare and participate.</w:t>
      </w:r>
    </w:p>
    <w:p>
      <w:pPr>
        <w:spacing w:before="0" w:after="0" w:line="480" w:lineRule="auto"/>
        <w:jc w:val="left"/>
      </w:pPr>
      <w:r>
        <w:rPr>
          <w:rFonts w:ascii="Times New Roman" w:hAnsi="Times New Roman"/>
          <w:b w:val="0"/>
          <w:i w:val="0"/>
          <w:sz w:val="24"/>
        </w:rPr>
        <w:t>Petitioner contends incarceration and sanctions were imposed or threatened in a manner that obstructed appellate review and parenting-time restoration.</w:t>
      </w:r>
    </w:p>
    <w:p>
      <w:pPr>
        <w:spacing w:before="240" w:after="0" w:line="480" w:lineRule="auto"/>
      </w:pPr>
      <w:r>
        <w:rPr>
          <w:rFonts w:ascii="Times New Roman" w:hAnsi="Times New Roman"/>
          <w:b/>
          <w:sz w:val="24"/>
        </w:rPr>
        <w:t>C. Need for immediate, narrow interim relief</w:t>
      </w:r>
    </w:p>
    <w:p>
      <w:pPr>
        <w:spacing w:before="0" w:after="0" w:line="480" w:lineRule="auto"/>
        <w:jc w:val="left"/>
      </w:pPr>
      <w:r>
        <w:rPr>
          <w:rFonts w:ascii="Times New Roman" w:hAnsi="Times New Roman"/>
          <w:b w:val="0"/>
          <w:i w:val="0"/>
          <w:sz w:val="24"/>
        </w:rPr>
        <w:t>Petitioner requests interim relief narrowly tailored to stabilize parenting time and to preserve the record pending final determinations, including a structured temporary parenting-time plan and a defined schedule for an evidentiary hearing.</w:t>
      </w:r>
    </w:p>
    <w:p>
      <w:pPr>
        <w:spacing w:before="240" w:after="0" w:line="480" w:lineRule="auto"/>
      </w:pPr>
      <w:r>
        <w:rPr>
          <w:rFonts w:ascii="Times New Roman" w:hAnsi="Times New Roman"/>
          <w:b/>
          <w:sz w:val="24"/>
        </w:rPr>
        <w:t>V. RELIEF REQUESTED</w:t>
      </w:r>
    </w:p>
    <w:p>
      <w:pPr>
        <w:spacing w:before="0" w:after="0" w:line="480" w:lineRule="auto"/>
        <w:jc w:val="left"/>
      </w:pPr>
      <w:r>
        <w:rPr>
          <w:rFonts w:ascii="Times New Roman" w:hAnsi="Times New Roman"/>
          <w:b w:val="0"/>
          <w:i w:val="0"/>
          <w:sz w:val="24"/>
        </w:rPr>
        <w:t>WHEREFORE, Petitioner respectfully requests that the Michigan Supreme Court:</w:t>
      </w:r>
    </w:p>
    <w:p>
      <w:pPr>
        <w:spacing w:before="0" w:after="0" w:line="480" w:lineRule="auto"/>
        <w:jc w:val="left"/>
      </w:pPr>
      <w:r>
        <w:rPr>
          <w:rFonts w:ascii="Times New Roman" w:hAnsi="Times New Roman"/>
          <w:b w:val="0"/>
          <w:i w:val="0"/>
          <w:sz w:val="24"/>
        </w:rPr>
        <w:t>1. Exercise superintending control under Const 1963, art 6, § 4, and enter an order directing the lower court to provide prompt, meaningful due process before continuing any parenting-time suspension;</w:t>
      </w:r>
    </w:p>
    <w:p>
      <w:pPr>
        <w:spacing w:before="0" w:after="0" w:line="480" w:lineRule="auto"/>
        <w:jc w:val="left"/>
      </w:pPr>
      <w:r>
        <w:rPr>
          <w:rFonts w:ascii="Times New Roman" w:hAnsi="Times New Roman"/>
          <w:b w:val="0"/>
          <w:i w:val="0"/>
          <w:sz w:val="24"/>
        </w:rPr>
        <w:t>2. Enter emergency interim relief establishing temporary parenting time (structured/supervised if necessary) pending an evidentiary hearing;</w:t>
      </w:r>
    </w:p>
    <w:p>
      <w:pPr>
        <w:spacing w:before="0" w:after="0" w:line="480" w:lineRule="auto"/>
        <w:jc w:val="left"/>
      </w:pPr>
      <w:r>
        <w:rPr>
          <w:rFonts w:ascii="Times New Roman" w:hAnsi="Times New Roman"/>
          <w:b w:val="0"/>
          <w:i w:val="0"/>
          <w:sz w:val="24"/>
        </w:rPr>
        <w:t>3. Stay enforcement of contempt/jail sanctions that prevent participation in proceedings, pending further order;</w:t>
      </w:r>
    </w:p>
    <w:p>
      <w:pPr>
        <w:spacing w:before="0" w:after="0" w:line="480" w:lineRule="auto"/>
        <w:jc w:val="left"/>
      </w:pPr>
      <w:r>
        <w:rPr>
          <w:rFonts w:ascii="Times New Roman" w:hAnsi="Times New Roman"/>
          <w:b w:val="0"/>
          <w:i w:val="0"/>
          <w:sz w:val="24"/>
        </w:rPr>
        <w:t>4. Order preservation and production of the full record of ex parte submissions and any recordings relied upon;</w:t>
      </w:r>
    </w:p>
    <w:p>
      <w:pPr>
        <w:spacing w:before="0" w:after="0" w:line="480" w:lineRule="auto"/>
        <w:jc w:val="left"/>
      </w:pPr>
      <w:r>
        <w:rPr>
          <w:rFonts w:ascii="Times New Roman" w:hAnsi="Times New Roman"/>
          <w:b w:val="0"/>
          <w:i w:val="0"/>
          <w:sz w:val="24"/>
        </w:rPr>
        <w:t>5. Grant such other relief as is just.</w:t>
      </w:r>
    </w:p>
    <w:p>
      <w:pPr>
        <w:spacing w:before="240" w:after="0" w:line="480" w:lineRule="auto"/>
      </w:pPr>
      <w:r>
        <w:rPr>
          <w:rFonts w:ascii="Times New Roman" w:hAnsi="Times New Roman"/>
          <w:b/>
          <w:sz w:val="24"/>
        </w:rPr>
        <w:t>VI. VERIFICATION</w:t>
      </w:r>
    </w:p>
    <w:p>
      <w:pPr>
        <w:spacing w:before="0" w:after="0" w:line="480" w:lineRule="auto"/>
        <w:jc w:val="left"/>
      </w:pPr>
      <w:r>
        <w:rPr>
          <w:rFonts w:ascii="Times New Roman" w:hAnsi="Times New Roman"/>
          <w:b w:val="0"/>
          <w:i w:val="0"/>
          <w:sz w:val="24"/>
        </w:rPr>
        <w:t>I declare under penalty of perjury that the foregoing statements of fact are true to the best of my knowledge, information, and belief, and that factual assertions are intended to be supported by the referenced exhibits.</w:t>
      </w:r>
    </w:p>
    <w:p>
      <w:pPr>
        <w:spacing w:before="0" w:after="0" w:line="480" w:lineRule="auto"/>
        <w:jc w:val="left"/>
      </w:pPr>
      <w:r>
        <w:rPr>
          <w:rFonts w:ascii="Times New Roman" w:hAnsi="Times New Roman"/>
          <w:b w:val="0"/>
          <w:i w:val="0"/>
          <w:sz w:val="24"/>
        </w:rPr>
      </w:r>
    </w:p>
    <w:p>
      <w:pPr>
        <w:spacing w:before="0" w:after="0" w:line="480" w:lineRule="auto"/>
        <w:jc w:val="left"/>
      </w:pPr>
      <w:r>
        <w:rPr>
          <w:rFonts w:ascii="Times New Roman" w:hAnsi="Times New Roman"/>
          <w:b w:val="0"/>
          <w:i w:val="0"/>
          <w:sz w:val="24"/>
        </w:rPr>
        <w:t>Date: ____________________        ______________________________</w:t>
      </w:r>
    </w:p>
    <w:p>
      <w:pPr>
        <w:spacing w:before="0" w:after="0" w:line="480" w:lineRule="auto"/>
        <w:jc w:val="left"/>
      </w:pPr>
      <w:r>
        <w:rPr>
          <w:rFonts w:ascii="Times New Roman" w:hAnsi="Times New Roman"/>
          <w:b w:val="0"/>
          <w:i w:val="0"/>
          <w:sz w:val="24"/>
        </w:rPr>
        <w:t xml:space="preserve">                                 ANDREW J. PIGORS, Petitioner (in pro per)</w:t>
      </w:r>
    </w:p>
    <w:p>
      <w:pPr>
        <w:spacing w:before="240" w:after="0" w:line="480" w:lineRule="auto"/>
      </w:pPr>
      <w:r>
        <w:rPr>
          <w:rFonts w:ascii="Times New Roman" w:hAnsi="Times New Roman"/>
          <w:b/>
          <w:sz w:val="24"/>
        </w:rPr>
        <w:t>VII. APPENDICES / EXHIBITS</w:t>
      </w:r>
    </w:p>
    <w:p>
      <w:pPr>
        <w:spacing w:before="0" w:after="0" w:line="480" w:lineRule="auto"/>
        <w:jc w:val="left"/>
      </w:pPr>
      <w:r>
        <w:rPr>
          <w:rFonts w:ascii="Times New Roman" w:hAnsi="Times New Roman"/>
          <w:b w:val="0"/>
          <w:i/>
          <w:sz w:val="24"/>
        </w:rPr>
        <w:t>See Appendix A–C and ExhibitMatrix_V2.csv; exhibits are bundled in the accompanying pack.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