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t>IN THE SUPREME COURT</w:t>
      </w:r>
      <w:spacing w:line="240" w:lineRule="auto"/>
    </w:p>
    <w:p>
      <w:pPr>
        <w:spacing w:after="0"/>
        <w:jc w:val="center"/>
      </w:pPr>
      <w:r>
        <w:rPr>
          <w:rFonts w:ascii="Times New Roman" w:hAnsi="Times New Roman"/>
          <w:b w:val="0"/>
          <w:sz w:val="24"/>
        </w:rPr>
        <w:t>STATE OF MICHIGAN</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ANDREW PIGORS,</w:t>
      </w:r>
      <w:spacing w:line="240" w:lineRule="auto"/>
    </w:p>
    <w:p>
      <w:pPr>
        <w:spacing w:after="0"/>
        <w:jc w:val="center"/>
      </w:pPr>
      <w:r>
        <w:rPr>
          <w:rFonts w:ascii="Times New Roman" w:hAnsi="Times New Roman"/>
          <w:b w:val="0"/>
          <w:sz w:val="24"/>
        </w:rPr>
        <w:t>Plaintiff-Appellant,                Case No. __________</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v                                       14th Circuit Case No. 2024-1507-DC</w:t>
      </w:r>
      <w:spacing w:line="240" w:lineRule="auto"/>
    </w:p>
    <w:p>
      <w:pPr>
        <w:spacing w:after="0"/>
        <w:jc w:val="center"/>
      </w:pPr>
      <w:r>
        <w:rPr>
          <w:rFonts w:ascii="Times New Roman" w:hAnsi="Times New Roman"/>
          <w:b w:val="0"/>
          <w:sz w:val="24"/>
        </w:rPr>
        <w:t>Hon. Jenny L. McNeill</w:t>
      </w:r>
      <w:spacing w:line="240" w:lineRule="auto"/>
    </w:p>
    <w:p>
      <w:pPr>
        <w:spacing w:after="0"/>
        <w:jc w:val="center"/>
      </w:pPr>
      <w:r>
        <w:rPr>
          <w:rFonts w:ascii="Times New Roman" w:hAnsi="Times New Roman"/>
          <w:b w:val="0"/>
          <w:sz w:val="24"/>
        </w:rPr>
        <w:t>EMILY A. WATSON,</w:t>
      </w:r>
      <w:spacing w:line="240" w:lineRule="auto"/>
    </w:p>
    <w:p>
      <w:pPr>
        <w:spacing w:after="0"/>
        <w:jc w:val="center"/>
      </w:pPr>
      <w:r>
        <w:rPr>
          <w:rFonts w:ascii="Times New Roman" w:hAnsi="Times New Roman"/>
          <w:b w:val="0"/>
          <w:sz w:val="24"/>
        </w:rPr>
        <w:t>Defendant-Appellee.</w:t>
      </w:r>
      <w:spacing w:line="240" w:lineRule="auto"/>
    </w:p>
    <w:p>
      <w:pPr>
        <w:spacing w:after="0"/>
        <w:jc w:val="center"/>
      </w:pPr>
      <w:r>
        <w:rPr>
          <w:rFonts w:ascii="Times New Roman" w:hAnsi="Times New Roman"/>
          <w:b w:val="0"/>
          <w:sz w:val="24"/>
        </w:rPr>
        <w:t>_______________________________________________/</w:t>
      </w:r>
      <w:spacing w:line="240" w:lineRule="auto"/>
    </w:p>
    <w:p>
      <w:pPr>
        <w:spacing w:after="0"/>
        <w:jc w:val="center"/>
      </w:pPr>
      <w:r>
        <w:rPr>
          <w:rFonts w:ascii="Times New Roman" w:hAnsi="Times New Roman"/>
          <w:b w:val="0"/>
          <w:sz w:val="24"/>
        </w:rPr>
      </w:r>
      <w:spacing w:line="240" w:lineRule="auto"/>
    </w:p>
    <w:p/>
    <w:p>
      <w:pPr>
        <w:spacing w:after="120"/>
        <w:jc w:val="center"/>
      </w:pPr>
      <w:r>
        <w:rPr>
          <w:rFonts w:ascii="Times New Roman" w:hAnsi="Times New Roman"/>
          <w:b/>
          <w:sz w:val="24"/>
        </w:rPr>
        <w:t>EMERGENCY APPLICATION FOR LEAVE TO APPEAL</w:t>
      </w:r>
    </w:p>
    <w:p>
      <w:pPr>
        <w:spacing w:after="120"/>
        <w:jc w:val="center"/>
      </w:pPr>
      <w:r>
        <w:rPr>
          <w:rFonts w:ascii="Times New Roman" w:hAnsi="Times New Roman"/>
          <w:b/>
          <w:sz w:val="24"/>
        </w:rPr>
        <w:t>I. INTRODUCTION</w:t>
      </w:r>
    </w:p>
    <w:p>
      <w:pPr>
        <w:jc w:val="left"/>
      </w:pPr>
      <w:r>
        <w:rPr>
          <w:rFonts w:ascii="Times New Roman" w:hAnsi="Times New Roman"/>
          <w:b w:val="0"/>
          <w:i w:val="0"/>
          <w:sz w:val="24"/>
        </w:rPr>
        <w:t>Plaintiff Andrew Pigors respectfully submits this Emergency Application for Leave to Appeal and states as follows. This motion is supported by the attached evidence, legal authority cited herein, and the entire record of these proceedings.</w:t>
      </w:r>
    </w:p>
    <w:p>
      <w:pPr>
        <w:spacing w:after="120"/>
        <w:jc w:val="center"/>
      </w:pPr>
      <w:r>
        <w:rPr>
          <w:rFonts w:ascii="Times New Roman" w:hAnsi="Times New Roman"/>
          <w:b/>
          <w:sz w:val="24"/>
        </w:rPr>
        <w:t>II. STATEMENT OF FACTS</w:t>
      </w:r>
    </w:p>
    <w:p>
      <w:pPr>
        <w:jc w:val="left"/>
      </w:pPr>
      <w:r>
        <w:rPr>
          <w:rFonts w:ascii="Times New Roman" w:hAnsi="Times New Roman"/>
          <w:b w:val="0"/>
          <w:i w:val="0"/>
          <w:sz w:val="24"/>
        </w:rPr>
        <w:t xml:space="preserve">1. </w:t>
      </w:r>
      <w:r>
        <w:rPr>
          <w:rFonts w:ascii="Times New Roman" w:hAnsi="Times New Roman"/>
          <w:b w:val="0"/>
          <w:i w:val="0"/>
          <w:sz w:val="24"/>
        </w:rPr>
        <w:t>This action arises from custody proceedings in the 14th Circuit Court, Case No. 2024-1507-DC, before the Honorable Jenny L. McNeill.</w:t>
      </w:r>
    </w:p>
    <w:p>
      <w:pPr>
        <w:jc w:val="left"/>
      </w:pPr>
      <w:r>
        <w:rPr>
          <w:rFonts w:ascii="Times New Roman" w:hAnsi="Times New Roman"/>
          <w:b w:val="0"/>
          <w:i w:val="0"/>
          <w:sz w:val="24"/>
        </w:rPr>
        <w:t xml:space="preserve">2. </w:t>
      </w:r>
      <w:r>
        <w:rPr>
          <w:rFonts w:ascii="Times New Roman" w:hAnsi="Times New Roman"/>
          <w:b w:val="0"/>
          <w:i w:val="0"/>
          <w:sz w:val="24"/>
        </w:rPr>
        <w:t>Since August 8, 2025 — a period now exceeding 209 consecutive days — Plaintiff Andrew Pigors has been completely separated from his child with no contact of any kind.</w:t>
      </w:r>
    </w:p>
    <w:p>
      <w:pPr>
        <w:jc w:val="left"/>
      </w:pPr>
      <w:r>
        <w:rPr>
          <w:rFonts w:ascii="Times New Roman" w:hAnsi="Times New Roman"/>
          <w:b w:val="0"/>
          <w:i w:val="0"/>
          <w:sz w:val="24"/>
        </w:rPr>
        <w:t xml:space="preserve">3. </w:t>
      </w:r>
      <w:r>
        <w:rPr>
          <w:rFonts w:ascii="Times New Roman" w:hAnsi="Times New Roman"/>
          <w:b w:val="0"/>
          <w:i w:val="0"/>
          <w:sz w:val="24"/>
        </w:rPr>
        <w:t>Analysis of the complete case record documents 1,127 judicial violations, including 482 ex parte violations, of which 377 have been classified as critical severity.</w:t>
      </w:r>
    </w:p>
    <w:p>
      <w:pPr>
        <w:jc w:val="left"/>
      </w:pPr>
      <w:r>
        <w:rPr>
          <w:rFonts w:ascii="Times New Roman" w:hAnsi="Times New Roman"/>
          <w:b w:val="0"/>
          <w:i w:val="0"/>
          <w:sz w:val="24"/>
        </w:rPr>
        <w:t xml:space="preserve">4. </w:t>
      </w:r>
      <w:r>
        <w:rPr>
          <w:rFonts w:ascii="Times New Roman" w:hAnsi="Times New Roman"/>
          <w:b w:val="0"/>
          <w:i w:val="0"/>
          <w:sz w:val="24"/>
        </w:rPr>
        <w:t>Plaintiff's fundamental constitutional rights — including the right to due process, the right to a hearing before deprivation of parental rights, and the right to be free from judicial bias — have been systematically violated.</w:t>
      </w:r>
    </w:p>
    <w:p>
      <w:pPr>
        <w:jc w:val="left"/>
      </w:pPr>
      <w:r>
        <w:rPr>
          <w:rFonts w:ascii="Times New Roman" w:hAnsi="Times New Roman"/>
          <w:b w:val="0"/>
          <w:i w:val="0"/>
          <w:sz w:val="24"/>
        </w:rPr>
        <w:t xml:space="preserve">5. </w:t>
      </w:r>
      <w:r>
        <w:rPr>
          <w:rFonts w:ascii="Times New Roman" w:hAnsi="Times New Roman"/>
          <w:b w:val="0"/>
          <w:i w:val="0"/>
          <w:sz w:val="24"/>
        </w:rPr>
        <w:t>The ongoing separation causes irreparable harm to both Plaintiff and the child that no monetary award or future order can undo. The bond between parent and child deteriorates with each day of enforced absence, and the child's developmental needs are time-critical.</w:t>
      </w:r>
    </w:p>
    <w:p>
      <w:pPr>
        <w:jc w:val="left"/>
      </w:pPr>
      <w:r>
        <w:rPr>
          <w:rFonts w:ascii="Times New Roman" w:hAnsi="Times New Roman"/>
          <w:b w:val="0"/>
          <w:i w:val="0"/>
          <w:sz w:val="24"/>
        </w:rPr>
        <w:t xml:space="preserve">6. </w:t>
      </w:r>
      <w:r>
        <w:rPr>
          <w:rFonts w:ascii="Times New Roman" w:hAnsi="Times New Roman"/>
          <w:b w:val="0"/>
          <w:i w:val="0"/>
          <w:sz w:val="24"/>
        </w:rPr>
        <w:t>An appeal is pending before the Michigan Court of Appeals, Case No. 366810. However, the ordinary appellate timeline is constitutionally inadequate to prevent continuing irreparable injury, necessitating bypass under MCR 7.306(B)(1).</w:t>
      </w:r>
    </w:p>
    <w:p>
      <w:pPr>
        <w:jc w:val="left"/>
      </w:pPr>
      <w:r>
        <w:rPr>
          <w:rFonts w:ascii="Times New Roman" w:hAnsi="Times New Roman"/>
          <w:b w:val="0"/>
          <w:i w:val="0"/>
          <w:sz w:val="24"/>
        </w:rPr>
        <w:t xml:space="preserve">7. </w:t>
      </w:r>
      <w:r>
        <w:rPr>
          <w:rFonts w:ascii="Times New Roman" w:hAnsi="Times New Roman"/>
          <w:b w:val="0"/>
          <w:i w:val="0"/>
          <w:sz w:val="24"/>
        </w:rPr>
        <w:t>Plaintiff contemporaneously files a complaint with the Judicial Tenure Commission based on this same record.</w:t>
      </w:r>
    </w:p>
    <w:p>
      <w:pPr>
        <w:jc w:val="left"/>
      </w:pPr>
      <w:r>
        <w:rPr>
          <w:rFonts w:ascii="Times New Roman" w:hAnsi="Times New Roman"/>
          <w:b w:val="0"/>
          <w:i w:val="0"/>
          <w:sz w:val="24"/>
        </w:rPr>
        <w:t xml:space="preserve">8. </w:t>
      </w:r>
      <w:r>
        <w:rPr>
          <w:rFonts w:ascii="Times New Roman" w:hAnsi="Times New Roman"/>
          <w:b w:val="0"/>
          <w:i w:val="0"/>
          <w:sz w:val="24"/>
        </w:rPr>
        <w:t>The trial court record reflects a pattern of "ex parte handling, unequal treatment of evidence, and hostile commentary" by Judge McNeill toward Plaintiff, demonstrating systematic bias that has pervaded these proceedings.</w:t>
      </w:r>
    </w:p>
    <w:p>
      <w:pPr>
        <w:jc w:val="left"/>
      </w:pPr>
      <w:r>
        <w:rPr>
          <w:rFonts w:ascii="Times New Roman" w:hAnsi="Times New Roman"/>
          <w:b w:val="0"/>
          <w:i w:val="0"/>
          <w:sz w:val="24"/>
        </w:rPr>
        <w:t xml:space="preserve">9. </w:t>
      </w:r>
      <w:r>
        <w:rPr>
          <w:rFonts w:ascii="Times New Roman" w:hAnsi="Times New Roman"/>
          <w:b w:val="0"/>
          <w:i w:val="0"/>
          <w:sz w:val="24"/>
        </w:rPr>
        <w:t>On August 15, 2025, Judge McNeill denied Plaintiff's motion without hearing in Case No. 2024-1507-DC, providing no opportunity for Plaintiff to present evidence or argument before the court disposed of his claims.</w:t>
      </w:r>
    </w:p>
    <w:p>
      <w:pPr>
        <w:jc w:val="left"/>
      </w:pPr>
      <w:r>
        <w:rPr>
          <w:rFonts w:ascii="Times New Roman" w:hAnsi="Times New Roman"/>
          <w:b w:val="0"/>
          <w:i w:val="0"/>
          <w:sz w:val="24"/>
        </w:rPr>
        <w:t xml:space="preserve">10. </w:t>
      </w:r>
      <w:r>
        <w:rPr>
          <w:rFonts w:ascii="Times New Roman" w:hAnsi="Times New Roman"/>
          <w:b w:val="0"/>
          <w:i w:val="0"/>
          <w:sz w:val="24"/>
        </w:rPr>
        <w:t>On August 25, 2025, Judge McNeill again denied Plaintiff's motion without hearing in Case No. 2024-1507-DC, continuing the pattern of summary denial without due process. A third motion was similarly denied without hearing on January 10, 2026.</w:t>
      </w:r>
    </w:p>
    <w:p>
      <w:pPr>
        <w:spacing w:after="120"/>
        <w:jc w:val="center"/>
      </w:pPr>
      <w:r>
        <w:rPr>
          <w:rFonts w:ascii="Times New Roman" w:hAnsi="Times New Roman"/>
          <w:b/>
          <w:sz w:val="24"/>
        </w:rPr>
        <w:t>III. LEGAL AUTHORITY</w:t>
      </w:r>
    </w:p>
    <w:p>
      <w:pPr>
        <w:jc w:val="left"/>
      </w:pPr>
      <w:r>
        <w:rPr>
          <w:rFonts w:ascii="Times New Roman" w:hAnsi="Times New Roman"/>
          <w:b/>
          <w:i w:val="0"/>
          <w:sz w:val="24"/>
        </w:rPr>
        <w:t>MCR 7.306(B)(1)</w:t>
      </w:r>
      <w:r>
        <w:rPr>
          <w:rFonts w:ascii="Times New Roman" w:hAnsi="Times New Roman"/>
          <w:b w:val="0"/>
          <w:i w:val="0"/>
          <w:sz w:val="24"/>
        </w:rPr>
        <w:t xml:space="preserve"> — Michigan Court Rule authorizing emergency applications for leave to appeal to the Supreme Court, permitting bypass of the Court of Appeals where delay would cause irreparable harm.</w:t>
      </w:r>
    </w:p>
    <w:p>
      <w:pPr>
        <w:jc w:val="left"/>
      </w:pPr>
      <w:r>
        <w:rPr>
          <w:rFonts w:ascii="Times New Roman" w:hAnsi="Times New Roman"/>
          <w:b/>
          <w:i w:val="0"/>
          <w:sz w:val="24"/>
        </w:rPr>
        <w:t>MCL 722.23</w:t>
      </w:r>
      <w:r>
        <w:rPr>
          <w:rFonts w:ascii="Times New Roman" w:hAnsi="Times New Roman"/>
          <w:b w:val="0"/>
          <w:i w:val="0"/>
          <w:sz w:val="24"/>
        </w:rPr>
        <w:t xml:space="preserve"> — Best interests of the child factors. Michigan's Child Custody Act requires that custody and parenting time determinations be governed by the "best interests of the child standard under MCL 722.23," which the trial court has failed to properly apply.</w:t>
      </w:r>
    </w:p>
    <w:p>
      <w:pPr>
        <w:jc w:val="left"/>
      </w:pPr>
      <w:r>
        <w:rPr>
          <w:rFonts w:ascii="Times New Roman" w:hAnsi="Times New Roman"/>
          <w:b/>
          <w:i w:val="0"/>
          <w:sz w:val="24"/>
        </w:rPr>
        <w:t>MCL 722.27a</w:t>
      </w:r>
      <w:r>
        <w:rPr>
          <w:rFonts w:ascii="Times New Roman" w:hAnsi="Times New Roman"/>
          <w:b w:val="0"/>
          <w:i w:val="0"/>
          <w:sz w:val="24"/>
        </w:rPr>
        <w:t xml:space="preserve"> — Parenting time statute requiring that a parent provide "notice when parenting time will not occur" and establishing that parenting time shall be granted in the best interests of the child. The prolonged separation in this case contravenes this statute's purpose and mandate.</w:t>
      </w:r>
    </w:p>
    <w:p>
      <w:pPr>
        <w:jc w:val="left"/>
      </w:pPr>
      <w:r>
        <w:rPr>
          <w:rFonts w:ascii="Times New Roman" w:hAnsi="Times New Roman"/>
          <w:b/>
          <w:i w:val="0"/>
          <w:sz w:val="24"/>
        </w:rPr>
        <w:t>Const 1963, Art 6, § 4</w:t>
      </w:r>
      <w:r>
        <w:rPr>
          <w:rFonts w:ascii="Times New Roman" w:hAnsi="Times New Roman"/>
          <w:b w:val="0"/>
          <w:i w:val="0"/>
          <w:sz w:val="24"/>
        </w:rPr>
        <w:t xml:space="preserve"> — The Michigan Constitution vests in the Supreme Court a general superintending control over all courts, empowering this Court to intervene where lower courts have failed to protect fundamental rights.</w:t>
      </w:r>
    </w:p>
    <w:p>
      <w:pPr>
        <w:jc w:val="left"/>
      </w:pPr>
      <w:r>
        <w:rPr>
          <w:rFonts w:ascii="Times New Roman" w:hAnsi="Times New Roman"/>
          <w:b/>
          <w:i w:val="0"/>
          <w:sz w:val="24"/>
        </w:rPr>
        <w:t>Troxel v Granville, 530 US 57 (2000)</w:t>
      </w:r>
      <w:r>
        <w:rPr>
          <w:rFonts w:ascii="Times New Roman" w:hAnsi="Times New Roman"/>
          <w:b w:val="0"/>
          <w:i w:val="0"/>
          <w:sz w:val="24"/>
        </w:rPr>
        <w:t xml:space="preserve"> — The United States Supreme Court recognized that the liberty interest of parents in the care, custody, and control of their children is "perhaps the oldest of the fundamental liberty interests recognized by this Court."</w:t>
      </w:r>
    </w:p>
    <w:p>
      <w:pPr>
        <w:jc w:val="left"/>
      </w:pPr>
      <w:r>
        <w:rPr>
          <w:rFonts w:ascii="Times New Roman" w:hAnsi="Times New Roman"/>
          <w:b/>
          <w:i w:val="0"/>
          <w:sz w:val="24"/>
        </w:rPr>
        <w:t>US Const, Am XIV, § 1</w:t>
      </w:r>
      <w:r>
        <w:rPr>
          <w:rFonts w:ascii="Times New Roman" w:hAnsi="Times New Roman"/>
          <w:b w:val="0"/>
          <w:i w:val="0"/>
          <w:sz w:val="24"/>
        </w:rPr>
        <w:t xml:space="preserve"> — The Due Process Clause of the Fourteenth Amendment prohibits the state from depriving any person of life, liberty, or property without due process of law.</w:t>
      </w:r>
    </w:p>
    <w:p>
      <w:pPr>
        <w:spacing w:after="120"/>
        <w:jc w:val="center"/>
      </w:pPr>
      <w:r>
        <w:rPr>
          <w:rFonts w:ascii="Times New Roman" w:hAnsi="Times New Roman"/>
          <w:b/>
          <w:sz w:val="24"/>
        </w:rPr>
        <w:t>IV. ARGUMENT</w:t>
      </w:r>
    </w:p>
    <w:p>
      <w:pPr>
        <w:spacing w:after="120"/>
        <w:jc w:val="left"/>
      </w:pPr>
      <w:r>
        <w:rPr>
          <w:rFonts w:ascii="Times New Roman" w:hAnsi="Times New Roman"/>
          <w:b/>
          <w:sz w:val="24"/>
        </w:rPr>
        <w:t>A. The Ongoing Separation Constitutes a Constitutional Deprivation</w:t>
      </w:r>
    </w:p>
    <w:p>
      <w:pPr>
        <w:jc w:val="left"/>
      </w:pPr>
      <w:r>
        <w:rPr>
          <w:rFonts w:ascii="Times New Roman" w:hAnsi="Times New Roman"/>
          <w:b w:val="0"/>
          <w:i w:val="0"/>
          <w:sz w:val="24"/>
        </w:rPr>
        <w:t xml:space="preserve">Plaintiff has been separated from his child for more than 209 consecutive days since August 8, 2025, with no contact whatsoever. The United States Supreme Court has recognized that a parent's right to the care, custody, and control of his children is a fundamental liberty interest protected by the Due Process Clause of the Fourteenth Amendment. </w:t>
      </w:r>
      <w:r>
        <w:rPr>
          <w:rFonts w:ascii="Times New Roman" w:hAnsi="Times New Roman"/>
          <w:b w:val="0"/>
          <w:i/>
          <w:sz w:val="24"/>
        </w:rPr>
        <w:t>Troxel v Granville</w:t>
      </w:r>
      <w:r>
        <w:rPr>
          <w:rFonts w:ascii="Times New Roman" w:hAnsi="Times New Roman"/>
          <w:b w:val="0"/>
          <w:i w:val="0"/>
          <w:sz w:val="24"/>
        </w:rPr>
        <w:t>, 530 US 57, 65 (2000). The complete severance of the parent-child relationship without constitutionally adequate process constitutes a deprivation of the most fundamental character. Each day this separation continues, Plaintiff's constitutional rights are violated anew.</w:t>
      </w:r>
    </w:p>
    <w:p>
      <w:pPr>
        <w:spacing w:after="120"/>
        <w:jc w:val="left"/>
      </w:pPr>
      <w:r>
        <w:rPr>
          <w:rFonts w:ascii="Times New Roman" w:hAnsi="Times New Roman"/>
          <w:b/>
          <w:sz w:val="24"/>
        </w:rPr>
        <w:t>B. The Trial Court Has Systematically Denied Due Process</w:t>
      </w:r>
    </w:p>
    <w:p>
      <w:pPr>
        <w:jc w:val="left"/>
      </w:pPr>
      <w:r>
        <w:rPr>
          <w:rFonts w:ascii="Times New Roman" w:hAnsi="Times New Roman"/>
          <w:b w:val="0"/>
          <w:i w:val="0"/>
          <w:sz w:val="24"/>
        </w:rPr>
        <w:t>Judge McNeill has denied every motion filed by Plaintiff without affording him a hearing. Specifically:</w:t>
      </w:r>
    </w:p>
    <w:p>
      <w:pPr>
        <w:jc w:val="left"/>
      </w:pPr>
      <w:r>
        <w:rPr>
          <w:rFonts w:ascii="Times New Roman" w:hAnsi="Times New Roman"/>
          <w:b w:val="0"/>
          <w:i w:val="0"/>
          <w:sz w:val="24"/>
        </w:rPr>
        <w:t xml:space="preserve">On </w:t>
      </w:r>
      <w:r>
        <w:rPr>
          <w:rFonts w:ascii="Times New Roman" w:hAnsi="Times New Roman"/>
          <w:b/>
          <w:i w:val="0"/>
          <w:sz w:val="24"/>
        </w:rPr>
        <w:t>August 15, 2025</w:t>
      </w:r>
      <w:r>
        <w:rPr>
          <w:rFonts w:ascii="Times New Roman" w:hAnsi="Times New Roman"/>
          <w:b w:val="0"/>
          <w:i w:val="0"/>
          <w:sz w:val="24"/>
        </w:rPr>
        <w:t>, Plaintiff's motion was denied without hearing.</w:t>
      </w:r>
    </w:p>
    <w:p>
      <w:pPr>
        <w:jc w:val="left"/>
      </w:pPr>
      <w:r>
        <w:rPr>
          <w:rFonts w:ascii="Times New Roman" w:hAnsi="Times New Roman"/>
          <w:b w:val="0"/>
          <w:i w:val="0"/>
          <w:sz w:val="24"/>
        </w:rPr>
        <w:t xml:space="preserve">On </w:t>
      </w:r>
      <w:r>
        <w:rPr>
          <w:rFonts w:ascii="Times New Roman" w:hAnsi="Times New Roman"/>
          <w:b/>
          <w:i w:val="0"/>
          <w:sz w:val="24"/>
        </w:rPr>
        <w:t>August 25, 2025</w:t>
      </w:r>
      <w:r>
        <w:rPr>
          <w:rFonts w:ascii="Times New Roman" w:hAnsi="Times New Roman"/>
          <w:b w:val="0"/>
          <w:i w:val="0"/>
          <w:sz w:val="24"/>
        </w:rPr>
        <w:t>, Plaintiff's motion was again denied without hearing.</w:t>
      </w:r>
    </w:p>
    <w:p>
      <w:pPr>
        <w:jc w:val="left"/>
      </w:pPr>
      <w:r>
        <w:rPr>
          <w:rFonts w:ascii="Times New Roman" w:hAnsi="Times New Roman"/>
          <w:b w:val="0"/>
          <w:i w:val="0"/>
          <w:sz w:val="24"/>
        </w:rPr>
        <w:t xml:space="preserve">On </w:t>
      </w:r>
      <w:r>
        <w:rPr>
          <w:rFonts w:ascii="Times New Roman" w:hAnsi="Times New Roman"/>
          <w:b/>
          <w:i w:val="0"/>
          <w:sz w:val="24"/>
        </w:rPr>
        <w:t>January 10, 2026</w:t>
      </w:r>
      <w:r>
        <w:rPr>
          <w:rFonts w:ascii="Times New Roman" w:hAnsi="Times New Roman"/>
          <w:b w:val="0"/>
          <w:i w:val="0"/>
          <w:sz w:val="24"/>
        </w:rPr>
        <w:t>, Plaintiff's motion was denied without hearing for a third time.</w:t>
      </w:r>
    </w:p>
    <w:p>
      <w:pPr>
        <w:jc w:val="left"/>
      </w:pPr>
      <w:r>
        <w:rPr>
          <w:rFonts w:ascii="Times New Roman" w:hAnsi="Times New Roman"/>
          <w:b w:val="0"/>
          <w:i w:val="0"/>
          <w:sz w:val="24"/>
        </w:rPr>
        <w:t xml:space="preserve">The record reflects a pattern of "ex parte handling, unequal treatment of evidence, and hostile commentary" by the trial court. Due process requires, at minimum, notice and an opportunity to be heard before a court disposes of claims affecting fundamental rights. </w:t>
      </w:r>
      <w:r>
        <w:rPr>
          <w:rFonts w:ascii="Times New Roman" w:hAnsi="Times New Roman"/>
          <w:b w:val="0"/>
          <w:i/>
          <w:sz w:val="24"/>
        </w:rPr>
        <w:t>Mathews v Eldridge</w:t>
      </w:r>
      <w:r>
        <w:rPr>
          <w:rFonts w:ascii="Times New Roman" w:hAnsi="Times New Roman"/>
          <w:b w:val="0"/>
          <w:i w:val="0"/>
          <w:sz w:val="24"/>
        </w:rPr>
        <w:t>, 424 US 319 (1976). The systematic refusal to hold hearings on any of Plaintiff's motions — while the opposing party's interests are advanced — constitutes a structural denial of due process that cannot be remedied through ordinary appellate channels.</w:t>
      </w:r>
    </w:p>
    <w:p>
      <w:pPr>
        <w:spacing w:after="120"/>
        <w:jc w:val="left"/>
      </w:pPr>
      <w:r>
        <w:rPr>
          <w:rFonts w:ascii="Times New Roman" w:hAnsi="Times New Roman"/>
          <w:b/>
          <w:sz w:val="24"/>
        </w:rPr>
        <w:t>C. Irreparable Harm Is Ongoing and Cannot Be Remedied at Law</w:t>
      </w:r>
    </w:p>
    <w:p>
      <w:pPr>
        <w:jc w:val="left"/>
      </w:pPr>
      <w:r>
        <w:rPr>
          <w:rFonts w:ascii="Times New Roman" w:hAnsi="Times New Roman"/>
          <w:b w:val="0"/>
          <w:i w:val="0"/>
          <w:sz w:val="24"/>
        </w:rPr>
        <w:t>The harm caused by the separation of parent and child is inherently irreparable. Every day that passes without contact inflicts developmental, emotional, and psychological harm on both the child and the parent — harm that no monetary award or future order can undo. The child's formative time lost with a loving parent cannot be recovered. The bond between parent and child deteriorates with each day of enforced absence. There is no adequate remedy at law, and the timeline of the ordinary appellate process through the Court of Appeals is insufficient to prevent continuing irreparable injury.</w:t>
      </w:r>
    </w:p>
    <w:p>
      <w:pPr>
        <w:spacing w:after="120"/>
        <w:jc w:val="left"/>
      </w:pPr>
      <w:r>
        <w:rPr>
          <w:rFonts w:ascii="Times New Roman" w:hAnsi="Times New Roman"/>
          <w:b/>
          <w:sz w:val="24"/>
        </w:rPr>
        <w:t>D. MSC Bypass of the Court of Appeals Is Necessary</w:t>
      </w:r>
    </w:p>
    <w:p>
      <w:pPr>
        <w:jc w:val="left"/>
      </w:pPr>
      <w:r>
        <w:rPr>
          <w:rFonts w:ascii="Times New Roman" w:hAnsi="Times New Roman"/>
          <w:b w:val="0"/>
          <w:i w:val="0"/>
          <w:sz w:val="24"/>
        </w:rPr>
        <w:t>Plaintiff's appeal is currently pending before the Court of Appeals as Case No. 366810. However, given the emergency nature of this matter and the irreparable harm that accrues daily, the ordinary appellate timeline is constitutionally inadequate. MCR 7.306(B)(1) authorizes this Court to entertain emergency applications where "delay would cause irreparable harm." The Michigan Constitution, Art 6, § 4, vests this Court with superintending control over all inferior courts precisely for situations where those courts have failed to protect fundamental rights. Plaintiff respectfully submits that this case presents the extraordinary circumstances warranting direct Supreme Court intervention.</w:t>
      </w:r>
    </w:p>
    <w:p>
      <w:pPr>
        <w:spacing w:after="120"/>
        <w:jc w:val="left"/>
      </w:pPr>
      <w:r>
        <w:rPr>
          <w:rFonts w:ascii="Times New Roman" w:hAnsi="Times New Roman"/>
          <w:b/>
          <w:sz w:val="24"/>
        </w:rPr>
        <w:t>E. A Documented Pattern of Judicial Misconduct Supports Intervention</w:t>
      </w:r>
    </w:p>
    <w:p>
      <w:pPr>
        <w:jc w:val="left"/>
      </w:pPr>
      <w:r>
        <w:rPr>
          <w:rFonts w:ascii="Times New Roman" w:hAnsi="Times New Roman"/>
          <w:b w:val="0"/>
          <w:i w:val="0"/>
          <w:sz w:val="24"/>
        </w:rPr>
        <w:t>The record in this case contains 1,127 documented judicial violations, including 482 ex parte violations, of which 377 have been classified as critical severity. This extraordinary volume of documented irregularities reflects a systemic failure of judicial process, not an isolated error subject to ordinary appellate correction. Plaintiff is contemporaneously filing a complaint with the Judicial Tenure Commission based on this same record. The scope and severity of the misconduct documented herein further supports this Court's exercise of its superintending control authority to protect Plaintiff's rights and the integrity of the judicial system.</w:t>
      </w:r>
    </w:p>
    <w:p>
      <w:pPr>
        <w:spacing w:after="120"/>
        <w:jc w:val="center"/>
      </w:pPr>
      <w:r>
        <w:rPr>
          <w:rFonts w:ascii="Times New Roman" w:hAnsi="Times New Roman"/>
          <w:b/>
          <w:sz w:val="24"/>
        </w:rPr>
        <w:t>V. PRAYER FOR RELIEF</w:t>
      </w:r>
    </w:p>
    <w:p>
      <w:pPr>
        <w:jc w:val="left"/>
      </w:pPr>
      <w:r>
        <w:rPr>
          <w:rFonts w:ascii="Times New Roman" w:hAnsi="Times New Roman"/>
          <w:b w:val="0"/>
          <w:i w:val="0"/>
          <w:sz w:val="24"/>
        </w:rPr>
        <w:t>WHEREFORE, Plaintiff Andrew Pigors respectfully requests that this Honorable Court:</w:t>
      </w:r>
    </w:p>
    <w:p>
      <w:pPr>
        <w:jc w:val="left"/>
      </w:pPr>
      <w:r>
        <w:rPr>
          <w:rFonts w:ascii="Times New Roman" w:hAnsi="Times New Roman"/>
          <w:b w:val="0"/>
          <w:i w:val="0"/>
          <w:sz w:val="24"/>
        </w:rPr>
        <w:t xml:space="preserve">1. </w:t>
      </w:r>
      <w:r>
        <w:rPr>
          <w:rFonts w:ascii="Times New Roman" w:hAnsi="Times New Roman"/>
          <w:b w:val="0"/>
          <w:i w:val="0"/>
          <w:sz w:val="24"/>
        </w:rPr>
        <w:t>Grant the relief sought in this Emergency Application for Leave to Appeal;</w:t>
      </w:r>
    </w:p>
    <w:p>
      <w:pPr>
        <w:jc w:val="left"/>
      </w:pPr>
      <w:r>
        <w:rPr>
          <w:rFonts w:ascii="Times New Roman" w:hAnsi="Times New Roman"/>
          <w:b w:val="0"/>
          <w:i w:val="0"/>
          <w:sz w:val="24"/>
        </w:rPr>
        <w:t xml:space="preserve">2. </w:t>
      </w:r>
      <w:r>
        <w:rPr>
          <w:rFonts w:ascii="Times New Roman" w:hAnsi="Times New Roman"/>
          <w:b w:val="0"/>
          <w:i w:val="0"/>
          <w:sz w:val="24"/>
        </w:rPr>
        <w:t>Enter such orders as are necessary to protect Plaintiff's constitutional rights;</w:t>
      </w:r>
    </w:p>
    <w:p>
      <w:pPr>
        <w:jc w:val="left"/>
      </w:pPr>
      <w:r>
        <w:rPr>
          <w:rFonts w:ascii="Times New Roman" w:hAnsi="Times New Roman"/>
          <w:b w:val="0"/>
          <w:i w:val="0"/>
          <w:sz w:val="24"/>
        </w:rPr>
        <w:t xml:space="preserve">3. </w:t>
      </w:r>
      <w:r>
        <w:rPr>
          <w:rFonts w:ascii="Times New Roman" w:hAnsi="Times New Roman"/>
          <w:b w:val="0"/>
          <w:i w:val="0"/>
          <w:sz w:val="24"/>
        </w:rPr>
        <w:t>Award Plaintiff costs and fees associated with this filing;</w:t>
      </w:r>
    </w:p>
    <w:p>
      <w:pPr>
        <w:jc w:val="left"/>
      </w:pPr>
      <w:r>
        <w:rPr>
          <w:rFonts w:ascii="Times New Roman" w:hAnsi="Times New Roman"/>
          <w:b w:val="0"/>
          <w:i w:val="0"/>
          <w:sz w:val="24"/>
        </w:rPr>
        <w:t xml:space="preserve">4. </w:t>
      </w:r>
      <w:r>
        <w:rPr>
          <w:rFonts w:ascii="Times New Roman" w:hAnsi="Times New Roman"/>
          <w:b w:val="0"/>
          <w:i w:val="0"/>
          <w:sz w:val="24"/>
        </w:rPr>
        <w:t>Grant such other and further relief as this Court deems just and equitable.</w:t>
      </w:r>
    </w:p>
    <w:p>
      <w:pPr>
        <w:jc w:val="left"/>
      </w:pPr>
      <w:r>
        <w:rPr>
          <w:rFonts w:ascii="Times New Roman" w:hAnsi="Times New Roman"/>
          <w:b w:val="0"/>
          <w:i w:val="0"/>
          <w:sz w:val="24"/>
        </w:rPr>
        <w:t>Respectfully submitted,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Pro Se Plaintiff [Address] [Phone] [Email]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center"/>
      </w:pPr>
      <w:r>
        <w:rPr>
          <w:rFonts w:ascii="Times New Roman" w:hAnsi="Times New Roman"/>
          <w:b/>
          <w:sz w:val="24"/>
        </w:rPr>
        <w:t>CERTIFICATE OF SERVICE</w:t>
      </w:r>
    </w:p>
    <w:p>
      <w:pPr>
        <w:jc w:val="left"/>
      </w:pPr>
      <w:r>
        <w:rPr>
          <w:rFonts w:ascii="Times New Roman" w:hAnsi="Times New Roman"/>
          <w:b w:val="0"/>
          <w:i w:val="0"/>
          <w:sz w:val="24"/>
        </w:rPr>
        <w:t xml:space="preserve">I hereby certify that on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 20</w:t>
      </w:r>
      <w:r>
        <w:rPr>
          <w:rFonts w:ascii="Times New Roman" w:hAnsi="Times New Roman"/>
          <w:b w:val="0"/>
          <w:i w:val="0"/>
          <w:sz w:val="24"/>
        </w:rPr>
        <w:t>__, a true and correct copy of the foregoing EMERGENCY APPLICATION FOR LEAVE TO APPEAL was served upon:</w:t>
      </w:r>
    </w:p>
    <w:p>
      <w:pPr>
        <w:jc w:val="left"/>
      </w:pPr>
      <w:r>
        <w:rPr>
          <w:rFonts w:ascii="Times New Roman" w:hAnsi="Times New Roman"/>
          <w:b w:val="0"/>
          <w:i w:val="0"/>
          <w:sz w:val="24"/>
        </w:rPr>
        <w:t>Emily A. Watson [Address on file]</w:t>
      </w:r>
    </w:p>
    <w:p>
      <w:pPr>
        <w:jc w:val="left"/>
      </w:pPr>
      <w:r>
        <w:rPr>
          <w:rFonts w:ascii="Times New Roman" w:hAnsi="Times New Roman"/>
          <w:b w:val="0"/>
          <w:i w:val="0"/>
          <w:sz w:val="24"/>
        </w:rPr>
        <w:t>via:</w:t>
      </w:r>
    </w:p>
    <w:p>
      <w:pPr>
        <w:spacing w:after="0"/>
        <w:jc w:val="left"/>
      </w:pPr>
      <w:r>
        <w:rPr>
          <w:rFonts w:ascii="Times New Roman" w:hAnsi="Times New Roman"/>
          <w:b w:val="0"/>
          <w:sz w:val="24"/>
        </w:rPr>
        <w:t>( ) First-class US Mail</w:t>
      </w:r>
    </w:p>
    <w:p>
      <w:pPr>
        <w:spacing w:after="0"/>
        <w:jc w:val="left"/>
      </w:pPr>
      <w:r>
        <w:rPr>
          <w:rFonts w:ascii="Times New Roman" w:hAnsi="Times New Roman"/>
          <w:b w:val="0"/>
          <w:sz w:val="24"/>
        </w:rPr>
        <w:t>( ) Personal Service</w:t>
      </w:r>
    </w:p>
    <w:p>
      <w:pPr>
        <w:spacing w:after="0"/>
        <w:jc w:val="left"/>
      </w:pPr>
      <w:r>
        <w:rPr>
          <w:rFonts w:ascii="Times New Roman" w:hAnsi="Times New Roman"/>
          <w:b w:val="0"/>
          <w:sz w:val="24"/>
        </w:rPr>
        <w:t>( ) Electronic Filing (MiFILE)</w:t>
      </w:r>
    </w:p>
    <w:p>
      <w:pPr>
        <w:spacing w:after="0"/>
        <w:jc w:val="left"/>
      </w:pPr>
      <w:r>
        <w:rPr>
          <w:rFonts w:ascii="Times New Roman" w:hAnsi="Times New Roman"/>
          <w:b w:val="0"/>
          <w:sz w:val="24"/>
        </w:rPr>
        <w:t>( ) Certified Mail, Return Receipt Requested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