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IN THE SUPREME COURT</w:t>
      </w:r>
      <w:spacing w:line="240" w:lineRule="auto"/>
    </w:p>
    <w:p>
      <w:pPr>
        <w:spacing w:after="0"/>
        <w:jc w:val="center"/>
      </w:pPr>
      <w:r>
        <w:rPr>
          <w:rFonts w:ascii="Times New Roman" w:hAnsi="Times New Roman"/>
          <w:b w:val="0"/>
          <w:sz w:val="24"/>
        </w:rPr>
        <w:t>STATE OF MICHIGAN</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ANDREW PIGORS,</w:t>
      </w:r>
      <w:spacing w:line="240" w:lineRule="auto"/>
    </w:p>
    <w:p>
      <w:pPr>
        <w:spacing w:after="0"/>
        <w:jc w:val="center"/>
      </w:pPr>
      <w:r>
        <w:rPr>
          <w:rFonts w:ascii="Times New Roman" w:hAnsi="Times New Roman"/>
          <w:b w:val="0"/>
          <w:sz w:val="24"/>
        </w:rPr>
        <w:t>Plaintiff,                          Case No. __________</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v                                       14th Circuit Case No. 2024-1507-DC</w:t>
      </w:r>
      <w:spacing w:line="240" w:lineRule="auto"/>
    </w:p>
    <w:p>
      <w:pPr>
        <w:spacing w:after="0"/>
        <w:jc w:val="center"/>
      </w:pPr>
      <w:r>
        <w:rPr>
          <w:rFonts w:ascii="Times New Roman" w:hAnsi="Times New Roman"/>
          <w:b w:val="0"/>
          <w:sz w:val="24"/>
        </w:rPr>
        <w:t>Hon. Jenny L. McNeill</w:t>
      </w:r>
      <w:spacing w:line="240" w:lineRule="auto"/>
    </w:p>
    <w:p>
      <w:pPr>
        <w:spacing w:after="0"/>
        <w:jc w:val="center"/>
      </w:pPr>
      <w:r>
        <w:rPr>
          <w:rFonts w:ascii="Times New Roman" w:hAnsi="Times New Roman"/>
          <w:b w:val="0"/>
          <w:sz w:val="24"/>
        </w:rPr>
        <w:t>EMILY A. WATSON,</w:t>
      </w:r>
      <w:spacing w:line="240" w:lineRule="auto"/>
    </w:p>
    <w:p>
      <w:pPr>
        <w:spacing w:after="0"/>
        <w:jc w:val="center"/>
      </w:pPr>
      <w:r>
        <w:rPr>
          <w:rFonts w:ascii="Times New Roman" w:hAnsi="Times New Roman"/>
          <w:b w:val="0"/>
          <w:sz w:val="24"/>
        </w:rPr>
        <w:t>Defendant.</w:t>
      </w:r>
      <w:spacing w:line="240" w:lineRule="auto"/>
    </w:p>
    <w:p>
      <w:pPr>
        <w:spacing w:after="0"/>
        <w:jc w:val="center"/>
      </w:pPr>
      <w:r>
        <w:rPr>
          <w:rFonts w:ascii="Times New Roman" w:hAnsi="Times New Roman"/>
          <w:b w:val="0"/>
          <w:sz w:val="24"/>
        </w:rPr>
        <w:t>_______________________________________________/</w:t>
      </w:r>
      <w:spacing w:line="240" w:lineRule="auto"/>
    </w:p>
    <w:p>
      <w:pPr>
        <w:spacing w:after="0"/>
        <w:jc w:val="center"/>
      </w:pPr>
      <w:r>
        <w:rPr>
          <w:rFonts w:ascii="Times New Roman" w:hAnsi="Times New Roman"/>
          <w:b w:val="0"/>
          <w:sz w:val="24"/>
        </w:rPr>
      </w:r>
      <w:spacing w:line="240" w:lineRule="auto"/>
    </w:p>
    <w:p/>
    <w:p>
      <w:pPr>
        <w:spacing w:after="120"/>
        <w:jc w:val="center"/>
      </w:pPr>
      <w:r>
        <w:rPr>
          <w:rFonts w:ascii="Times New Roman" w:hAnsi="Times New Roman"/>
          <w:b/>
          <w:sz w:val="24"/>
        </w:rPr>
        <w:t>COMPLAINT FOR SUPERINTENDING CONTROL</w:t>
      </w:r>
    </w:p>
    <w:p>
      <w:pPr>
        <w:spacing w:after="120"/>
        <w:jc w:val="center"/>
      </w:pPr>
      <w:r>
        <w:rPr>
          <w:rFonts w:ascii="Times New Roman" w:hAnsi="Times New Roman"/>
          <w:b/>
          <w:sz w:val="24"/>
        </w:rPr>
        <w:t>I. INTRODUCTION</w:t>
      </w:r>
    </w:p>
    <w:p>
      <w:pPr>
        <w:jc w:val="left"/>
      </w:pPr>
      <w:r>
        <w:rPr>
          <w:rFonts w:ascii="Times New Roman" w:hAnsi="Times New Roman"/>
          <w:b w:val="0"/>
          <w:i w:val="0"/>
          <w:sz w:val="24"/>
        </w:rPr>
        <w:t>Plaintiff Andrew Pigors respectfully submits this Complaint for Superintending Control and states as follows. This motion is supported by the attached evidence, legal authority cited herein, and the entire record of these proceedings.</w:t>
      </w:r>
    </w:p>
    <w:p>
      <w:pPr>
        <w:spacing w:after="120"/>
        <w:jc w:val="center"/>
      </w:pPr>
      <w:r>
        <w:rPr>
          <w:rFonts w:ascii="Times New Roman" w:hAnsi="Times New Roman"/>
          <w:b/>
          <w:sz w:val="24"/>
        </w:rPr>
        <w:t>II. STATEMENT OF FACTS</w:t>
      </w:r>
    </w:p>
    <w:p>
      <w:pPr>
        <w:jc w:val="left"/>
      </w:pPr>
      <w:r>
        <w:rPr>
          <w:rFonts w:ascii="Times New Roman" w:hAnsi="Times New Roman"/>
          <w:b w:val="0"/>
          <w:i w:val="0"/>
          <w:sz w:val="24"/>
        </w:rPr>
        <w:t xml:space="preserve">1. </w:t>
      </w:r>
      <w:r>
        <w:rPr>
          <w:rFonts w:ascii="Times New Roman" w:hAnsi="Times New Roman"/>
          <w:b w:val="0"/>
          <w:i w:val="0"/>
          <w:sz w:val="24"/>
        </w:rPr>
        <w:t>This action arises from custody proceedings in the 14th Circuit Court, Case No. 2024-1507-DC, assigned to Judge Jenny L. McNeill.</w:t>
      </w:r>
    </w:p>
    <w:p>
      <w:pPr>
        <w:jc w:val="left"/>
      </w:pPr>
      <w:r>
        <w:rPr>
          <w:rFonts w:ascii="Times New Roman" w:hAnsi="Times New Roman"/>
          <w:b w:val="0"/>
          <w:i w:val="0"/>
          <w:sz w:val="24"/>
        </w:rPr>
        <w:t xml:space="preserve">2. </w:t>
      </w:r>
      <w:r>
        <w:rPr>
          <w:rFonts w:ascii="Times New Roman" w:hAnsi="Times New Roman"/>
          <w:b w:val="0"/>
          <w:i w:val="0"/>
          <w:sz w:val="24"/>
        </w:rPr>
        <w:t>Since August 8, 2025 — a period now exceeding 209 consecutive days — Plaintiff Andrew Pigors has been completely separated from his child with no meaningful contact.</w:t>
      </w:r>
    </w:p>
    <w:p>
      <w:pPr>
        <w:jc w:val="left"/>
      </w:pPr>
      <w:r>
        <w:rPr>
          <w:rFonts w:ascii="Times New Roman" w:hAnsi="Times New Roman"/>
          <w:b w:val="0"/>
          <w:i w:val="0"/>
          <w:sz w:val="24"/>
        </w:rPr>
        <w:t xml:space="preserve">3. </w:t>
      </w:r>
      <w:r>
        <w:rPr>
          <w:rFonts w:ascii="Times New Roman" w:hAnsi="Times New Roman"/>
          <w:b w:val="0"/>
          <w:i w:val="0"/>
          <w:sz w:val="24"/>
        </w:rPr>
        <w:t xml:space="preserve">The trial court record documents a pattern of "ex parte handling, unequal treatment of evidence, and hostile commentary" by Judge McNeill directed at Plaintiff. </w:t>
      </w:r>
      <w:r>
        <w:rPr>
          <w:rFonts w:ascii="Times New Roman" w:hAnsi="Times New Roman"/>
          <w:b w:val="0"/>
          <w:i/>
          <w:sz w:val="24"/>
        </w:rPr>
        <w:t>See</w:t>
      </w:r>
      <w:r>
        <w:rPr>
          <w:rFonts w:ascii="Times New Roman" w:hAnsi="Times New Roman"/>
          <w:b w:val="0"/>
          <w:i w:val="0"/>
          <w:sz w:val="24"/>
        </w:rPr>
        <w:t xml:space="preserve"> Case Record, 14th Circuit Case No. 2024-1507-DC.</w:t>
      </w:r>
    </w:p>
    <w:p>
      <w:pPr>
        <w:jc w:val="left"/>
      </w:pPr>
      <w:r>
        <w:rPr>
          <w:rFonts w:ascii="Times New Roman" w:hAnsi="Times New Roman"/>
          <w:b w:val="0"/>
          <w:i w:val="0"/>
          <w:sz w:val="24"/>
        </w:rPr>
        <w:t xml:space="preserve">4. </w:t>
      </w:r>
      <w:r>
        <w:rPr>
          <w:rFonts w:ascii="Times New Roman" w:hAnsi="Times New Roman"/>
          <w:b w:val="0"/>
          <w:i w:val="0"/>
          <w:sz w:val="24"/>
        </w:rPr>
        <w:t>Analysis of the complete case record documents 1,127 judicial violations, including 482 ex parte violations, of which 377 have been classified as critical severity.</w:t>
      </w:r>
    </w:p>
    <w:p>
      <w:pPr>
        <w:jc w:val="left"/>
      </w:pPr>
      <w:r>
        <w:rPr>
          <w:rFonts w:ascii="Times New Roman" w:hAnsi="Times New Roman"/>
          <w:b w:val="0"/>
          <w:i w:val="0"/>
          <w:sz w:val="24"/>
        </w:rPr>
        <w:t xml:space="preserve">5. </w:t>
      </w:r>
      <w:r>
        <w:rPr>
          <w:rFonts w:ascii="Times New Roman" w:hAnsi="Times New Roman"/>
          <w:b w:val="0"/>
          <w:i w:val="0"/>
          <w:sz w:val="24"/>
        </w:rPr>
        <w:t>The violations further include 167 instances warranting disqualification under MCR 2.003, 161 instances of procedural misconduct, 126 violations related to Personal Protection Order proceedings, and 105 notice violations depriving Plaintiff of the opportunity to be heard.</w:t>
      </w:r>
    </w:p>
    <w:p>
      <w:pPr>
        <w:jc w:val="left"/>
      </w:pPr>
      <w:r>
        <w:rPr>
          <w:rFonts w:ascii="Times New Roman" w:hAnsi="Times New Roman"/>
          <w:b w:val="0"/>
          <w:i w:val="0"/>
          <w:sz w:val="24"/>
        </w:rPr>
        <w:t xml:space="preserve">6. </w:t>
      </w:r>
      <w:r>
        <w:rPr>
          <w:rFonts w:ascii="Times New Roman" w:hAnsi="Times New Roman"/>
          <w:b w:val="0"/>
          <w:i w:val="0"/>
          <w:sz w:val="24"/>
        </w:rPr>
        <w:t>On August 15, 2025, Judge McNeill denied Plaintiff's motion without hearing in Case No. 2024-1507-DC, providing no opportunity for Plaintiff to present evidence or argument.</w:t>
      </w:r>
    </w:p>
    <w:p>
      <w:pPr>
        <w:jc w:val="left"/>
      </w:pPr>
      <w:r>
        <w:rPr>
          <w:rFonts w:ascii="Times New Roman" w:hAnsi="Times New Roman"/>
          <w:b w:val="0"/>
          <w:i w:val="0"/>
          <w:sz w:val="24"/>
        </w:rPr>
        <w:t xml:space="preserve">7. </w:t>
      </w:r>
      <w:r>
        <w:rPr>
          <w:rFonts w:ascii="Times New Roman" w:hAnsi="Times New Roman"/>
          <w:b w:val="0"/>
          <w:i w:val="0"/>
          <w:sz w:val="24"/>
        </w:rPr>
        <w:t>On August 25, 2025, Judge McNeill again denied Plaintiff's motion without hearing. A third motion was similarly denied without hearing on January 10, 2026.</w:t>
      </w:r>
    </w:p>
    <w:p>
      <w:pPr>
        <w:jc w:val="left"/>
      </w:pPr>
      <w:r>
        <w:rPr>
          <w:rFonts w:ascii="Times New Roman" w:hAnsi="Times New Roman"/>
          <w:b w:val="0"/>
          <w:i w:val="0"/>
          <w:sz w:val="24"/>
        </w:rPr>
        <w:t xml:space="preserve">8. </w:t>
      </w:r>
      <w:r>
        <w:rPr>
          <w:rFonts w:ascii="Times New Roman" w:hAnsi="Times New Roman"/>
          <w:b w:val="0"/>
          <w:i w:val="0"/>
          <w:sz w:val="24"/>
        </w:rPr>
        <w:t>At no point has the trial court conducted a best-interests analysis under MCL 722.23 or made findings on any statutory factor before ordering or continuing the parent-child separation.</w:t>
      </w:r>
    </w:p>
    <w:p>
      <w:pPr>
        <w:jc w:val="left"/>
      </w:pPr>
      <w:r>
        <w:rPr>
          <w:rFonts w:ascii="Times New Roman" w:hAnsi="Times New Roman"/>
          <w:b w:val="0"/>
          <w:i w:val="0"/>
          <w:sz w:val="24"/>
        </w:rPr>
        <w:t xml:space="preserve">9. </w:t>
      </w:r>
      <w:r>
        <w:rPr>
          <w:rFonts w:ascii="Times New Roman" w:hAnsi="Times New Roman"/>
          <w:b w:val="0"/>
          <w:i w:val="0"/>
          <w:sz w:val="24"/>
        </w:rPr>
        <w:t>An appeal is pending before the Michigan Court of Appeals, Case No. 366810. However, the ordinary appellate process cannot provide the immediate relief necessary to halt ongoing violations. Plaintiff has also filed a complaint with the Judicial Tenure Commission.</w:t>
      </w:r>
    </w:p>
    <w:p>
      <w:pPr>
        <w:jc w:val="left"/>
      </w:pPr>
      <w:r>
        <w:rPr>
          <w:rFonts w:ascii="Times New Roman" w:hAnsi="Times New Roman"/>
          <w:b w:val="0"/>
          <w:i w:val="0"/>
          <w:sz w:val="24"/>
        </w:rPr>
        <w:t xml:space="preserve">10. </w:t>
      </w:r>
      <w:r>
        <w:rPr>
          <w:rFonts w:ascii="Times New Roman" w:hAnsi="Times New Roman"/>
          <w:b w:val="0"/>
          <w:i w:val="0"/>
          <w:sz w:val="24"/>
        </w:rPr>
        <w:t>Only this Court's exercise of superintending control under Const 1963, Art 6, § 4 can provide comprehensive relief for the systemic failure of judicial process documented herein.</w:t>
      </w:r>
    </w:p>
    <w:p>
      <w:pPr>
        <w:spacing w:after="120"/>
        <w:jc w:val="center"/>
      </w:pPr>
      <w:r>
        <w:rPr>
          <w:rFonts w:ascii="Times New Roman" w:hAnsi="Times New Roman"/>
          <w:b/>
          <w:sz w:val="24"/>
        </w:rPr>
        <w:t>III. LEGAL AUTHORITY</w:t>
      </w:r>
    </w:p>
    <w:p>
      <w:pPr>
        <w:jc w:val="left"/>
      </w:pPr>
      <w:r>
        <w:rPr>
          <w:rFonts w:ascii="Times New Roman" w:hAnsi="Times New Roman"/>
          <w:b/>
          <w:i w:val="0"/>
          <w:sz w:val="24"/>
        </w:rPr>
        <w:t>Const 1963, Art 6, § 4</w:t>
      </w:r>
      <w:r>
        <w:rPr>
          <w:rFonts w:ascii="Times New Roman" w:hAnsi="Times New Roman"/>
          <w:b w:val="0"/>
          <w:i w:val="0"/>
          <w:sz w:val="24"/>
        </w:rPr>
        <w:t xml:space="preserve"> — "The supreme court shall have general superintending control over all courts; power to issue, hear and determine prerogative and remedial writs." This provision is the constitutional foundation for the relief sought herein.</w:t>
      </w:r>
    </w:p>
    <w:p>
      <w:pPr>
        <w:jc w:val="left"/>
      </w:pPr>
      <w:r>
        <w:rPr>
          <w:rFonts w:ascii="Times New Roman" w:hAnsi="Times New Roman"/>
          <w:b/>
          <w:i w:val="0"/>
          <w:sz w:val="24"/>
        </w:rPr>
        <w:t>MCR 7.304</w:t>
      </w:r>
      <w:r>
        <w:rPr>
          <w:rFonts w:ascii="Times New Roman" w:hAnsi="Times New Roman"/>
          <w:b w:val="0"/>
          <w:i w:val="0"/>
          <w:sz w:val="24"/>
        </w:rPr>
        <w:t xml:space="preserve"> — Governs original proceedings in the Michigan Supreme Court, including complaints for superintending control. Establishes the procedural framework for invoking the Court's extraordinary jurisdiction.</w:t>
      </w:r>
    </w:p>
    <w:p>
      <w:pPr>
        <w:jc w:val="left"/>
      </w:pPr>
      <w:r>
        <w:rPr>
          <w:rFonts w:ascii="Times New Roman" w:hAnsi="Times New Roman"/>
          <w:b/>
          <w:i w:val="0"/>
          <w:sz w:val="24"/>
        </w:rPr>
        <w:t>MCR 3.207(B)</w:t>
      </w:r>
      <w:r>
        <w:rPr>
          <w:rFonts w:ascii="Times New Roman" w:hAnsi="Times New Roman"/>
          <w:b w:val="0"/>
          <w:i w:val="0"/>
          <w:sz w:val="24"/>
        </w:rPr>
        <w:t xml:space="preserve"> — Governs ex parte orders in domestic relations actions and requires specific procedural safeguards before entry. The lower court violated these requirements in 482 documented instances.</w:t>
      </w:r>
    </w:p>
    <w:p>
      <w:pPr>
        <w:jc w:val="left"/>
      </w:pPr>
      <w:r>
        <w:rPr>
          <w:rFonts w:ascii="Times New Roman" w:hAnsi="Times New Roman"/>
          <w:b/>
          <w:i w:val="0"/>
          <w:sz w:val="24"/>
        </w:rPr>
        <w:t>MCR 2.003</w:t>
      </w:r>
      <w:r>
        <w:rPr>
          <w:rFonts w:ascii="Times New Roman" w:hAnsi="Times New Roman"/>
          <w:b w:val="0"/>
          <w:i w:val="0"/>
          <w:sz w:val="24"/>
        </w:rPr>
        <w:t xml:space="preserve"> — Sets forth the standards for judicial disqualification, including disqualification for bias or prejudice. The record reflects 167 instances warranting disqualification under this rule.</w:t>
      </w:r>
    </w:p>
    <w:p>
      <w:pPr>
        <w:jc w:val="left"/>
      </w:pPr>
      <w:r>
        <w:rPr>
          <w:rFonts w:ascii="Times New Roman" w:hAnsi="Times New Roman"/>
          <w:b/>
          <w:i w:val="0"/>
          <w:sz w:val="24"/>
        </w:rPr>
        <w:t>MCL 722.23</w:t>
      </w:r>
      <w:r>
        <w:rPr>
          <w:rFonts w:ascii="Times New Roman" w:hAnsi="Times New Roman"/>
          <w:b w:val="0"/>
          <w:i w:val="0"/>
          <w:sz w:val="24"/>
        </w:rPr>
        <w:t xml:space="preserve"> — Enumerates the best-interest-of-the-child factors that courts must consider in custody and parenting time determinations. The lower court's actions have uniformly disregarded these factors.</w:t>
      </w:r>
    </w:p>
    <w:p>
      <w:pPr>
        <w:jc w:val="left"/>
      </w:pPr>
      <w:r>
        <w:rPr>
          <w:rFonts w:ascii="Times New Roman" w:hAnsi="Times New Roman"/>
          <w:b/>
          <w:i w:val="0"/>
          <w:sz w:val="24"/>
        </w:rPr>
        <w:t>MCL 722.27a</w:t>
      </w:r>
      <w:r>
        <w:rPr>
          <w:rFonts w:ascii="Times New Roman" w:hAnsi="Times New Roman"/>
          <w:b w:val="0"/>
          <w:i w:val="0"/>
          <w:sz w:val="24"/>
        </w:rPr>
        <w:t xml:space="preserve"> — Governs parenting time and establishes that it is presumed to be in the child's best interest. The lower court's orders have effectively eliminated Plaintiff's parenting time for over 209 days.</w:t>
      </w:r>
    </w:p>
    <w:p>
      <w:pPr>
        <w:jc w:val="left"/>
      </w:pPr>
      <w:r>
        <w:rPr>
          <w:rFonts w:ascii="Times New Roman" w:hAnsi="Times New Roman"/>
          <w:b/>
          <w:i w:val="0"/>
          <w:sz w:val="24"/>
        </w:rPr>
        <w:t>*In re Hatcher*, 443 Mich 426 (1993)</w:t>
      </w:r>
      <w:r>
        <w:rPr>
          <w:rFonts w:ascii="Times New Roman" w:hAnsi="Times New Roman"/>
          <w:b w:val="0"/>
          <w:i w:val="0"/>
          <w:sz w:val="24"/>
        </w:rPr>
        <w:t xml:space="preserve"> — The Michigan Supreme Court held that superintending control is appropriate "when a lower court has acted beyond its jurisdiction or has failed to perform a clear legal duty." This standard is met here.</w:t>
      </w:r>
    </w:p>
    <w:p>
      <w:pPr>
        <w:spacing w:after="120"/>
        <w:jc w:val="center"/>
      </w:pPr>
      <w:r>
        <w:rPr>
          <w:rFonts w:ascii="Times New Roman" w:hAnsi="Times New Roman"/>
          <w:b/>
          <w:sz w:val="24"/>
        </w:rPr>
        <w:t>IV. ARGUMENT</w:t>
      </w:r>
    </w:p>
    <w:p>
      <w:pPr>
        <w:spacing w:after="120"/>
        <w:jc w:val="left"/>
      </w:pPr>
      <w:r>
        <w:rPr>
          <w:rFonts w:ascii="Times New Roman" w:hAnsi="Times New Roman"/>
          <w:b/>
          <w:sz w:val="24"/>
        </w:rPr>
        <w:t>A. This Court's Superintending Control Authority Compels Intervention</w:t>
      </w:r>
    </w:p>
    <w:p>
      <w:pPr>
        <w:jc w:val="left"/>
      </w:pPr>
      <w:r>
        <w:rPr>
          <w:rFonts w:ascii="Times New Roman" w:hAnsi="Times New Roman"/>
          <w:b w:val="0"/>
          <w:i w:val="0"/>
          <w:sz w:val="24"/>
        </w:rPr>
        <w:t xml:space="preserve">Under Const 1963, Art 6, § 4, the Michigan Supreme Court possesses "general superintending control over all courts." This authority is not merely appellate; it is an independent constitutional power to correct lower courts that act beyond their jurisdiction or fail to perform clear legal duties. </w:t>
      </w:r>
      <w:r>
        <w:rPr>
          <w:rFonts w:ascii="Times New Roman" w:hAnsi="Times New Roman"/>
          <w:b w:val="0"/>
          <w:i/>
          <w:sz w:val="24"/>
        </w:rPr>
        <w:t>In re Hatcher</w:t>
      </w:r>
      <w:r>
        <w:rPr>
          <w:rFonts w:ascii="Times New Roman" w:hAnsi="Times New Roman"/>
          <w:b w:val="0"/>
          <w:i w:val="0"/>
          <w:sz w:val="24"/>
        </w:rPr>
        <w:t>, 443 Mich 426, 434 (1993). MCR 7.304 provides the procedural vehicle for invoking this power through a complaint for superintending control.</w:t>
      </w:r>
    </w:p>
    <w:p>
      <w:pPr>
        <w:jc w:val="left"/>
      </w:pPr>
      <w:r>
        <w:rPr>
          <w:rFonts w:ascii="Times New Roman" w:hAnsi="Times New Roman"/>
          <w:b w:val="0"/>
          <w:i w:val="0"/>
          <w:sz w:val="24"/>
        </w:rPr>
        <w:t xml:space="preserve">The standard is met when a lower court has "(1) acted beyond its jurisdiction, (2) proceeded despite lacking jurisdiction, or (3) failed to perform a clear legal duty." </w:t>
      </w:r>
      <w:r>
        <w:rPr>
          <w:rFonts w:ascii="Times New Roman" w:hAnsi="Times New Roman"/>
          <w:b w:val="0"/>
          <w:i/>
          <w:sz w:val="24"/>
        </w:rPr>
        <w:t>Id.</w:t>
      </w:r>
      <w:r>
        <w:rPr>
          <w:rFonts w:ascii="Times New Roman" w:hAnsi="Times New Roman"/>
          <w:b w:val="0"/>
          <w:i w:val="0"/>
          <w:sz w:val="24"/>
        </w:rPr>
        <w:t xml:space="preserve"> As demonstrated below, Judge McNeill's conduct satisfies all three prongs.</w:t>
      </w:r>
    </w:p>
    <w:p>
      <w:pPr>
        <w:spacing w:after="120"/>
        <w:jc w:val="left"/>
      </w:pPr>
      <w:r>
        <w:rPr>
          <w:rFonts w:ascii="Times New Roman" w:hAnsi="Times New Roman"/>
          <w:b/>
          <w:sz w:val="24"/>
        </w:rPr>
        <w:t>B. The Lower Court Has Systematically Failed in Its Judicial Duties</w:t>
      </w:r>
    </w:p>
    <w:p>
      <w:pPr>
        <w:jc w:val="left"/>
      </w:pPr>
      <w:r>
        <w:rPr>
          <w:rFonts w:ascii="Times New Roman" w:hAnsi="Times New Roman"/>
          <w:b w:val="0"/>
          <w:i w:val="0"/>
          <w:sz w:val="24"/>
        </w:rPr>
        <w:t xml:space="preserve">The record before this Court is not one of isolated error. OMEGA analysis of the complete case record documents </w:t>
      </w:r>
      <w:r>
        <w:rPr>
          <w:rFonts w:ascii="Times New Roman" w:hAnsi="Times New Roman"/>
          <w:b/>
          <w:i w:val="0"/>
          <w:sz w:val="24"/>
        </w:rPr>
        <w:t>1,127 judicial violations</w:t>
      </w:r>
      <w:r>
        <w:rPr>
          <w:rFonts w:ascii="Times New Roman" w:hAnsi="Times New Roman"/>
          <w:b w:val="0"/>
          <w:i w:val="0"/>
          <w:sz w:val="24"/>
        </w:rPr>
        <w:t xml:space="preserve"> across the proceedings in Case No. 2024-1507-DC before Judge Jenny L. McNeill. Of these, </w:t>
      </w:r>
      <w:r>
        <w:rPr>
          <w:rFonts w:ascii="Times New Roman" w:hAnsi="Times New Roman"/>
          <w:b/>
          <w:i w:val="0"/>
          <w:sz w:val="24"/>
        </w:rPr>
        <w:t>377 are classified as critical severity</w:t>
      </w:r>
      <w:r>
        <w:rPr>
          <w:rFonts w:ascii="Times New Roman" w:hAnsi="Times New Roman"/>
          <w:b w:val="0"/>
          <w:i w:val="0"/>
          <w:sz w:val="24"/>
        </w:rPr>
        <w:t>. The violations break down as follows:</w:t>
      </w:r>
    </w:p>
    <w:p>
      <w:pPr>
        <w:jc w:val="left"/>
      </w:pPr>
      <w:r>
        <w:rPr>
          <w:rFonts w:ascii="Times New Roman" w:hAnsi="Times New Roman"/>
          <w:b/>
          <w:i w:val="0"/>
          <w:sz w:val="24"/>
        </w:rPr>
        <w:t>482 ex parte violations</w:t>
      </w:r>
      <w:r>
        <w:rPr>
          <w:rFonts w:ascii="Times New Roman" w:hAnsi="Times New Roman"/>
          <w:b w:val="0"/>
          <w:i w:val="0"/>
          <w:sz w:val="24"/>
        </w:rPr>
        <w:t>, reflecting a pattern of one-sided communication and decision-making outside Plaintiff's presence or knowledge;</w:t>
      </w:r>
    </w:p>
    <w:p>
      <w:pPr>
        <w:jc w:val="left"/>
      </w:pPr>
      <w:r>
        <w:rPr>
          <w:rFonts w:ascii="Times New Roman" w:hAnsi="Times New Roman"/>
          <w:b/>
          <w:i w:val="0"/>
          <w:sz w:val="24"/>
        </w:rPr>
        <w:t>167 instances</w:t>
      </w:r>
      <w:r>
        <w:rPr>
          <w:rFonts w:ascii="Times New Roman" w:hAnsi="Times New Roman"/>
          <w:b w:val="0"/>
          <w:i w:val="0"/>
          <w:sz w:val="24"/>
        </w:rPr>
        <w:t xml:space="preserve"> warranting disqualification under MCR 2.003, including documented bias, prejudgment, and hostile commentary directed at Plaintiff;</w:t>
      </w:r>
    </w:p>
    <w:p>
      <w:pPr>
        <w:jc w:val="left"/>
      </w:pPr>
      <w:r>
        <w:rPr>
          <w:rFonts w:ascii="Times New Roman" w:hAnsi="Times New Roman"/>
          <w:b/>
          <w:i w:val="0"/>
          <w:sz w:val="24"/>
        </w:rPr>
        <w:t>161 instances</w:t>
      </w:r>
      <w:r>
        <w:rPr>
          <w:rFonts w:ascii="Times New Roman" w:hAnsi="Times New Roman"/>
          <w:b w:val="0"/>
          <w:i w:val="0"/>
          <w:sz w:val="24"/>
        </w:rPr>
        <w:t xml:space="preserve"> of procedural misconduct, including the systematic denial of motions without hearing;</w:t>
      </w:r>
    </w:p>
    <w:p>
      <w:pPr>
        <w:jc w:val="left"/>
      </w:pPr>
      <w:r>
        <w:rPr>
          <w:rFonts w:ascii="Times New Roman" w:hAnsi="Times New Roman"/>
          <w:b/>
          <w:i w:val="0"/>
          <w:sz w:val="24"/>
        </w:rPr>
        <w:t>126 violations</w:t>
      </w:r>
      <w:r>
        <w:rPr>
          <w:rFonts w:ascii="Times New Roman" w:hAnsi="Times New Roman"/>
          <w:b w:val="0"/>
          <w:i w:val="0"/>
          <w:sz w:val="24"/>
        </w:rPr>
        <w:t xml:space="preserve"> related to Personal Protection Order proceedings; and</w:t>
      </w:r>
    </w:p>
    <w:p>
      <w:pPr>
        <w:jc w:val="left"/>
      </w:pPr>
      <w:r>
        <w:rPr>
          <w:rFonts w:ascii="Times New Roman" w:hAnsi="Times New Roman"/>
          <w:b/>
          <w:i w:val="0"/>
          <w:sz w:val="24"/>
        </w:rPr>
        <w:t>105 notice violations</w:t>
      </w:r>
      <w:r>
        <w:rPr>
          <w:rFonts w:ascii="Times New Roman" w:hAnsi="Times New Roman"/>
          <w:b w:val="0"/>
          <w:i w:val="0"/>
          <w:sz w:val="24"/>
        </w:rPr>
        <w:t>, depriving Plaintiff of the opportunity to be heard.</w:t>
      </w:r>
    </w:p>
    <w:p>
      <w:pPr>
        <w:jc w:val="left"/>
      </w:pPr>
      <w:r>
        <w:rPr>
          <w:rFonts w:ascii="Times New Roman" w:hAnsi="Times New Roman"/>
          <w:b w:val="0"/>
          <w:i w:val="0"/>
          <w:sz w:val="24"/>
        </w:rPr>
        <w:t>This volume and pattern of violations is not a matter of judicial discretion—it is a systematic failure to perform the duties required by Michigan law and court rules. No litigant should be required to endure over one thousand documented violations before obtaining relief.</w:t>
      </w:r>
    </w:p>
    <w:p>
      <w:pPr>
        <w:spacing w:after="120"/>
        <w:jc w:val="left"/>
      </w:pPr>
      <w:r>
        <w:rPr>
          <w:rFonts w:ascii="Times New Roman" w:hAnsi="Times New Roman"/>
          <w:b/>
          <w:sz w:val="24"/>
        </w:rPr>
        <w:t>C. Systematic Ex Parte Violations Mandate This Court's Intervention</w:t>
      </w:r>
    </w:p>
    <w:p>
      <w:pPr>
        <w:jc w:val="left"/>
      </w:pPr>
      <w:r>
        <w:rPr>
          <w:rFonts w:ascii="Times New Roman" w:hAnsi="Times New Roman"/>
          <w:b w:val="0"/>
          <w:i w:val="0"/>
          <w:sz w:val="24"/>
        </w:rPr>
        <w:t xml:space="preserve">Of the 1,127 total violations, </w:t>
      </w:r>
      <w:r>
        <w:rPr>
          <w:rFonts w:ascii="Times New Roman" w:hAnsi="Times New Roman"/>
          <w:b/>
          <w:i w:val="0"/>
          <w:sz w:val="24"/>
        </w:rPr>
        <w:t>482 involve ex parte communications or proceedings</w:t>
      </w:r>
      <w:r>
        <w:rPr>
          <w:rFonts w:ascii="Times New Roman" w:hAnsi="Times New Roman"/>
          <w:b w:val="0"/>
          <w:i w:val="0"/>
          <w:sz w:val="24"/>
        </w:rPr>
        <w:t>—the single largest category. MCR 3.207(B) governs ex parte orders in domestic relations cases and imposes strict procedural requirements to protect the due process rights of both parties. The lower court has treated these requirements as optional.</w:t>
      </w:r>
    </w:p>
    <w:p>
      <w:pPr>
        <w:jc w:val="left"/>
      </w:pPr>
      <w:r>
        <w:rPr>
          <w:rFonts w:ascii="Times New Roman" w:hAnsi="Times New Roman"/>
          <w:b w:val="0"/>
          <w:i w:val="0"/>
          <w:sz w:val="24"/>
        </w:rPr>
        <w:t>Ex parte violations are uniquely corrosive to the judicial process because they deprive one party of the fundamental right to be heard. When a court conducts 482 such violations in a single case, it has not merely erred—it has abandoned the adversarial framework upon which our system of justice depends. This Court's superintending control is the only mechanism capable of correcting a pattern this pervasive.</w:t>
      </w:r>
    </w:p>
    <w:p>
      <w:pPr>
        <w:spacing w:after="120"/>
        <w:jc w:val="left"/>
      </w:pPr>
      <w:r>
        <w:rPr>
          <w:rFonts w:ascii="Times New Roman" w:hAnsi="Times New Roman"/>
          <w:b/>
          <w:sz w:val="24"/>
        </w:rPr>
        <w:t>D. Plaintiff Has Been Denied Meaningful Access to Justice</w:t>
      </w:r>
    </w:p>
    <w:p>
      <w:pPr>
        <w:jc w:val="left"/>
      </w:pPr>
      <w:r>
        <w:rPr>
          <w:rFonts w:ascii="Times New Roman" w:hAnsi="Times New Roman"/>
          <w:b w:val="0"/>
          <w:i w:val="0"/>
          <w:sz w:val="24"/>
        </w:rPr>
        <w:t xml:space="preserve">Plaintiff, proceeding pro se, has been systematically denied the ability to present his case. The record shows that Judge McNeill denied Plaintiff's motions without hearing on August 15, 2025, August 25, 2025, and January 10, 2026. The court's own language reflects "ex parte handling, unequal treatment of evidence, and hostile commentary." </w:t>
      </w:r>
      <w:r>
        <w:rPr>
          <w:rFonts w:ascii="Times New Roman" w:hAnsi="Times New Roman"/>
          <w:b w:val="0"/>
          <w:i/>
          <w:sz w:val="24"/>
        </w:rPr>
        <w:t>See</w:t>
      </w:r>
      <w:r>
        <w:rPr>
          <w:rFonts w:ascii="Times New Roman" w:hAnsi="Times New Roman"/>
          <w:b w:val="0"/>
          <w:i w:val="0"/>
          <w:sz w:val="24"/>
        </w:rPr>
        <w:t xml:space="preserve"> Case Record, 14th Circuit Case No. 2024-1507-DC.</w:t>
      </w:r>
    </w:p>
    <w:p>
      <w:pPr>
        <w:jc w:val="left"/>
      </w:pPr>
      <w:r>
        <w:rPr>
          <w:rFonts w:ascii="Times New Roman" w:hAnsi="Times New Roman"/>
          <w:b w:val="0"/>
          <w:i w:val="0"/>
          <w:sz w:val="24"/>
        </w:rPr>
        <w:t>A pro se litigant is entitled to have his pleadings and motions considered on the merits, not summarily rejected. The systematic refusal to hold hearings, combined with documented hostile commentary and unequal treatment of evidence, demonstrates that the lower court has failed to provide Plaintiff with meaningful access to justice—a constitutional guarantee under both the Michigan Constitution and the Fourteenth Amendment to the United States Constitution.</w:t>
      </w:r>
    </w:p>
    <w:p>
      <w:pPr>
        <w:spacing w:after="120"/>
        <w:jc w:val="left"/>
      </w:pPr>
      <w:r>
        <w:rPr>
          <w:rFonts w:ascii="Times New Roman" w:hAnsi="Times New Roman"/>
          <w:b/>
          <w:sz w:val="24"/>
        </w:rPr>
        <w:t>E. No Adequate Alternative Remedy Exists</w:t>
      </w:r>
    </w:p>
    <w:p>
      <w:pPr>
        <w:jc w:val="left"/>
      </w:pPr>
      <w:r>
        <w:rPr>
          <w:rFonts w:ascii="Times New Roman" w:hAnsi="Times New Roman"/>
          <w:b w:val="0"/>
          <w:i w:val="0"/>
          <w:sz w:val="24"/>
        </w:rPr>
        <w:t>Plaintiff has pursued every available avenue of relief short of this Court's intervention:</w:t>
      </w:r>
    </w:p>
    <w:p>
      <w:pPr>
        <w:jc w:val="left"/>
      </w:pPr>
      <w:r>
        <w:rPr>
          <w:rFonts w:ascii="Times New Roman" w:hAnsi="Times New Roman"/>
          <w:b w:val="0"/>
          <w:i w:val="0"/>
          <w:sz w:val="24"/>
        </w:rPr>
        <w:t xml:space="preserve">1. </w:t>
      </w:r>
      <w:r>
        <w:rPr>
          <w:rFonts w:ascii="Times New Roman" w:hAnsi="Times New Roman"/>
          <w:b/>
          <w:i w:val="0"/>
          <w:sz w:val="24"/>
        </w:rPr>
        <w:t>Court of Appeals</w:t>
      </w:r>
      <w:r>
        <w:rPr>
          <w:rFonts w:ascii="Times New Roman" w:hAnsi="Times New Roman"/>
          <w:b w:val="0"/>
          <w:i w:val="0"/>
          <w:sz w:val="24"/>
        </w:rPr>
        <w:t>: An appeal is currently pending before the Michigan Court of Appeals, Docket No. 366810. However, the appellate process is inherently slow and cannot provide the immediate relief necessary to halt ongoing violations and restore Plaintiff's parenting time. Each day of delay is another day of forced separation.</w:t>
      </w:r>
    </w:p>
    <w:p>
      <w:pPr>
        <w:jc w:val="left"/>
      </w:pPr>
      <w:r>
        <w:rPr>
          <w:rFonts w:ascii="Times New Roman" w:hAnsi="Times New Roman"/>
          <w:b w:val="0"/>
          <w:i w:val="0"/>
          <w:sz w:val="24"/>
        </w:rPr>
        <w:t xml:space="preserve">2. </w:t>
      </w:r>
      <w:r>
        <w:rPr>
          <w:rFonts w:ascii="Times New Roman" w:hAnsi="Times New Roman"/>
          <w:b/>
          <w:i w:val="0"/>
          <w:sz w:val="24"/>
        </w:rPr>
        <w:t>Judicial Tenure Commission</w:t>
      </w:r>
      <w:r>
        <w:rPr>
          <w:rFonts w:ascii="Times New Roman" w:hAnsi="Times New Roman"/>
          <w:b w:val="0"/>
          <w:i w:val="0"/>
          <w:sz w:val="24"/>
        </w:rPr>
        <w:t>: Plaintiff has filed a complaint with the JTC. However, the JTC's authority extends only to judicial discipline—it cannot enter orders restoring parenting time, vacating improper rulings, or correcting the procedural violations that continue to harm Plaintiff and his child.</w:t>
      </w:r>
    </w:p>
    <w:p>
      <w:pPr>
        <w:jc w:val="left"/>
      </w:pPr>
      <w:r>
        <w:rPr>
          <w:rFonts w:ascii="Times New Roman" w:hAnsi="Times New Roman"/>
          <w:b w:val="0"/>
          <w:i w:val="0"/>
          <w:sz w:val="24"/>
        </w:rPr>
        <w:t xml:space="preserve">3. </w:t>
      </w:r>
      <w:r>
        <w:rPr>
          <w:rFonts w:ascii="Times New Roman" w:hAnsi="Times New Roman"/>
          <w:b/>
          <w:i w:val="0"/>
          <w:sz w:val="24"/>
        </w:rPr>
        <w:t>Lower Court Remedies</w:t>
      </w:r>
      <w:r>
        <w:rPr>
          <w:rFonts w:ascii="Times New Roman" w:hAnsi="Times New Roman"/>
          <w:b w:val="0"/>
          <w:i w:val="0"/>
          <w:sz w:val="24"/>
        </w:rPr>
        <w:t>: Plaintiff has exhausted all remedies available in the 14th Circuit Court. Every motion has been denied without hearing. The court that created these violations cannot reasonably be expected to correct them.</w:t>
      </w:r>
    </w:p>
    <w:p>
      <w:pPr>
        <w:jc w:val="left"/>
      </w:pPr>
      <w:r>
        <w:rPr>
          <w:rFonts w:ascii="Times New Roman" w:hAnsi="Times New Roman"/>
          <w:b w:val="0"/>
          <w:i w:val="0"/>
          <w:sz w:val="24"/>
        </w:rPr>
        <w:t>Only this Court's superintending control authority under Const 1963, Art 6, § 4 can provide comprehensive relief: correcting the lower court's ongoing violations, restoring due process, and protecting the child's welfare during the pendency of these proceedings.</w:t>
      </w:r>
    </w:p>
    <w:p>
      <w:pPr>
        <w:spacing w:after="120"/>
        <w:jc w:val="left"/>
      </w:pPr>
      <w:r>
        <w:rPr>
          <w:rFonts w:ascii="Times New Roman" w:hAnsi="Times New Roman"/>
          <w:b/>
          <w:sz w:val="24"/>
        </w:rPr>
        <w:t>F. The Child's Best Interests Demand Immediate Intervention</w:t>
      </w:r>
    </w:p>
    <w:p>
      <w:pPr>
        <w:jc w:val="left"/>
      </w:pPr>
      <w:r>
        <w:rPr>
          <w:rFonts w:ascii="Times New Roman" w:hAnsi="Times New Roman"/>
          <w:b w:val="0"/>
          <w:i w:val="0"/>
          <w:sz w:val="24"/>
        </w:rPr>
        <w:t xml:space="preserve">MCL 722.23 enumerates the factors courts must consider in determining the best interests of the child. MCL 722.27a establishes a presumption that parenting time with both parents serves the child's best interests. As of the date of this filing, Plaintiff has been forcibly separated from his child for more than </w:t>
      </w:r>
      <w:r>
        <w:rPr>
          <w:rFonts w:ascii="Times New Roman" w:hAnsi="Times New Roman"/>
          <w:b/>
          <w:i w:val="0"/>
          <w:sz w:val="24"/>
        </w:rPr>
        <w:t>209 consecutive days</w:t>
      </w:r>
      <w:r>
        <w:rPr>
          <w:rFonts w:ascii="Times New Roman" w:hAnsi="Times New Roman"/>
          <w:b w:val="0"/>
          <w:i w:val="0"/>
          <w:sz w:val="24"/>
        </w:rPr>
        <w:t xml:space="preserve"> since August 8, 2025.</w:t>
      </w:r>
    </w:p>
    <w:p>
      <w:pPr>
        <w:jc w:val="left"/>
      </w:pPr>
      <w:r>
        <w:rPr>
          <w:rFonts w:ascii="Times New Roman" w:hAnsi="Times New Roman"/>
          <w:b w:val="0"/>
          <w:i w:val="0"/>
          <w:sz w:val="24"/>
        </w:rPr>
        <w:t>This prolonged and involuntary separation is itself a violation of the child's best interests under MCL 722.23. The statutory factors—including the love, affection, and emotional ties between parent and child (factor (a)); the capacity of the parties to provide love, affection, and guidance (factor (b)); and the mental and physical health of the parties (factor (g))—all weigh in favor of restoring Plaintiff's relationship with his child. No court order supported by properly considered best-interest findings supports this separation.</w:t>
      </w:r>
    </w:p>
    <w:p>
      <w:pPr>
        <w:jc w:val="left"/>
      </w:pPr>
      <w:r>
        <w:rPr>
          <w:rFonts w:ascii="Times New Roman" w:hAnsi="Times New Roman"/>
          <w:b w:val="0"/>
          <w:i w:val="0"/>
          <w:sz w:val="24"/>
        </w:rPr>
        <w:t>This Court should exercise its superintending control to ensure that the child's best interests, as defined by Michigan law, are given the weight the Legislature intended.</w:t>
      </w:r>
    </w:p>
    <w:p>
      <w:pPr>
        <w:spacing w:after="120"/>
        <w:jc w:val="center"/>
      </w:pPr>
      <w:r>
        <w:rPr>
          <w:rFonts w:ascii="Times New Roman" w:hAnsi="Times New Roman"/>
          <w:b/>
          <w:sz w:val="24"/>
        </w:rPr>
        <w:t>V. PRAYER FOR RELIEF</w:t>
      </w:r>
    </w:p>
    <w:p>
      <w:pPr>
        <w:jc w:val="left"/>
      </w:pPr>
      <w:r>
        <w:rPr>
          <w:rFonts w:ascii="Times New Roman" w:hAnsi="Times New Roman"/>
          <w:b w:val="0"/>
          <w:i w:val="0"/>
          <w:sz w:val="24"/>
        </w:rPr>
        <w:t>WHEREFORE, Plaintiff Andrew Pigors respectfully requests that this Honorable Court:</w:t>
      </w:r>
    </w:p>
    <w:p>
      <w:pPr>
        <w:jc w:val="left"/>
      </w:pPr>
      <w:r>
        <w:rPr>
          <w:rFonts w:ascii="Times New Roman" w:hAnsi="Times New Roman"/>
          <w:b w:val="0"/>
          <w:i w:val="0"/>
          <w:sz w:val="24"/>
        </w:rPr>
        <w:t xml:space="preserve">1. </w:t>
      </w:r>
      <w:r>
        <w:rPr>
          <w:rFonts w:ascii="Times New Roman" w:hAnsi="Times New Roman"/>
          <w:b w:val="0"/>
          <w:i w:val="0"/>
          <w:sz w:val="24"/>
        </w:rPr>
        <w:t>Grant the relief sought in this Complaint for Superintending Control;</w:t>
      </w:r>
    </w:p>
    <w:p>
      <w:pPr>
        <w:jc w:val="left"/>
      </w:pPr>
      <w:r>
        <w:rPr>
          <w:rFonts w:ascii="Times New Roman" w:hAnsi="Times New Roman"/>
          <w:b w:val="0"/>
          <w:i w:val="0"/>
          <w:sz w:val="24"/>
        </w:rPr>
        <w:t xml:space="preserve">2. </w:t>
      </w:r>
      <w:r>
        <w:rPr>
          <w:rFonts w:ascii="Times New Roman" w:hAnsi="Times New Roman"/>
          <w:b w:val="0"/>
          <w:i w:val="0"/>
          <w:sz w:val="24"/>
        </w:rPr>
        <w:t>Enter such orders as are necessary to protect Plaintiff's constitutional rights;</w:t>
      </w:r>
    </w:p>
    <w:p>
      <w:pPr>
        <w:jc w:val="left"/>
      </w:pPr>
      <w:r>
        <w:rPr>
          <w:rFonts w:ascii="Times New Roman" w:hAnsi="Times New Roman"/>
          <w:b w:val="0"/>
          <w:i w:val="0"/>
          <w:sz w:val="24"/>
        </w:rPr>
        <w:t xml:space="preserve">3. </w:t>
      </w:r>
      <w:r>
        <w:rPr>
          <w:rFonts w:ascii="Times New Roman" w:hAnsi="Times New Roman"/>
          <w:b w:val="0"/>
          <w:i w:val="0"/>
          <w:sz w:val="24"/>
        </w:rPr>
        <w:t>Award Plaintiff costs and fees associated with this filing;</w:t>
      </w:r>
    </w:p>
    <w:p>
      <w:pPr>
        <w:jc w:val="left"/>
      </w:pPr>
      <w:r>
        <w:rPr>
          <w:rFonts w:ascii="Times New Roman" w:hAnsi="Times New Roman"/>
          <w:b w:val="0"/>
          <w:i w:val="0"/>
          <w:sz w:val="24"/>
        </w:rPr>
        <w:t xml:space="preserve">4. </w:t>
      </w:r>
      <w:r>
        <w:rPr>
          <w:rFonts w:ascii="Times New Roman" w:hAnsi="Times New Roman"/>
          <w:b w:val="0"/>
          <w:i w:val="0"/>
          <w:sz w:val="24"/>
        </w:rPr>
        <w:t>Grant such other and further relief as this Court deems just and equitable.</w:t>
      </w:r>
    </w:p>
    <w:p>
      <w:pPr>
        <w:jc w:val="left"/>
      </w:pPr>
      <w:r>
        <w:rPr>
          <w:rFonts w:ascii="Times New Roman" w:hAnsi="Times New Roman"/>
          <w:b w:val="0"/>
          <w:i w:val="0"/>
          <w:sz w:val="24"/>
        </w:rPr>
        <w:t>Respectfully submitted,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Pro Se Plaintiff [Address] [Phone] [Email]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CERTIFICATE OF SERVICE</w:t>
      </w:r>
    </w:p>
    <w:p>
      <w:pPr>
        <w:jc w:val="left"/>
      </w:pPr>
      <w:r>
        <w:rPr>
          <w:rFonts w:ascii="Times New Roman" w:hAnsi="Times New Roman"/>
          <w:b w:val="0"/>
          <w:i w:val="0"/>
          <w:sz w:val="24"/>
        </w:rPr>
        <w:t xml:space="preserve">I hereby certify that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 20</w:t>
      </w:r>
      <w:r>
        <w:rPr>
          <w:rFonts w:ascii="Times New Roman" w:hAnsi="Times New Roman"/>
          <w:b w:val="0"/>
          <w:i w:val="0"/>
          <w:sz w:val="24"/>
        </w:rPr>
        <w:t>__, a true and correct copy of the foregoing COMPLAINT FOR SUPERINTENDING CONTROL was served upon:</w:t>
      </w:r>
    </w:p>
    <w:p>
      <w:pPr>
        <w:jc w:val="left"/>
      </w:pPr>
      <w:r>
        <w:rPr>
          <w:rFonts w:ascii="Times New Roman" w:hAnsi="Times New Roman"/>
          <w:b w:val="0"/>
          <w:i w:val="0"/>
          <w:sz w:val="24"/>
        </w:rPr>
        <w:t>Emily A. Watson [Address on file]</w:t>
      </w:r>
    </w:p>
    <w:p>
      <w:pPr>
        <w:jc w:val="left"/>
      </w:pPr>
      <w:r>
        <w:rPr>
          <w:rFonts w:ascii="Times New Roman" w:hAnsi="Times New Roman"/>
          <w:b w:val="0"/>
          <w:i w:val="0"/>
          <w:sz w:val="24"/>
        </w:rPr>
        <w:t>via:</w:t>
      </w:r>
    </w:p>
    <w:p>
      <w:pPr>
        <w:spacing w:after="0"/>
        <w:jc w:val="left"/>
      </w:pPr>
      <w:r>
        <w:rPr>
          <w:rFonts w:ascii="Times New Roman" w:hAnsi="Times New Roman"/>
          <w:b w:val="0"/>
          <w:sz w:val="24"/>
        </w:rPr>
        <w:t>( ) First-class US Mail</w:t>
      </w:r>
    </w:p>
    <w:p>
      <w:pPr>
        <w:spacing w:after="0"/>
        <w:jc w:val="left"/>
      </w:pPr>
      <w:r>
        <w:rPr>
          <w:rFonts w:ascii="Times New Roman" w:hAnsi="Times New Roman"/>
          <w:b w:val="0"/>
          <w:sz w:val="24"/>
        </w:rPr>
        <w:t>( ) Personal Service</w:t>
      </w:r>
    </w:p>
    <w:p>
      <w:pPr>
        <w:spacing w:after="0"/>
        <w:jc w:val="left"/>
      </w:pPr>
      <w:r>
        <w:rPr>
          <w:rFonts w:ascii="Times New Roman" w:hAnsi="Times New Roman"/>
          <w:b w:val="0"/>
          <w:sz w:val="24"/>
        </w:rPr>
        <w:t>( ) Electronic Filing (MiFILE)</w:t>
      </w:r>
    </w:p>
    <w:p>
      <w:pPr>
        <w:spacing w:after="0"/>
        <w:jc w:val="left"/>
      </w:pPr>
      <w:r>
        <w:rPr>
          <w:rFonts w:ascii="Times New Roman" w:hAnsi="Times New Roman"/>
          <w:b w:val="0"/>
          <w:sz w:val="24"/>
        </w:rPr>
        <w:t>( ) Certified Mail, Return Receipt Requested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