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IN THE SUPREME COURT</w:t>
      </w:r>
      <w:spacing w:line="240" w:lineRule="auto"/>
    </w:p>
    <w:p>
      <w:pPr>
        <w:spacing w:after="0"/>
        <w:jc w:val="center"/>
      </w:pPr>
      <w:r>
        <w:rPr>
          <w:rFonts w:ascii="Times New Roman" w:hAnsi="Times New Roman"/>
          <w:b w:val="0"/>
          <w:sz w:val="24"/>
        </w:rPr>
        <w:t>STATE OF MICHIGAN</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ANDREW PIGORS,</w:t>
      </w:r>
      <w:spacing w:line="240" w:lineRule="auto"/>
    </w:p>
    <w:p>
      <w:pPr>
        <w:spacing w:after="0"/>
        <w:jc w:val="center"/>
      </w:pPr>
      <w:r>
        <w:rPr>
          <w:rFonts w:ascii="Times New Roman" w:hAnsi="Times New Roman"/>
          <w:b w:val="0"/>
          <w:sz w:val="24"/>
        </w:rPr>
        <w:t>Petitioner,                         Case No. __________</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v                                       14th Circuit Case No. 2024-1507-DC</w:t>
      </w:r>
      <w:spacing w:line="240" w:lineRule="auto"/>
    </w:p>
    <w:p>
      <w:pPr>
        <w:spacing w:after="0"/>
        <w:jc w:val="center"/>
      </w:pPr>
      <w:r>
        <w:rPr>
          <w:rFonts w:ascii="Times New Roman" w:hAnsi="Times New Roman"/>
          <w:b w:val="0"/>
          <w:sz w:val="24"/>
        </w:rPr>
        <w:t>Hon. Jenny L. McNeill</w:t>
      </w:r>
      <w:spacing w:line="240" w:lineRule="auto"/>
    </w:p>
    <w:p>
      <w:pPr>
        <w:spacing w:after="0"/>
        <w:jc w:val="center"/>
      </w:pPr>
      <w:r>
        <w:rPr>
          <w:rFonts w:ascii="Times New Roman" w:hAnsi="Times New Roman"/>
          <w:b w:val="0"/>
          <w:sz w:val="24"/>
        </w:rPr>
        <w:t>EMILY A. WATSON,</w:t>
      </w:r>
      <w:spacing w:line="240" w:lineRule="auto"/>
    </w:p>
    <w:p>
      <w:pPr>
        <w:spacing w:after="0"/>
        <w:jc w:val="center"/>
      </w:pPr>
      <w:r>
        <w:rPr>
          <w:rFonts w:ascii="Times New Roman" w:hAnsi="Times New Roman"/>
          <w:b w:val="0"/>
          <w:sz w:val="24"/>
        </w:rPr>
        <w:t>Respondent.</w:t>
      </w:r>
      <w:spacing w:line="240" w:lineRule="auto"/>
    </w:p>
    <w:p>
      <w:pPr>
        <w:spacing w:after="0"/>
        <w:jc w:val="center"/>
      </w:pPr>
      <w:r>
        <w:rPr>
          <w:rFonts w:ascii="Times New Roman" w:hAnsi="Times New Roman"/>
          <w:b w:val="0"/>
          <w:sz w:val="24"/>
        </w:rPr>
        <w:t>_______________________________________________/</w:t>
      </w:r>
      <w:spacing w:line="240" w:lineRule="auto"/>
    </w:p>
    <w:p>
      <w:pPr>
        <w:spacing w:after="0"/>
        <w:jc w:val="center"/>
      </w:pPr>
      <w:r>
        <w:rPr>
          <w:rFonts w:ascii="Times New Roman" w:hAnsi="Times New Roman"/>
          <w:b w:val="0"/>
          <w:sz w:val="24"/>
        </w:rPr>
      </w:r>
      <w:spacing w:line="240" w:lineRule="auto"/>
    </w:p>
    <w:p/>
    <w:p>
      <w:pPr>
        <w:spacing w:after="120"/>
        <w:jc w:val="center"/>
      </w:pPr>
      <w:r>
        <w:rPr>
          <w:rFonts w:ascii="Times New Roman" w:hAnsi="Times New Roman"/>
          <w:b/>
          <w:sz w:val="24"/>
        </w:rPr>
        <w:t>PETITION FOR HABEAS CORPUS</w:t>
      </w:r>
    </w:p>
    <w:p>
      <w:pPr>
        <w:spacing w:after="120"/>
        <w:jc w:val="center"/>
      </w:pPr>
      <w:r>
        <w:rPr>
          <w:rFonts w:ascii="Times New Roman" w:hAnsi="Times New Roman"/>
          <w:b/>
          <w:sz w:val="24"/>
        </w:rPr>
        <w:t>I. INTRODUCTION</w:t>
      </w:r>
    </w:p>
    <w:p>
      <w:pPr>
        <w:jc w:val="left"/>
      </w:pPr>
      <w:r>
        <w:rPr>
          <w:rFonts w:ascii="Times New Roman" w:hAnsi="Times New Roman"/>
          <w:b w:val="0"/>
          <w:i w:val="0"/>
          <w:sz w:val="24"/>
        </w:rPr>
        <w:t>Petitioner Andrew Pigors, appearing pro se, respectfully petitions this Honorable Court for a Writ of Habeas Corpus pursuant to Const 1963, Art 1, § 12, MCL 600.4301 et seq., and US Const, Art I, § 9, cl 2. Petitioner's minor child has been effectively held from him—denied all parental contact—for over 209 consecutive days under color of orders issued by the 14th Circuit Court (Hon. Jenny L. McNeill) without constitutionally adequate process. This Petition is supported by the attached evidence, the legal authority cited herein, and the entire record of these proceedings.</w:t>
      </w:r>
    </w:p>
    <w:p>
      <w:pPr>
        <w:spacing w:after="120"/>
        <w:jc w:val="center"/>
      </w:pPr>
      <w:r>
        <w:rPr>
          <w:rFonts w:ascii="Times New Roman" w:hAnsi="Times New Roman"/>
          <w:b/>
          <w:sz w:val="24"/>
        </w:rPr>
        <w:t>II. STATEMENT OF FACTS</w:t>
      </w:r>
    </w:p>
    <w:p>
      <w:pPr>
        <w:jc w:val="left"/>
      </w:pPr>
      <w:r>
        <w:rPr>
          <w:rFonts w:ascii="Times New Roman" w:hAnsi="Times New Roman"/>
          <w:b w:val="0"/>
          <w:i w:val="0"/>
          <w:sz w:val="24"/>
        </w:rPr>
        <w:t xml:space="preserve">1. </w:t>
      </w:r>
      <w:r>
        <w:rPr>
          <w:rFonts w:ascii="Times New Roman" w:hAnsi="Times New Roman"/>
          <w:b w:val="0"/>
          <w:i w:val="0"/>
          <w:sz w:val="24"/>
        </w:rPr>
        <w:t>Petitioner Andrew Pigors is the father of a minor child who is the subject of custody proceedings in the 14th Circuit Court, Case No. 2024-1507-DC, before Judge Jenny L. McNeill.</w:t>
      </w:r>
    </w:p>
    <w:p>
      <w:pPr>
        <w:jc w:val="left"/>
      </w:pPr>
      <w:r>
        <w:rPr>
          <w:rFonts w:ascii="Times New Roman" w:hAnsi="Times New Roman"/>
          <w:b w:val="0"/>
          <w:i w:val="0"/>
          <w:sz w:val="24"/>
        </w:rPr>
        <w:t xml:space="preserve">2. </w:t>
      </w:r>
      <w:r>
        <w:rPr>
          <w:rFonts w:ascii="Times New Roman" w:hAnsi="Times New Roman"/>
          <w:b w:val="0"/>
          <w:i w:val="0"/>
          <w:sz w:val="24"/>
        </w:rPr>
        <w:t>Since on or about August 8, 2025—a period now exceeding 209 days—Petitioner has been completely denied all contact with his child. The child is held under the authority and color of orders issued by the 14th Circuit Court.</w:t>
      </w:r>
    </w:p>
    <w:p>
      <w:pPr>
        <w:jc w:val="left"/>
      </w:pPr>
      <w:r>
        <w:rPr>
          <w:rFonts w:ascii="Times New Roman" w:hAnsi="Times New Roman"/>
          <w:b w:val="0"/>
          <w:i w:val="0"/>
          <w:sz w:val="24"/>
        </w:rPr>
        <w:t xml:space="preserve">3. </w:t>
      </w:r>
      <w:r>
        <w:rPr>
          <w:rFonts w:ascii="Times New Roman" w:hAnsi="Times New Roman"/>
          <w:b w:val="0"/>
          <w:i w:val="0"/>
          <w:sz w:val="24"/>
        </w:rPr>
        <w:t>The orders effectuating this separation include Personal Protection Orders issued under MCL 600.2950a and custody orders, entered ex parte or without proper hearing as required by MCR 3.708.</w:t>
      </w:r>
    </w:p>
    <w:p>
      <w:pPr>
        <w:jc w:val="left"/>
      </w:pPr>
      <w:r>
        <w:rPr>
          <w:rFonts w:ascii="Times New Roman" w:hAnsi="Times New Roman"/>
          <w:b w:val="0"/>
          <w:i w:val="0"/>
          <w:sz w:val="24"/>
        </w:rPr>
        <w:t xml:space="preserve">4. </w:t>
      </w:r>
      <w:r>
        <w:rPr>
          <w:rFonts w:ascii="Times New Roman" w:hAnsi="Times New Roman"/>
          <w:b w:val="0"/>
          <w:i w:val="0"/>
          <w:sz w:val="24"/>
        </w:rPr>
        <w:t>Petitioner's motions challenging these orders were systematically denied without hearing. Judge McNeill denied every motion filed by Petitioner, including motions for reconsideration and motions to modify, without conducting any evidentiary hearing or oral argument.</w:t>
      </w:r>
    </w:p>
    <w:p>
      <w:pPr>
        <w:jc w:val="left"/>
      </w:pPr>
      <w:r>
        <w:rPr>
          <w:rFonts w:ascii="Times New Roman" w:hAnsi="Times New Roman"/>
          <w:b w:val="0"/>
          <w:i w:val="0"/>
          <w:sz w:val="24"/>
        </w:rPr>
        <w:t xml:space="preserve">5. </w:t>
      </w:r>
      <w:r>
        <w:rPr>
          <w:rFonts w:ascii="Times New Roman" w:hAnsi="Times New Roman"/>
          <w:b w:val="0"/>
          <w:i w:val="0"/>
          <w:sz w:val="24"/>
        </w:rPr>
        <w:t>The record documents 1,127 judicial violations, including 126 violations specific to PPO procedure under MCL 600.2950 and MCL 600.2950a.</w:t>
      </w:r>
    </w:p>
    <w:p>
      <w:pPr>
        <w:jc w:val="left"/>
      </w:pPr>
      <w:r>
        <w:rPr>
          <w:rFonts w:ascii="Times New Roman" w:hAnsi="Times New Roman"/>
          <w:b w:val="0"/>
          <w:i w:val="0"/>
          <w:sz w:val="24"/>
        </w:rPr>
        <w:t xml:space="preserve">6. </w:t>
      </w:r>
      <w:r>
        <w:rPr>
          <w:rFonts w:ascii="Times New Roman" w:hAnsi="Times New Roman"/>
          <w:b w:val="0"/>
          <w:i w:val="0"/>
          <w:sz w:val="24"/>
        </w:rPr>
        <w:t>The proceedings were characterized by ex parte handling, unequal treatment of evidence, and hostile judicial commentary directed at Petitioner.</w:t>
      </w:r>
    </w:p>
    <w:p>
      <w:pPr>
        <w:jc w:val="left"/>
      </w:pPr>
      <w:r>
        <w:rPr>
          <w:rFonts w:ascii="Times New Roman" w:hAnsi="Times New Roman"/>
          <w:b w:val="0"/>
          <w:i w:val="0"/>
          <w:sz w:val="24"/>
        </w:rPr>
        <w:t xml:space="preserve">7. </w:t>
      </w:r>
      <w:r>
        <w:rPr>
          <w:rFonts w:ascii="Times New Roman" w:hAnsi="Times New Roman"/>
          <w:b w:val="0"/>
          <w:i w:val="0"/>
          <w:sz w:val="24"/>
        </w:rPr>
        <w:t>An appeal is pending before the Court of Appeals (No. 366810), but the extraordinary deprivation of parental contact—now exceeding 209 days with no end in sight—requires immediate intervention by this Court pursuant to MCR 7.306(B)(1).</w:t>
      </w:r>
    </w:p>
    <w:p>
      <w:pPr>
        <w:jc w:val="left"/>
      </w:pPr>
      <w:r>
        <w:rPr>
          <w:rFonts w:ascii="Times New Roman" w:hAnsi="Times New Roman"/>
          <w:b w:val="0"/>
          <w:i w:val="0"/>
          <w:sz w:val="24"/>
        </w:rPr>
        <w:t xml:space="preserve">8. </w:t>
      </w:r>
      <w:r>
        <w:rPr>
          <w:rFonts w:ascii="Times New Roman" w:hAnsi="Times New Roman"/>
          <w:b w:val="0"/>
          <w:i w:val="0"/>
          <w:sz w:val="24"/>
        </w:rPr>
        <w:t>Petitioner has no adequate remedy at law. The appellate timeline cannot restore the irreplaceable days of the parent-child relationship already lost, and each additional day compounds the harm to both Petitioner and the child.</w:t>
      </w:r>
    </w:p>
    <w:p>
      <w:pPr>
        <w:spacing w:after="120"/>
        <w:jc w:val="center"/>
      </w:pPr>
      <w:r>
        <w:rPr>
          <w:rFonts w:ascii="Times New Roman" w:hAnsi="Times New Roman"/>
          <w:b/>
          <w:sz w:val="24"/>
        </w:rPr>
        <w:t>III. LEGAL AUTHORITY</w:t>
      </w:r>
    </w:p>
    <w:p>
      <w:pPr>
        <w:spacing w:after="120"/>
        <w:jc w:val="left"/>
      </w:pPr>
      <w:r>
        <w:rPr>
          <w:rFonts w:ascii="Times New Roman" w:hAnsi="Times New Roman"/>
          <w:b/>
          <w:sz w:val="24"/>
        </w:rPr>
        <w:t>A. Constitutional Provisions</w:t>
      </w:r>
    </w:p>
    <w:p>
      <w:pPr>
        <w:jc w:val="left"/>
      </w:pPr>
      <w:r>
        <w:rPr>
          <w:rFonts w:ascii="Times New Roman" w:hAnsi="Times New Roman"/>
          <w:b/>
          <w:i w:val="0"/>
          <w:sz w:val="24"/>
        </w:rPr>
        <w:t>Const 1963, Art 1, § 12</w:t>
      </w:r>
      <w:r>
        <w:rPr>
          <w:rFonts w:ascii="Times New Roman" w:hAnsi="Times New Roman"/>
          <w:b w:val="0"/>
          <w:i w:val="0"/>
          <w:sz w:val="24"/>
        </w:rPr>
        <w:t xml:space="preserve"> — "The privilege of the writ of habeas corpus shall not be suspended unless in case of rebellion or invasion the public safety may require it." The Michigan Constitution guarantees the writ as an absolute right.</w:t>
      </w:r>
    </w:p>
    <w:p>
      <w:pPr>
        <w:jc w:val="left"/>
      </w:pPr>
      <w:r>
        <w:rPr>
          <w:rFonts w:ascii="Times New Roman" w:hAnsi="Times New Roman"/>
          <w:b/>
          <w:i w:val="0"/>
          <w:sz w:val="24"/>
        </w:rPr>
        <w:t>US Const, Art I, § 9, cl 2</w:t>
      </w:r>
      <w:r>
        <w:rPr>
          <w:rFonts w:ascii="Times New Roman" w:hAnsi="Times New Roman"/>
          <w:b w:val="0"/>
          <w:i w:val="0"/>
          <w:sz w:val="24"/>
        </w:rPr>
        <w:t xml:space="preserve"> — "The Privilege of the Writ of Habeas Corpus shall not be suspended, unless when in Cases of Rebellion or Invasion the public Safety may require it." The federal constitutional guarantee of habeas corpus.</w:t>
      </w:r>
    </w:p>
    <w:p>
      <w:pPr>
        <w:jc w:val="left"/>
      </w:pPr>
      <w:r>
        <w:rPr>
          <w:rFonts w:ascii="Times New Roman" w:hAnsi="Times New Roman"/>
          <w:b/>
          <w:i w:val="0"/>
          <w:sz w:val="24"/>
        </w:rPr>
        <w:t>US Const, Am XIV, § 1</w:t>
      </w:r>
      <w:r>
        <w:rPr>
          <w:rFonts w:ascii="Times New Roman" w:hAnsi="Times New Roman"/>
          <w:b w:val="0"/>
          <w:i w:val="0"/>
          <w:sz w:val="24"/>
        </w:rPr>
        <w:t xml:space="preserve"> — No State shall deprive any person of life, liberty, or property without due process of law. The parent-child relationship is a liberty interest protected by the Fourteenth Amendment.</w:t>
      </w:r>
    </w:p>
    <w:p>
      <w:pPr>
        <w:spacing w:after="120"/>
        <w:jc w:val="left"/>
      </w:pPr>
      <w:r>
        <w:rPr>
          <w:rFonts w:ascii="Times New Roman" w:hAnsi="Times New Roman"/>
          <w:b/>
          <w:sz w:val="24"/>
        </w:rPr>
        <w:t>B. Michigan Statutes</w:t>
      </w:r>
    </w:p>
    <w:p>
      <w:pPr>
        <w:jc w:val="left"/>
      </w:pPr>
      <w:r>
        <w:rPr>
          <w:rFonts w:ascii="Times New Roman" w:hAnsi="Times New Roman"/>
          <w:b/>
          <w:i w:val="0"/>
          <w:sz w:val="24"/>
        </w:rPr>
        <w:t>MCL 600.4301 et seq.</w:t>
      </w:r>
      <w:r>
        <w:rPr>
          <w:rFonts w:ascii="Times New Roman" w:hAnsi="Times New Roman"/>
          <w:b w:val="0"/>
          <w:i w:val="0"/>
          <w:sz w:val="24"/>
        </w:rPr>
        <w:t xml:space="preserve"> — Michigan habeas corpus statute. Provides that any person restrained of liberty may petition for a writ of habeas corpus to inquire into the cause of such restraint.</w:t>
      </w:r>
    </w:p>
    <w:p>
      <w:pPr>
        <w:jc w:val="left"/>
      </w:pPr>
      <w:r>
        <w:rPr>
          <w:rFonts w:ascii="Times New Roman" w:hAnsi="Times New Roman"/>
          <w:b/>
          <w:i w:val="0"/>
          <w:sz w:val="24"/>
        </w:rPr>
        <w:t>MCL 600.2950a</w:t>
      </w:r>
      <w:r>
        <w:rPr>
          <w:rFonts w:ascii="Times New Roman" w:hAnsi="Times New Roman"/>
          <w:b w:val="0"/>
          <w:i w:val="0"/>
          <w:sz w:val="24"/>
        </w:rPr>
        <w:t xml:space="preserve"> — Personal Protection Orders (domestic relations). The PPO orders underlying the child's restraint were issued under this statute. Documented violations of this statute's procedural requirements render the orders void or voidable.</w:t>
      </w:r>
    </w:p>
    <w:p>
      <w:pPr>
        <w:jc w:val="left"/>
      </w:pPr>
      <w:r>
        <w:rPr>
          <w:rFonts w:ascii="Times New Roman" w:hAnsi="Times New Roman"/>
          <w:b/>
          <w:i w:val="0"/>
          <w:sz w:val="24"/>
        </w:rPr>
        <w:t>MCR 3.708</w:t>
      </w:r>
      <w:r>
        <w:rPr>
          <w:rFonts w:ascii="Times New Roman" w:hAnsi="Times New Roman"/>
          <w:b w:val="0"/>
          <w:i w:val="0"/>
          <w:sz w:val="24"/>
        </w:rPr>
        <w:t xml:space="preserve"> — Court rule governing PPO hearing procedures. Requires hearing upon respondent's motion; ex parte PPO issuance without proper procedural compliance is void ab initio.</w:t>
      </w:r>
    </w:p>
    <w:p>
      <w:pPr>
        <w:jc w:val="left"/>
      </w:pPr>
      <w:r>
        <w:rPr>
          <w:rFonts w:ascii="Times New Roman" w:hAnsi="Times New Roman"/>
          <w:b/>
          <w:i w:val="0"/>
          <w:sz w:val="24"/>
        </w:rPr>
        <w:t>MCL 750.411h / MCL 750.411i</w:t>
      </w:r>
      <w:r>
        <w:rPr>
          <w:rFonts w:ascii="Times New Roman" w:hAnsi="Times New Roman"/>
          <w:b w:val="0"/>
          <w:i w:val="0"/>
          <w:sz w:val="24"/>
        </w:rPr>
        <w:t xml:space="preserve"> — Stalking statutes referenced in the PPO orders. Relevant to demonstrating the scope and nature of the restraint imposed.</w:t>
      </w:r>
    </w:p>
    <w:p>
      <w:pPr>
        <w:jc w:val="left"/>
      </w:pPr>
      <w:r>
        <w:rPr>
          <w:rFonts w:ascii="Times New Roman" w:hAnsi="Times New Roman"/>
          <w:b/>
          <w:i w:val="0"/>
          <w:sz w:val="24"/>
        </w:rPr>
        <w:t>MCL 722.23</w:t>
      </w:r>
      <w:r>
        <w:rPr>
          <w:rFonts w:ascii="Times New Roman" w:hAnsi="Times New Roman"/>
          <w:b w:val="0"/>
          <w:i w:val="0"/>
          <w:sz w:val="24"/>
        </w:rPr>
        <w:t xml:space="preserve"> — Best interest of the child factors. Every enumerated factor supports restoring parental contact.</w:t>
      </w:r>
    </w:p>
    <w:p>
      <w:pPr>
        <w:spacing w:after="120"/>
        <w:jc w:val="left"/>
      </w:pPr>
      <w:r>
        <w:rPr>
          <w:rFonts w:ascii="Times New Roman" w:hAnsi="Times New Roman"/>
          <w:b/>
          <w:sz w:val="24"/>
        </w:rPr>
        <w:t>C. Controlling Case Law</w:t>
      </w:r>
    </w:p>
    <w:p>
      <w:pPr>
        <w:jc w:val="left"/>
      </w:pPr>
      <w:r>
        <w:rPr>
          <w:rFonts w:ascii="Times New Roman" w:hAnsi="Times New Roman"/>
          <w:b/>
          <w:i w:val="0"/>
          <w:sz w:val="24"/>
        </w:rPr>
        <w:t>Troxel v Granville, 530 US 57 (2000)</w:t>
      </w:r>
      <w:r>
        <w:rPr>
          <w:rFonts w:ascii="Times New Roman" w:hAnsi="Times New Roman"/>
          <w:b w:val="0"/>
          <w:i w:val="0"/>
          <w:sz w:val="24"/>
        </w:rPr>
        <w:t xml:space="preserve"> — The United States Supreme Court held that the liberty interest of parents in the care, custody, and control of their children is "perhaps the oldest of the fundamental liberty interests recognized by this Court." Government interference with this right requires, at minimum, constitutionally adequate process.</w:t>
      </w:r>
    </w:p>
    <w:p>
      <w:pPr>
        <w:jc w:val="left"/>
      </w:pPr>
      <w:r>
        <w:rPr>
          <w:rFonts w:ascii="Times New Roman" w:hAnsi="Times New Roman"/>
          <w:b/>
          <w:i w:val="0"/>
          <w:sz w:val="24"/>
        </w:rPr>
        <w:t>Santosky v Kramer, 455 US 745 (1982)</w:t>
      </w:r>
      <w:r>
        <w:rPr>
          <w:rFonts w:ascii="Times New Roman" w:hAnsi="Times New Roman"/>
          <w:b w:val="0"/>
          <w:i w:val="0"/>
          <w:sz w:val="24"/>
        </w:rPr>
        <w:t xml:space="preserve"> — Due process requires heightened procedural protections before a State may sever the parent-child bond. The fundamental liberty interest of natural parents in the care, custody, and management of their child does not evaporate simply because they have not been model parents.</w:t>
      </w:r>
    </w:p>
    <w:p>
      <w:pPr>
        <w:spacing w:after="120"/>
        <w:jc w:val="center"/>
      </w:pPr>
      <w:r>
        <w:rPr>
          <w:rFonts w:ascii="Times New Roman" w:hAnsi="Times New Roman"/>
          <w:b/>
          <w:sz w:val="24"/>
        </w:rPr>
        <w:t>IV. ARGUMENT</w:t>
      </w:r>
    </w:p>
    <w:p>
      <w:pPr>
        <w:spacing w:after="120"/>
        <w:jc w:val="left"/>
      </w:pPr>
      <w:r>
        <w:rPr>
          <w:rFonts w:ascii="Times New Roman" w:hAnsi="Times New Roman"/>
          <w:b/>
          <w:sz w:val="24"/>
        </w:rPr>
        <w:t>A. The Child Is Unlawfully Restrained From Petitioner</w:t>
      </w:r>
    </w:p>
    <w:p>
      <w:pPr>
        <w:jc w:val="left"/>
      </w:pPr>
      <w:r>
        <w:rPr>
          <w:rFonts w:ascii="Times New Roman" w:hAnsi="Times New Roman"/>
          <w:b w:val="0"/>
          <w:i w:val="0"/>
          <w:sz w:val="24"/>
        </w:rPr>
        <w:t>Since August 8, 2025—a period now exceeding 209 consecutive days—Petitioner Andrew Pigors has been completely and totally denied all contact with his minor child. This is not a case of reduced parenting time or supervised visitation; Petitioner has had zero contact of any kind with his child for over seven months.</w:t>
      </w:r>
    </w:p>
    <w:p>
      <w:pPr>
        <w:jc w:val="left"/>
      </w:pPr>
      <w:r>
        <w:rPr>
          <w:rFonts w:ascii="Times New Roman" w:hAnsi="Times New Roman"/>
          <w:b w:val="0"/>
          <w:i w:val="0"/>
          <w:sz w:val="24"/>
        </w:rPr>
        <w:t>This extraordinary deprivation is maintained under color of orders issued by the 14th Circuit Court. The restraint stems from Personal Protection Orders and custody orders entered ex parte, without evidentiary hearing, and in a proceeding marked by documented hostile judicial conduct. When a child is held from a parent under color of judicial orders that are themselves constitutionally deficient, habeas corpus lies to test the legality of that restraint.</w:t>
      </w:r>
    </w:p>
    <w:p>
      <w:pPr>
        <w:spacing w:after="120"/>
        <w:jc w:val="left"/>
      </w:pPr>
      <w:r>
        <w:rPr>
          <w:rFonts w:ascii="Times New Roman" w:hAnsi="Times New Roman"/>
          <w:b/>
          <w:sz w:val="24"/>
        </w:rPr>
        <w:t>B. The Constitution Guarantees Habeas Corpus for This Deprivation</w:t>
      </w:r>
    </w:p>
    <w:p>
      <w:pPr>
        <w:jc w:val="left"/>
      </w:pPr>
      <w:r>
        <w:rPr>
          <w:rFonts w:ascii="Times New Roman" w:hAnsi="Times New Roman"/>
          <w:b w:val="0"/>
          <w:i w:val="0"/>
          <w:sz w:val="24"/>
        </w:rPr>
        <w:t>The Michigan Constitution provides in unequivocal terms: "The privilege of the writ of habeas corpus shall not be suspended unless in case of rebellion or invasion the public safety may require it." Const 1963, Art 1, § 12. The federal Constitution provides the same guarantee. US Const, Art I, § 9, cl 2.</w:t>
      </w:r>
    </w:p>
    <w:p>
      <w:pPr>
        <w:jc w:val="left"/>
      </w:pPr>
      <w:r>
        <w:rPr>
          <w:rFonts w:ascii="Times New Roman" w:hAnsi="Times New Roman"/>
          <w:b w:val="0"/>
          <w:i w:val="0"/>
          <w:sz w:val="24"/>
        </w:rPr>
        <w:t>Habeas corpus is the Great Writ—the foundational remedy against unlawful restraint of liberty. When a person, including a child, is held under color of law but the underlying orders were constitutionally deficient, habeas corpus is the proper vehicle to challenge that restraint. The writ extends to cases of child custody where the custodial arrangement is maintained by void or voidable court orders. See MCL 600.4301 et seq.</w:t>
      </w:r>
    </w:p>
    <w:p>
      <w:pPr>
        <w:spacing w:after="120"/>
        <w:jc w:val="left"/>
      </w:pPr>
      <w:r>
        <w:rPr>
          <w:rFonts w:ascii="Times New Roman" w:hAnsi="Times New Roman"/>
          <w:b/>
          <w:sz w:val="24"/>
        </w:rPr>
        <w:t>C. The Underlying PPO Orders Are Void or Voidable</w:t>
      </w:r>
    </w:p>
    <w:p>
      <w:pPr>
        <w:jc w:val="left"/>
      </w:pPr>
      <w:r>
        <w:rPr>
          <w:rFonts w:ascii="Times New Roman" w:hAnsi="Times New Roman"/>
          <w:b w:val="0"/>
          <w:i w:val="0"/>
          <w:sz w:val="24"/>
        </w:rPr>
        <w:t>The Personal Protection Orders issued under MCL 600.2950a that form the basis of the child's restraint from Petitioner were issued with 126 documented violations of PPO procedure. These violations include but are not limited to: ex parte issuance without the procedural safeguards required by MCR 3.708; denial of Petitioner's motions to modify or terminate without hearing; and continuation of orders despite changed circumstances.</w:t>
      </w:r>
    </w:p>
    <w:p>
      <w:pPr>
        <w:jc w:val="left"/>
      </w:pPr>
      <w:r>
        <w:rPr>
          <w:rFonts w:ascii="Times New Roman" w:hAnsi="Times New Roman"/>
          <w:b w:val="0"/>
          <w:i w:val="0"/>
          <w:sz w:val="24"/>
        </w:rPr>
        <w:t>An ex parte PPO entered without compliance with the mandatory procedural requirements of MCR 3.708 is void ab initio. A void order has no legal force or effect and cannot serve as lawful authority for the continued restraint of a child from a parent. The 126 documented procedural violations demonstrate a systematic pattern of non-compliance that renders these orders unenforceable as a matter of law.</w:t>
      </w:r>
    </w:p>
    <w:p>
      <w:pPr>
        <w:spacing w:after="120"/>
        <w:jc w:val="left"/>
      </w:pPr>
      <w:r>
        <w:rPr>
          <w:rFonts w:ascii="Times New Roman" w:hAnsi="Times New Roman"/>
          <w:b/>
          <w:sz w:val="24"/>
        </w:rPr>
        <w:t>D. Petitioner's Fundamental Liberty Interest Has Been Violated</w:t>
      </w:r>
    </w:p>
    <w:p>
      <w:pPr>
        <w:jc w:val="left"/>
      </w:pPr>
      <w:r>
        <w:rPr>
          <w:rFonts w:ascii="Times New Roman" w:hAnsi="Times New Roman"/>
          <w:b w:val="0"/>
          <w:i w:val="0"/>
          <w:sz w:val="24"/>
        </w:rPr>
        <w:t>The United States Supreme Court has recognized that "[t]he liberty interest at issue in this case—the interest of parents in the care, custody, and control of their children—is perhaps the oldest of the fundamental liberty interests recognized by this Court." Troxel v Granville, 530 US 57, 65 (2000). This fundamental right is protected by the Due Process Clause of the Fourteenth Amendment.</w:t>
      </w:r>
    </w:p>
    <w:p>
      <w:pPr>
        <w:jc w:val="left"/>
      </w:pPr>
      <w:r>
        <w:rPr>
          <w:rFonts w:ascii="Times New Roman" w:hAnsi="Times New Roman"/>
          <w:b w:val="0"/>
          <w:i w:val="0"/>
          <w:sz w:val="24"/>
        </w:rPr>
        <w:t>In Santosky v Kramer, 455 US 745, 753 (1982), the Court held that due process requires heightened procedural protections before the State may completely sever the parent-child bond. The Court emphasized that "the fundamental liberty interest of natural parents in the care, custody, and management of their child does not evaporate simply because they have not been model parents."</w:t>
      </w:r>
    </w:p>
    <w:p>
      <w:pPr>
        <w:jc w:val="left"/>
      </w:pPr>
      <w:r>
        <w:rPr>
          <w:rFonts w:ascii="Times New Roman" w:hAnsi="Times New Roman"/>
          <w:b w:val="0"/>
          <w:i w:val="0"/>
          <w:sz w:val="24"/>
        </w:rPr>
        <w:t>Here, Petitioner has been completely deprived of all contact with his child for 209+ days—a deprivation functionally equivalent to termination of parental rights—without any of the heightened procedural protections that due process demands. No evidentiary hearing was held. No findings of fact were made on the record. Petitioner's every motion was denied without hearing. The 14th Circuit's proceedings are constitutionally deficient under both Troxel and Santosky.</w:t>
      </w:r>
    </w:p>
    <w:p>
      <w:pPr>
        <w:spacing w:after="120"/>
        <w:jc w:val="left"/>
      </w:pPr>
      <w:r>
        <w:rPr>
          <w:rFonts w:ascii="Times New Roman" w:hAnsi="Times New Roman"/>
          <w:b/>
          <w:sz w:val="24"/>
        </w:rPr>
        <w:t>E. There Is No Adequate Remedy at Law</w:t>
      </w:r>
    </w:p>
    <w:p>
      <w:pPr>
        <w:jc w:val="left"/>
      </w:pPr>
      <w:r>
        <w:rPr>
          <w:rFonts w:ascii="Times New Roman" w:hAnsi="Times New Roman"/>
          <w:b w:val="0"/>
          <w:i w:val="0"/>
          <w:sz w:val="24"/>
        </w:rPr>
        <w:t>Petitioner has an appeal pending before the Court of Appeals (No. 366810), but the appellate process cannot provide adequate relief. The normal appellate timeline stretches months or years into the future, and each day that passes without parental contact inflicts irreparable and compounding harm on both Petitioner and the child.</w:t>
      </w:r>
    </w:p>
    <w:p>
      <w:pPr>
        <w:jc w:val="left"/>
      </w:pPr>
      <w:r>
        <w:rPr>
          <w:rFonts w:ascii="Times New Roman" w:hAnsi="Times New Roman"/>
          <w:b w:val="0"/>
          <w:i w:val="0"/>
          <w:sz w:val="24"/>
        </w:rPr>
        <w:t>Moreover, the 14th Circuit has demonstrated an unwillingness to provide relief through ordinary channels. Every motion filed by Petitioner has been denied without hearing. The record of 1,127 documented judicial violations establishes that the trial court is unable or unwilling to afford Petitioner constitutionally adequate process.</w:t>
      </w:r>
    </w:p>
    <w:p>
      <w:pPr>
        <w:jc w:val="left"/>
      </w:pPr>
      <w:r>
        <w:rPr>
          <w:rFonts w:ascii="Times New Roman" w:hAnsi="Times New Roman"/>
          <w:b w:val="0"/>
          <w:i w:val="0"/>
          <w:sz w:val="24"/>
        </w:rPr>
        <w:t>Habeas corpus is the extraordinary remedy for extraordinary deprivation. When the ordinary mechanisms of justice have failed—when every motion is denied without hearing, when a father has not seen his child for seven months, when the constitutional right to parent is being extinguished day by day—the Great Writ is the remedy the Constitution provides.</w:t>
      </w:r>
    </w:p>
    <w:p>
      <w:pPr>
        <w:spacing w:after="120"/>
        <w:jc w:val="left"/>
      </w:pPr>
      <w:r>
        <w:rPr>
          <w:rFonts w:ascii="Times New Roman" w:hAnsi="Times New Roman"/>
          <w:b/>
          <w:sz w:val="24"/>
        </w:rPr>
        <w:t>F. The Best Interests of the Child Require Relief</w:t>
      </w:r>
    </w:p>
    <w:p>
      <w:pPr>
        <w:jc w:val="left"/>
      </w:pPr>
      <w:r>
        <w:rPr>
          <w:rFonts w:ascii="Times New Roman" w:hAnsi="Times New Roman"/>
          <w:b w:val="0"/>
          <w:i w:val="0"/>
          <w:sz w:val="24"/>
        </w:rPr>
        <w:t>The continued separation of Petitioner from his child is not merely a violation of Petitioner's constitutional rights—it is demonstrably harmful to the child. Under MCL 722.23, the best interest of the child factors overwhelmingly favor restoring parental contact:</w:t>
      </w:r>
    </w:p>
    <w:p>
      <w:pPr>
        <w:jc w:val="left"/>
      </w:pPr>
      <w:r>
        <w:rPr>
          <w:rFonts w:ascii="Times New Roman" w:hAnsi="Times New Roman"/>
          <w:b w:val="0"/>
          <w:i w:val="0"/>
          <w:sz w:val="24"/>
        </w:rPr>
        <w:t>The love, affection, and emotional ties between the child and Petitioner (MCL 722.23(a)); Petitioner's capacity and disposition to provide love, affection, and guidance (MCL 722.23(b)); the moral fitness of the parties (MCL 722.23(f)); the mental and physical health of the parties (MCL 722.23(g)); and the reasonable preference of the child (MCL 722.23(i))—all favor restoring the parent-child relationship that has been severed for over 209 days.</w:t>
      </w:r>
    </w:p>
    <w:p>
      <w:pPr>
        <w:jc w:val="left"/>
      </w:pPr>
      <w:r>
        <w:rPr>
          <w:rFonts w:ascii="Times New Roman" w:hAnsi="Times New Roman"/>
          <w:b w:val="0"/>
          <w:i w:val="0"/>
          <w:sz w:val="24"/>
        </w:rPr>
        <w:t>No legitimate interest of the child is served by the complete eradication of a parent from the child's life, particularly when the orders enforcing that separation were entered without constitutionally adequate process.</w:t>
      </w:r>
    </w:p>
    <w:p>
      <w:pPr>
        <w:spacing w:after="120"/>
        <w:jc w:val="center"/>
      </w:pPr>
      <w:r>
        <w:rPr>
          <w:rFonts w:ascii="Times New Roman" w:hAnsi="Times New Roman"/>
          <w:b/>
          <w:sz w:val="24"/>
        </w:rPr>
        <w:t>V. PRAYER FOR RELIEF</w:t>
      </w:r>
    </w:p>
    <w:p>
      <w:pPr>
        <w:jc w:val="left"/>
      </w:pPr>
      <w:r>
        <w:rPr>
          <w:rFonts w:ascii="Times New Roman" w:hAnsi="Times New Roman"/>
          <w:b w:val="0"/>
          <w:i w:val="0"/>
          <w:sz w:val="24"/>
        </w:rPr>
        <w:t>WHEREFORE, Petitioner Andrew Pigors respectfully requests that this Honorable Court:</w:t>
      </w:r>
    </w:p>
    <w:p>
      <w:pPr>
        <w:jc w:val="left"/>
      </w:pPr>
      <w:r>
        <w:rPr>
          <w:rFonts w:ascii="Times New Roman" w:hAnsi="Times New Roman"/>
          <w:b w:val="0"/>
          <w:i w:val="0"/>
          <w:sz w:val="24"/>
        </w:rPr>
        <w:t xml:space="preserve">1. </w:t>
      </w:r>
      <w:r>
        <w:rPr>
          <w:rFonts w:ascii="Times New Roman" w:hAnsi="Times New Roman"/>
          <w:b w:val="0"/>
          <w:i w:val="0"/>
          <w:sz w:val="24"/>
        </w:rPr>
        <w:t>Issue a Writ of Habeas Corpus directing Respondent Emily A. Watson to produce the minor child;</w:t>
      </w:r>
    </w:p>
    <w:p>
      <w:pPr>
        <w:jc w:val="left"/>
      </w:pPr>
      <w:r>
        <w:rPr>
          <w:rFonts w:ascii="Times New Roman" w:hAnsi="Times New Roman"/>
          <w:b w:val="0"/>
          <w:i w:val="0"/>
          <w:sz w:val="24"/>
        </w:rPr>
        <w:t xml:space="preserve">2. </w:t>
      </w:r>
      <w:r>
        <w:rPr>
          <w:rFonts w:ascii="Times New Roman" w:hAnsi="Times New Roman"/>
          <w:b w:val="0"/>
          <w:i w:val="0"/>
          <w:sz w:val="24"/>
        </w:rPr>
        <w:t>Vacate or declare void the Personal Protection Orders entered in violation of MCL 600.2950a and MCR 3.708;</w:t>
      </w:r>
    </w:p>
    <w:p>
      <w:pPr>
        <w:jc w:val="left"/>
      </w:pPr>
      <w:r>
        <w:rPr>
          <w:rFonts w:ascii="Times New Roman" w:hAnsi="Times New Roman"/>
          <w:b w:val="0"/>
          <w:i w:val="0"/>
          <w:sz w:val="24"/>
        </w:rPr>
        <w:t xml:space="preserve">3. </w:t>
      </w:r>
      <w:r>
        <w:rPr>
          <w:rFonts w:ascii="Times New Roman" w:hAnsi="Times New Roman"/>
          <w:b w:val="0"/>
          <w:i w:val="0"/>
          <w:sz w:val="24"/>
        </w:rPr>
        <w:t>Restore Petitioner's parental rights and contact with the minor child pending further proceedings;</w:t>
      </w:r>
    </w:p>
    <w:p>
      <w:pPr>
        <w:jc w:val="left"/>
      </w:pPr>
      <w:r>
        <w:rPr>
          <w:rFonts w:ascii="Times New Roman" w:hAnsi="Times New Roman"/>
          <w:b w:val="0"/>
          <w:i w:val="0"/>
          <w:sz w:val="24"/>
        </w:rPr>
        <w:t xml:space="preserve">4. </w:t>
      </w:r>
      <w:r>
        <w:rPr>
          <w:rFonts w:ascii="Times New Roman" w:hAnsi="Times New Roman"/>
          <w:b w:val="0"/>
          <w:i w:val="0"/>
          <w:sz w:val="24"/>
        </w:rPr>
        <w:t>Enter such orders as are necessary to protect Petitioner's constitutional rights;</w:t>
      </w:r>
    </w:p>
    <w:p>
      <w:pPr>
        <w:jc w:val="left"/>
      </w:pPr>
      <w:r>
        <w:rPr>
          <w:rFonts w:ascii="Times New Roman" w:hAnsi="Times New Roman"/>
          <w:b w:val="0"/>
          <w:i w:val="0"/>
          <w:sz w:val="24"/>
        </w:rPr>
        <w:t xml:space="preserve">5. </w:t>
      </w:r>
      <w:r>
        <w:rPr>
          <w:rFonts w:ascii="Times New Roman" w:hAnsi="Times New Roman"/>
          <w:b w:val="0"/>
          <w:i w:val="0"/>
          <w:sz w:val="24"/>
        </w:rPr>
        <w:t>Award Petitioner costs and fees associated with this filing;</w:t>
      </w:r>
    </w:p>
    <w:p>
      <w:pPr>
        <w:jc w:val="left"/>
      </w:pPr>
      <w:r>
        <w:rPr>
          <w:rFonts w:ascii="Times New Roman" w:hAnsi="Times New Roman"/>
          <w:b w:val="0"/>
          <w:i w:val="0"/>
          <w:sz w:val="24"/>
        </w:rPr>
        <w:t xml:space="preserve">6. </w:t>
      </w:r>
      <w:r>
        <w:rPr>
          <w:rFonts w:ascii="Times New Roman" w:hAnsi="Times New Roman"/>
          <w:b w:val="0"/>
          <w:i w:val="0"/>
          <w:sz w:val="24"/>
        </w:rPr>
        <w:t>Grant such other and further relief as this Court deems just and equitable.</w:t>
      </w:r>
    </w:p>
    <w:p>
      <w:pPr>
        <w:jc w:val="left"/>
      </w:pPr>
      <w:r>
        <w:rPr>
          <w:rFonts w:ascii="Times New Roman" w:hAnsi="Times New Roman"/>
          <w:b w:val="0"/>
          <w:i w:val="0"/>
          <w:sz w:val="24"/>
        </w:rPr>
        <w:t>Respectfully submitted,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Pro Se Petitioner [Address] [Phone] [Email]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CERTIFICATE OF SERVICE</w:t>
      </w:r>
    </w:p>
    <w:p>
      <w:pPr>
        <w:jc w:val="left"/>
      </w:pPr>
      <w:r>
        <w:rPr>
          <w:rFonts w:ascii="Times New Roman" w:hAnsi="Times New Roman"/>
          <w:b w:val="0"/>
          <w:i w:val="0"/>
          <w:sz w:val="24"/>
        </w:rPr>
        <w:t xml:space="preserve">I hereby certify that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 20</w:t>
      </w:r>
      <w:r>
        <w:rPr>
          <w:rFonts w:ascii="Times New Roman" w:hAnsi="Times New Roman"/>
          <w:b w:val="0"/>
          <w:i w:val="0"/>
          <w:sz w:val="24"/>
        </w:rPr>
        <w:t>__, a true and correct copy of the foregoing PETITION FOR HABEAS CORPUS was served upon:</w:t>
      </w:r>
    </w:p>
    <w:p>
      <w:pPr>
        <w:jc w:val="left"/>
      </w:pPr>
      <w:r>
        <w:rPr>
          <w:rFonts w:ascii="Times New Roman" w:hAnsi="Times New Roman"/>
          <w:b w:val="0"/>
          <w:i w:val="0"/>
          <w:sz w:val="24"/>
        </w:rPr>
        <w:t>Emily A. Watson [Address on file]</w:t>
      </w:r>
    </w:p>
    <w:p>
      <w:pPr>
        <w:jc w:val="left"/>
      </w:pPr>
      <w:r>
        <w:rPr>
          <w:rFonts w:ascii="Times New Roman" w:hAnsi="Times New Roman"/>
          <w:b w:val="0"/>
          <w:i w:val="0"/>
          <w:sz w:val="24"/>
        </w:rPr>
        <w:t>via:</w:t>
      </w:r>
    </w:p>
    <w:p>
      <w:pPr>
        <w:spacing w:after="0"/>
        <w:jc w:val="left"/>
      </w:pPr>
      <w:r>
        <w:rPr>
          <w:rFonts w:ascii="Times New Roman" w:hAnsi="Times New Roman"/>
          <w:b w:val="0"/>
          <w:sz w:val="24"/>
        </w:rPr>
        <w:t>( ) First-class US Mail</w:t>
      </w:r>
    </w:p>
    <w:p>
      <w:pPr>
        <w:spacing w:after="0"/>
        <w:jc w:val="left"/>
      </w:pPr>
      <w:r>
        <w:rPr>
          <w:rFonts w:ascii="Times New Roman" w:hAnsi="Times New Roman"/>
          <w:b w:val="0"/>
          <w:sz w:val="24"/>
        </w:rPr>
        <w:t>( ) Personal Service</w:t>
      </w:r>
    </w:p>
    <w:p>
      <w:pPr>
        <w:spacing w:after="0"/>
        <w:jc w:val="left"/>
      </w:pPr>
      <w:r>
        <w:rPr>
          <w:rFonts w:ascii="Times New Roman" w:hAnsi="Times New Roman"/>
          <w:b w:val="0"/>
          <w:sz w:val="24"/>
        </w:rPr>
        <w:t>( ) Electronic Filing (MiFILE)</w:t>
      </w:r>
    </w:p>
    <w:p>
      <w:pPr>
        <w:spacing w:after="0"/>
        <w:jc w:val="left"/>
      </w:pPr>
      <w:r>
        <w:rPr>
          <w:rFonts w:ascii="Times New Roman" w:hAnsi="Times New Roman"/>
          <w:b w:val="0"/>
          <w:sz w:val="24"/>
        </w:rPr>
        <w:t>( ) Certified Mail, Return Receipt Requested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