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val="0"/>
          <w:sz w:val="24"/>
        </w:rPr>
        <w:t>IN THE SUPREME COURT</w:t>
      </w:r>
      <w:spacing w:line="240" w:lineRule="auto"/>
    </w:p>
    <w:p>
      <w:pPr>
        <w:spacing w:after="0"/>
        <w:jc w:val="center"/>
      </w:pPr>
      <w:r>
        <w:rPr>
          <w:rFonts w:ascii="Times New Roman" w:hAnsi="Times New Roman"/>
          <w:b w:val="0"/>
          <w:sz w:val="24"/>
        </w:rPr>
        <w:t>STATE OF MICHIGAN</w:t>
      </w:r>
      <w:spacing w:line="240" w:lineRule="auto"/>
    </w:p>
    <w:p>
      <w:pPr>
        <w:spacing w:after="0"/>
        <w:jc w:val="center"/>
      </w:pPr>
      <w:r>
        <w:rPr>
          <w:rFonts w:ascii="Times New Roman" w:hAnsi="Times New Roman"/>
          <w:b w:val="0"/>
          <w:sz w:val="24"/>
        </w:rPr>
      </w:r>
      <w:spacing w:line="240" w:lineRule="auto"/>
    </w:p>
    <w:p>
      <w:pPr>
        <w:spacing w:after="0"/>
        <w:jc w:val="center"/>
      </w:pPr>
      <w:r>
        <w:rPr>
          <w:rFonts w:ascii="Times New Roman" w:hAnsi="Times New Roman"/>
          <w:b w:val="0"/>
          <w:sz w:val="24"/>
        </w:rPr>
        <w:t>ANDREW PIGORS,</w:t>
      </w:r>
      <w:spacing w:line="240" w:lineRule="auto"/>
    </w:p>
    <w:p>
      <w:pPr>
        <w:spacing w:after="0"/>
        <w:jc w:val="center"/>
      </w:pPr>
      <w:r>
        <w:rPr>
          <w:rFonts w:ascii="Times New Roman" w:hAnsi="Times New Roman"/>
          <w:b w:val="0"/>
          <w:sz w:val="24"/>
        </w:rPr>
        <w:t>Plaintiff,                          MSC Case No. __________</w:t>
      </w:r>
      <w:spacing w:line="240" w:lineRule="auto"/>
    </w:p>
    <w:p>
      <w:pPr>
        <w:spacing w:after="0"/>
        <w:jc w:val="center"/>
      </w:pPr>
      <w:r>
        <w:rPr>
          <w:rFonts w:ascii="Times New Roman" w:hAnsi="Times New Roman"/>
          <w:b w:val="0"/>
          <w:sz w:val="24"/>
        </w:rPr>
      </w:r>
      <w:spacing w:line="240" w:lineRule="auto"/>
    </w:p>
    <w:p>
      <w:pPr>
        <w:spacing w:after="0"/>
        <w:jc w:val="center"/>
      </w:pPr>
      <w:r>
        <w:rPr>
          <w:rFonts w:ascii="Times New Roman" w:hAnsi="Times New Roman"/>
          <w:b w:val="0"/>
          <w:sz w:val="24"/>
        </w:rPr>
        <w:t>v                                       14th Circuit Case No. 2024-1507-DC</w:t>
      </w:r>
      <w:spacing w:line="240" w:lineRule="auto"/>
    </w:p>
    <w:p>
      <w:pPr>
        <w:spacing w:after="0"/>
        <w:jc w:val="center"/>
      </w:pPr>
      <w:r>
        <w:rPr>
          <w:rFonts w:ascii="Times New Roman" w:hAnsi="Times New Roman"/>
          <w:b w:val="0"/>
          <w:sz w:val="24"/>
        </w:rPr>
      </w:r>
      <w:spacing w:line="240" w:lineRule="auto"/>
    </w:p>
    <w:p>
      <w:pPr>
        <w:spacing w:after="0"/>
        <w:jc w:val="center"/>
      </w:pPr>
      <w:r>
        <w:rPr>
          <w:rFonts w:ascii="Times New Roman" w:hAnsi="Times New Roman"/>
          <w:b w:val="0"/>
          <w:sz w:val="24"/>
        </w:rPr>
        <w:t>HON. JENNY L. McNEILL,</w:t>
      </w:r>
      <w:spacing w:line="240" w:lineRule="auto"/>
    </w:p>
    <w:p>
      <w:pPr>
        <w:spacing w:after="0"/>
        <w:jc w:val="center"/>
      </w:pPr>
      <w:r>
        <w:rPr>
          <w:rFonts w:ascii="Times New Roman" w:hAnsi="Times New Roman"/>
          <w:b w:val="0"/>
          <w:sz w:val="24"/>
        </w:rPr>
        <w:t>14th Circuit Court Judge,</w:t>
      </w:r>
      <w:spacing w:line="240" w:lineRule="auto"/>
    </w:p>
    <w:p>
      <w:pPr>
        <w:spacing w:after="0"/>
        <w:jc w:val="center"/>
      </w:pPr>
      <w:r>
        <w:rPr>
          <w:rFonts w:ascii="Times New Roman" w:hAnsi="Times New Roman"/>
          <w:b w:val="0"/>
          <w:sz w:val="24"/>
        </w:rPr>
        <w:t>Respondent,</w:t>
      </w:r>
      <w:spacing w:line="240" w:lineRule="auto"/>
    </w:p>
    <w:p>
      <w:pPr>
        <w:spacing w:after="0"/>
        <w:jc w:val="center"/>
      </w:pPr>
      <w:r>
        <w:rPr>
          <w:rFonts w:ascii="Times New Roman" w:hAnsi="Times New Roman"/>
          <w:b w:val="0"/>
          <w:sz w:val="24"/>
        </w:rPr>
      </w:r>
      <w:spacing w:line="240" w:lineRule="auto"/>
    </w:p>
    <w:p>
      <w:pPr>
        <w:spacing w:after="0"/>
        <w:jc w:val="center"/>
      </w:pPr>
      <w:r>
        <w:rPr>
          <w:rFonts w:ascii="Times New Roman" w:hAnsi="Times New Roman"/>
          <w:b w:val="0"/>
          <w:sz w:val="24"/>
        </w:rPr>
        <w:t>and</w:t>
      </w:r>
      <w:spacing w:line="240" w:lineRule="auto"/>
    </w:p>
    <w:p>
      <w:pPr>
        <w:spacing w:after="0"/>
        <w:jc w:val="center"/>
      </w:pPr>
      <w:r>
        <w:rPr>
          <w:rFonts w:ascii="Times New Roman" w:hAnsi="Times New Roman"/>
          <w:b w:val="0"/>
          <w:sz w:val="24"/>
        </w:rPr>
      </w:r>
      <w:spacing w:line="240" w:lineRule="auto"/>
    </w:p>
    <w:p>
      <w:pPr>
        <w:spacing w:after="0"/>
        <w:jc w:val="center"/>
      </w:pPr>
      <w:r>
        <w:rPr>
          <w:rFonts w:ascii="Times New Roman" w:hAnsi="Times New Roman"/>
          <w:b w:val="0"/>
          <w:sz w:val="24"/>
        </w:rPr>
        <w:t>EMILY A. WATSON,</w:t>
      </w:r>
      <w:spacing w:line="240" w:lineRule="auto"/>
    </w:p>
    <w:p>
      <w:pPr>
        <w:spacing w:after="0"/>
        <w:jc w:val="center"/>
      </w:pPr>
      <w:r>
        <w:rPr>
          <w:rFonts w:ascii="Times New Roman" w:hAnsi="Times New Roman"/>
          <w:b w:val="0"/>
          <w:sz w:val="24"/>
        </w:rPr>
        <w:t>Real Party in Interest.</w:t>
      </w:r>
      <w:spacing w:line="240" w:lineRule="auto"/>
    </w:p>
    <w:p>
      <w:pPr>
        <w:spacing w:after="0"/>
        <w:jc w:val="center"/>
      </w:pPr>
      <w:r>
        <w:rPr>
          <w:rFonts w:ascii="Times New Roman" w:hAnsi="Times New Roman"/>
          <w:b w:val="0"/>
          <w:sz w:val="24"/>
        </w:rPr>
        <w:t>_______________________________________________/</w:t>
      </w:r>
      <w:spacing w:line="240" w:lineRule="auto"/>
    </w:p>
    <w:p>
      <w:pPr>
        <w:spacing w:after="0"/>
        <w:jc w:val="center"/>
      </w:pPr>
      <w:r>
        <w:rPr>
          <w:rFonts w:ascii="Times New Roman" w:hAnsi="Times New Roman"/>
          <w:b w:val="0"/>
          <w:sz w:val="24"/>
        </w:rPr>
      </w:r>
      <w:spacing w:line="240" w:lineRule="auto"/>
    </w:p>
    <w:p/>
    <w:p>
      <w:pPr>
        <w:spacing w:after="120"/>
        <w:jc w:val="center"/>
      </w:pPr>
      <w:r>
        <w:rPr>
          <w:rFonts w:ascii="Times New Roman" w:hAnsi="Times New Roman"/>
          <w:b/>
          <w:sz w:val="24"/>
        </w:rPr>
        <w:t>COMPLAINT FOR WRIT OF MANDAMUS</w:t>
      </w:r>
    </w:p>
    <w:p>
      <w:pPr>
        <w:spacing w:after="120"/>
        <w:jc w:val="center"/>
      </w:pPr>
      <w:r>
        <w:rPr>
          <w:rFonts w:ascii="Times New Roman" w:hAnsi="Times New Roman"/>
          <w:b/>
          <w:sz w:val="24"/>
        </w:rPr>
        <w:t>I. INTRODUCTION</w:t>
      </w:r>
    </w:p>
    <w:p>
      <w:pPr>
        <w:jc w:val="left"/>
      </w:pPr>
      <w:r>
        <w:rPr>
          <w:rFonts w:ascii="Times New Roman" w:hAnsi="Times New Roman"/>
          <w:b w:val="0"/>
          <w:i w:val="0"/>
          <w:sz w:val="24"/>
        </w:rPr>
        <w:t>Plaintiff Andrew Pigors, appearing pro se, respectfully files this Complaint for Writ of Mandamus pursuant to MCR 3.305 and Const 1963, Art 6, § 4, and requests that this Honorable Court issue a writ compelling Respondent, the Honorable Jenny L. McNeill, to perform clear legal duties she has refused to perform in 14th Circuit Court Case No. 2024-1507-DC.</w:t>
      </w:r>
    </w:p>
    <w:p>
      <w:pPr>
        <w:jc w:val="left"/>
      </w:pPr>
      <w:r>
        <w:rPr>
          <w:rFonts w:ascii="Times New Roman" w:hAnsi="Times New Roman"/>
          <w:b w:val="0"/>
          <w:i w:val="0"/>
          <w:sz w:val="24"/>
        </w:rPr>
        <w:t>Specifically, Plaintiff seeks an order compelling Respondent to: (1) conduct hearings on properly filed motions as required by MCR 2.119; (2) follow the disqualification procedures mandated by MCR 2.003; (3) provide due process in custody proceedings as required by law; and (4) conduct the best-interests-of-the-child analysis mandated by MCL 722.23.</w:t>
      </w:r>
    </w:p>
    <w:p>
      <w:pPr>
        <w:jc w:val="left"/>
      </w:pPr>
      <w:r>
        <w:rPr>
          <w:rFonts w:ascii="Times New Roman" w:hAnsi="Times New Roman"/>
          <w:b w:val="0"/>
          <w:i w:val="0"/>
          <w:sz w:val="24"/>
        </w:rPr>
        <w:t>This Complaint is supported by the attached evidence, legal authority cited herein, and the entire record of the proceedings below.</w:t>
      </w:r>
    </w:p>
    <w:p>
      <w:pPr>
        <w:spacing w:after="120"/>
        <w:jc w:val="center"/>
      </w:pPr>
      <w:r>
        <w:rPr>
          <w:rFonts w:ascii="Times New Roman" w:hAnsi="Times New Roman"/>
          <w:b/>
          <w:sz w:val="24"/>
        </w:rPr>
        <w:t>II. STATEMENT OF FACTS</w:t>
      </w:r>
    </w:p>
    <w:p>
      <w:pPr>
        <w:jc w:val="left"/>
      </w:pPr>
      <w:r>
        <w:rPr>
          <w:rFonts w:ascii="Times New Roman" w:hAnsi="Times New Roman"/>
          <w:b w:val="0"/>
          <w:i w:val="0"/>
          <w:sz w:val="24"/>
        </w:rPr>
        <w:t xml:space="preserve">1. </w:t>
      </w:r>
      <w:r>
        <w:rPr>
          <w:rFonts w:ascii="Times New Roman" w:hAnsi="Times New Roman"/>
          <w:b w:val="0"/>
          <w:i w:val="0"/>
          <w:sz w:val="24"/>
        </w:rPr>
        <w:t xml:space="preserve">This action arises from custody proceedings in 14th Circuit Court Case No. 2024-1507-DC, </w:t>
      </w:r>
      <w:r>
        <w:rPr>
          <w:rFonts w:ascii="Times New Roman" w:hAnsi="Times New Roman"/>
          <w:b w:val="0"/>
          <w:i/>
          <w:sz w:val="24"/>
        </w:rPr>
        <w:t>Pigors v Watson</w:t>
      </w:r>
      <w:r>
        <w:rPr>
          <w:rFonts w:ascii="Times New Roman" w:hAnsi="Times New Roman"/>
          <w:b w:val="0"/>
          <w:i w:val="0"/>
          <w:sz w:val="24"/>
        </w:rPr>
        <w:t>, assigned to Respondent Judge Jenny L. McNeill.</w:t>
      </w:r>
    </w:p>
    <w:p>
      <w:pPr>
        <w:jc w:val="left"/>
      </w:pPr>
      <w:r>
        <w:rPr>
          <w:rFonts w:ascii="Times New Roman" w:hAnsi="Times New Roman"/>
          <w:b w:val="0"/>
          <w:i w:val="0"/>
          <w:sz w:val="24"/>
        </w:rPr>
        <w:t xml:space="preserve">2. </w:t>
      </w:r>
      <w:r>
        <w:rPr>
          <w:rFonts w:ascii="Times New Roman" w:hAnsi="Times New Roman"/>
          <w:b w:val="0"/>
          <w:i w:val="0"/>
          <w:sz w:val="24"/>
        </w:rPr>
        <w:t xml:space="preserve">Plaintiff has been separated from his child for more than </w:t>
      </w:r>
      <w:r>
        <w:rPr>
          <w:rFonts w:ascii="Times New Roman" w:hAnsi="Times New Roman"/>
          <w:b/>
          <w:i w:val="0"/>
          <w:sz w:val="24"/>
        </w:rPr>
        <w:t>209 consecutive days</w:t>
      </w:r>
      <w:r>
        <w:rPr>
          <w:rFonts w:ascii="Times New Roman" w:hAnsi="Times New Roman"/>
          <w:b w:val="0"/>
          <w:i w:val="0"/>
          <w:sz w:val="24"/>
        </w:rPr>
        <w:t xml:space="preserve"> since August 8, 2025, with no meaningful contact. No court order supported by properly considered best-interest findings under MCL 722.23 supports this separation.</w:t>
      </w:r>
    </w:p>
    <w:p>
      <w:pPr>
        <w:jc w:val="left"/>
      </w:pPr>
      <w:r>
        <w:rPr>
          <w:rFonts w:ascii="Times New Roman" w:hAnsi="Times New Roman"/>
          <w:b w:val="0"/>
          <w:i w:val="0"/>
          <w:sz w:val="24"/>
        </w:rPr>
        <w:t xml:space="preserve">3. </w:t>
      </w:r>
      <w:r>
        <w:rPr>
          <w:rFonts w:ascii="Times New Roman" w:hAnsi="Times New Roman"/>
          <w:b w:val="0"/>
          <w:i w:val="0"/>
          <w:sz w:val="24"/>
        </w:rPr>
        <w:t xml:space="preserve">On </w:t>
      </w:r>
      <w:r>
        <w:rPr>
          <w:rFonts w:ascii="Times New Roman" w:hAnsi="Times New Roman"/>
          <w:b/>
          <w:i w:val="0"/>
          <w:sz w:val="24"/>
        </w:rPr>
        <w:t>August 15, 2025</w:t>
      </w:r>
      <w:r>
        <w:rPr>
          <w:rFonts w:ascii="Times New Roman" w:hAnsi="Times New Roman"/>
          <w:b w:val="0"/>
          <w:i w:val="0"/>
          <w:sz w:val="24"/>
        </w:rPr>
        <w:t>, Plaintiff filed a properly noticed motion in Case No. 2024-1507-DC. Respondent denied the motion without conducting any hearing and without providing Plaintiff any opportunity to present evidence or argument.</w:t>
      </w:r>
    </w:p>
    <w:p>
      <w:pPr>
        <w:jc w:val="left"/>
      </w:pPr>
      <w:r>
        <w:rPr>
          <w:rFonts w:ascii="Times New Roman" w:hAnsi="Times New Roman"/>
          <w:b w:val="0"/>
          <w:i w:val="0"/>
          <w:sz w:val="24"/>
        </w:rPr>
        <w:t xml:space="preserve">4. </w:t>
      </w:r>
      <w:r>
        <w:rPr>
          <w:rFonts w:ascii="Times New Roman" w:hAnsi="Times New Roman"/>
          <w:b w:val="0"/>
          <w:i w:val="0"/>
          <w:sz w:val="24"/>
        </w:rPr>
        <w:t xml:space="preserve">On </w:t>
      </w:r>
      <w:r>
        <w:rPr>
          <w:rFonts w:ascii="Times New Roman" w:hAnsi="Times New Roman"/>
          <w:b/>
          <w:i w:val="0"/>
          <w:sz w:val="24"/>
        </w:rPr>
        <w:t>August 25, 2025</w:t>
      </w:r>
      <w:r>
        <w:rPr>
          <w:rFonts w:ascii="Times New Roman" w:hAnsi="Times New Roman"/>
          <w:b w:val="0"/>
          <w:i w:val="0"/>
          <w:sz w:val="24"/>
        </w:rPr>
        <w:t>, Plaintiff filed a second properly noticed motion. Respondent again denied the motion without hearing, continuing the pattern of summary denial without due process.</w:t>
      </w:r>
    </w:p>
    <w:p>
      <w:pPr>
        <w:jc w:val="left"/>
      </w:pPr>
      <w:r>
        <w:rPr>
          <w:rFonts w:ascii="Times New Roman" w:hAnsi="Times New Roman"/>
          <w:b w:val="0"/>
          <w:i w:val="0"/>
          <w:sz w:val="24"/>
        </w:rPr>
        <w:t xml:space="preserve">5. </w:t>
      </w:r>
      <w:r>
        <w:rPr>
          <w:rFonts w:ascii="Times New Roman" w:hAnsi="Times New Roman"/>
          <w:b w:val="0"/>
          <w:i w:val="0"/>
          <w:sz w:val="24"/>
        </w:rPr>
        <w:t xml:space="preserve">On </w:t>
      </w:r>
      <w:r>
        <w:rPr>
          <w:rFonts w:ascii="Times New Roman" w:hAnsi="Times New Roman"/>
          <w:b/>
          <w:i w:val="0"/>
          <w:sz w:val="24"/>
        </w:rPr>
        <w:t>January 10, 2026</w:t>
      </w:r>
      <w:r>
        <w:rPr>
          <w:rFonts w:ascii="Times New Roman" w:hAnsi="Times New Roman"/>
          <w:b w:val="0"/>
          <w:i w:val="0"/>
          <w:sz w:val="24"/>
        </w:rPr>
        <w:t>, Plaintiff filed a third motion. Respondent denied this motion without hearing for a third time. At no point has Respondent held a hearing on any motion filed by Plaintiff.</w:t>
      </w:r>
    </w:p>
    <w:p>
      <w:pPr>
        <w:jc w:val="left"/>
      </w:pPr>
      <w:r>
        <w:rPr>
          <w:rFonts w:ascii="Times New Roman" w:hAnsi="Times New Roman"/>
          <w:b w:val="0"/>
          <w:i w:val="0"/>
          <w:sz w:val="24"/>
        </w:rPr>
        <w:t xml:space="preserve">6. </w:t>
      </w:r>
      <w:r>
        <w:rPr>
          <w:rFonts w:ascii="Times New Roman" w:hAnsi="Times New Roman"/>
          <w:b w:val="0"/>
          <w:i w:val="0"/>
          <w:sz w:val="24"/>
        </w:rPr>
        <w:t xml:space="preserve">The trial court record reflects a documented pattern of "ex parte handling, unequal treatment of evidence, and hostile commentary" by Respondent directed toward Plaintiff. </w:t>
      </w:r>
      <w:r>
        <w:rPr>
          <w:rFonts w:ascii="Times New Roman" w:hAnsi="Times New Roman"/>
          <w:b w:val="0"/>
          <w:i/>
          <w:sz w:val="24"/>
        </w:rPr>
        <w:t>See</w:t>
      </w:r>
      <w:r>
        <w:rPr>
          <w:rFonts w:ascii="Times New Roman" w:hAnsi="Times New Roman"/>
          <w:b w:val="0"/>
          <w:i w:val="0"/>
          <w:sz w:val="24"/>
        </w:rPr>
        <w:t xml:space="preserve"> Case Record, 14th Circuit Case No. 2024-1507-DC.</w:t>
      </w:r>
    </w:p>
    <w:p>
      <w:pPr>
        <w:jc w:val="left"/>
      </w:pPr>
      <w:r>
        <w:rPr>
          <w:rFonts w:ascii="Times New Roman" w:hAnsi="Times New Roman"/>
          <w:b w:val="0"/>
          <w:i w:val="0"/>
          <w:sz w:val="24"/>
        </w:rPr>
        <w:t xml:space="preserve">7. </w:t>
      </w:r>
      <w:r>
        <w:rPr>
          <w:rFonts w:ascii="Times New Roman" w:hAnsi="Times New Roman"/>
          <w:b w:val="0"/>
          <w:i w:val="0"/>
          <w:sz w:val="24"/>
        </w:rPr>
        <w:t xml:space="preserve">Analysis of the complete case record documents </w:t>
      </w:r>
      <w:r>
        <w:rPr>
          <w:rFonts w:ascii="Times New Roman" w:hAnsi="Times New Roman"/>
          <w:b/>
          <w:i w:val="0"/>
          <w:sz w:val="24"/>
        </w:rPr>
        <w:t>1,127 judicial violations</w:t>
      </w:r>
      <w:r>
        <w:rPr>
          <w:rFonts w:ascii="Times New Roman" w:hAnsi="Times New Roman"/>
          <w:b w:val="0"/>
          <w:i w:val="0"/>
          <w:sz w:val="24"/>
        </w:rPr>
        <w:t xml:space="preserve"> across these proceedings, including:</w:t>
      </w:r>
    </w:p>
    <w:p>
      <w:pPr>
        <w:jc w:val="left"/>
      </w:pPr>
      <w:r>
        <w:rPr>
          <w:rFonts w:ascii="Times New Roman" w:hAnsi="Times New Roman"/>
          <w:b/>
          <w:i w:val="0"/>
          <w:sz w:val="24"/>
        </w:rPr>
        <w:t>482 ex parte violations</w:t>
      </w:r>
      <w:r>
        <w:rPr>
          <w:rFonts w:ascii="Times New Roman" w:hAnsi="Times New Roman"/>
          <w:b w:val="0"/>
          <w:i w:val="0"/>
          <w:sz w:val="24"/>
        </w:rPr>
        <w:t>, reflecting proceedings and communications outside Plaintiff's presence or knowledge;</w:t>
      </w:r>
    </w:p>
    <w:p>
      <w:pPr>
        <w:jc w:val="left"/>
      </w:pPr>
      <w:r>
        <w:rPr>
          <w:rFonts w:ascii="Times New Roman" w:hAnsi="Times New Roman"/>
          <w:b/>
          <w:i w:val="0"/>
          <w:sz w:val="24"/>
        </w:rPr>
        <w:t>167 instances</w:t>
      </w:r>
      <w:r>
        <w:rPr>
          <w:rFonts w:ascii="Times New Roman" w:hAnsi="Times New Roman"/>
          <w:b w:val="0"/>
          <w:i w:val="0"/>
          <w:sz w:val="24"/>
        </w:rPr>
        <w:t xml:space="preserve"> warranting disqualification under MCR 2.003, including documented bias, prejudgment, and hostile commentary;</w:t>
      </w:r>
    </w:p>
    <w:p>
      <w:pPr>
        <w:jc w:val="left"/>
      </w:pPr>
      <w:r>
        <w:rPr>
          <w:rFonts w:ascii="Times New Roman" w:hAnsi="Times New Roman"/>
          <w:b/>
          <w:i w:val="0"/>
          <w:sz w:val="24"/>
        </w:rPr>
        <w:t>161 instances</w:t>
      </w:r>
      <w:r>
        <w:rPr>
          <w:rFonts w:ascii="Times New Roman" w:hAnsi="Times New Roman"/>
          <w:b w:val="0"/>
          <w:i w:val="0"/>
          <w:sz w:val="24"/>
        </w:rPr>
        <w:t xml:space="preserve"> of procedural misconduct, including systematic denial of motions without hearing;</w:t>
      </w:r>
    </w:p>
    <w:p>
      <w:pPr>
        <w:jc w:val="left"/>
      </w:pPr>
      <w:r>
        <w:rPr>
          <w:rFonts w:ascii="Times New Roman" w:hAnsi="Times New Roman"/>
          <w:b/>
          <w:i w:val="0"/>
          <w:sz w:val="24"/>
        </w:rPr>
        <w:t>126 violations</w:t>
      </w:r>
      <w:r>
        <w:rPr>
          <w:rFonts w:ascii="Times New Roman" w:hAnsi="Times New Roman"/>
          <w:b w:val="0"/>
          <w:i w:val="0"/>
          <w:sz w:val="24"/>
        </w:rPr>
        <w:t xml:space="preserve"> related to Personal Protection Order proceedings;</w:t>
      </w:r>
    </w:p>
    <w:p>
      <w:pPr>
        <w:jc w:val="left"/>
      </w:pPr>
      <w:r>
        <w:rPr>
          <w:rFonts w:ascii="Times New Roman" w:hAnsi="Times New Roman"/>
          <w:b/>
          <w:i w:val="0"/>
          <w:sz w:val="24"/>
        </w:rPr>
        <w:t>105 notice violations</w:t>
      </w:r>
      <w:r>
        <w:rPr>
          <w:rFonts w:ascii="Times New Roman" w:hAnsi="Times New Roman"/>
          <w:b w:val="0"/>
          <w:i w:val="0"/>
          <w:sz w:val="24"/>
        </w:rPr>
        <w:t>, depriving Plaintiff of the opportunity to be heard.</w:t>
      </w:r>
    </w:p>
    <w:p>
      <w:pPr>
        <w:jc w:val="left"/>
      </w:pPr>
      <w:r>
        <w:rPr>
          <w:rFonts w:ascii="Times New Roman" w:hAnsi="Times New Roman"/>
          <w:b w:val="0"/>
          <w:i w:val="0"/>
          <w:sz w:val="24"/>
        </w:rPr>
        <w:t xml:space="preserve">Of these, </w:t>
      </w:r>
      <w:r>
        <w:rPr>
          <w:rFonts w:ascii="Times New Roman" w:hAnsi="Times New Roman"/>
          <w:b/>
          <w:i w:val="0"/>
          <w:sz w:val="24"/>
        </w:rPr>
        <w:t>377 are classified as critical severity</w:t>
      </w:r>
      <w:r>
        <w:rPr>
          <w:rFonts w:ascii="Times New Roman" w:hAnsi="Times New Roman"/>
          <w:b w:val="0"/>
          <w:i w:val="0"/>
          <w:sz w:val="24"/>
        </w:rPr>
        <w:t>.</w:t>
      </w:r>
    </w:p>
    <w:p>
      <w:pPr>
        <w:jc w:val="left"/>
      </w:pPr>
      <w:r>
        <w:rPr>
          <w:rFonts w:ascii="Times New Roman" w:hAnsi="Times New Roman"/>
          <w:b w:val="0"/>
          <w:i w:val="0"/>
          <w:sz w:val="24"/>
        </w:rPr>
        <w:t xml:space="preserve">8. </w:t>
      </w:r>
      <w:r>
        <w:rPr>
          <w:rFonts w:ascii="Times New Roman" w:hAnsi="Times New Roman"/>
          <w:b w:val="0"/>
          <w:i w:val="0"/>
          <w:sz w:val="24"/>
        </w:rPr>
        <w:t>Respondent has not conducted any best-interests analysis under MCL 722.23 during the 209+ day period of separation, despite this being a mandatory statutory requirement in custody proceedings.</w:t>
      </w:r>
    </w:p>
    <w:p>
      <w:pPr>
        <w:jc w:val="left"/>
      </w:pPr>
      <w:r>
        <w:rPr>
          <w:rFonts w:ascii="Times New Roman" w:hAnsi="Times New Roman"/>
          <w:b w:val="0"/>
          <w:i w:val="0"/>
          <w:sz w:val="24"/>
        </w:rPr>
        <w:t xml:space="preserve">9. </w:t>
      </w:r>
      <w:r>
        <w:rPr>
          <w:rFonts w:ascii="Times New Roman" w:hAnsi="Times New Roman"/>
          <w:b w:val="0"/>
          <w:i w:val="0"/>
          <w:sz w:val="24"/>
        </w:rPr>
        <w:t>Despite multiple grounds warranting disqualification under MCR 2.003 — including 167 documented instances of bias, prejudgment, and hostile commentary — Respondent has not recused herself and has not followed the disqualification procedures required by MCR 2.003.</w:t>
      </w:r>
    </w:p>
    <w:p>
      <w:pPr>
        <w:jc w:val="left"/>
      </w:pPr>
      <w:r>
        <w:rPr>
          <w:rFonts w:ascii="Times New Roman" w:hAnsi="Times New Roman"/>
          <w:b w:val="0"/>
          <w:i w:val="0"/>
          <w:sz w:val="24"/>
        </w:rPr>
        <w:t xml:space="preserve">10. </w:t>
      </w:r>
      <w:r>
        <w:rPr>
          <w:rFonts w:ascii="Times New Roman" w:hAnsi="Times New Roman"/>
          <w:b w:val="0"/>
          <w:i w:val="0"/>
          <w:sz w:val="24"/>
        </w:rPr>
        <w:t>Plaintiff's appeal is pending before the Michigan Court of Appeals as Case No. 366810. However, the appellate process cannot compel Respondent to perform the ministerial duties she has refused to perform. A complaint has also been filed with the Judicial Tenure Commission, which lacks authority to enter remedial orders.</w:t>
      </w:r>
    </w:p>
    <w:p>
      <w:pPr>
        <w:spacing w:after="120"/>
        <w:jc w:val="center"/>
      </w:pPr>
      <w:r>
        <w:rPr>
          <w:rFonts w:ascii="Times New Roman" w:hAnsi="Times New Roman"/>
          <w:b/>
          <w:sz w:val="24"/>
        </w:rPr>
        <w:t>III. LEGAL AUTHORITY</w:t>
      </w:r>
    </w:p>
    <w:p>
      <w:pPr>
        <w:jc w:val="left"/>
      </w:pPr>
      <w:r>
        <w:rPr>
          <w:rFonts w:ascii="Times New Roman" w:hAnsi="Times New Roman"/>
          <w:b/>
          <w:i w:val="0"/>
          <w:sz w:val="24"/>
        </w:rPr>
        <w:t>Const 1963, Art 6, § 4</w:t>
      </w:r>
      <w:r>
        <w:rPr>
          <w:rFonts w:ascii="Times New Roman" w:hAnsi="Times New Roman"/>
          <w:b w:val="0"/>
          <w:i w:val="0"/>
          <w:sz w:val="24"/>
        </w:rPr>
        <w:t xml:space="preserve"> — "The supreme court shall have general superintending control over all courts; power to issue, hear and determine prerogative and remedial writs." This constitutional provision vests the Michigan Supreme Court with the power to issue writs of mandamus compelling lower court judges to perform their legal duties.</w:t>
      </w:r>
    </w:p>
    <w:p>
      <w:pPr>
        <w:jc w:val="left"/>
      </w:pPr>
      <w:r>
        <w:rPr>
          <w:rFonts w:ascii="Times New Roman" w:hAnsi="Times New Roman"/>
          <w:b/>
          <w:i w:val="0"/>
          <w:sz w:val="24"/>
        </w:rPr>
        <w:t>MCR 3.305</w:t>
      </w:r>
      <w:r>
        <w:rPr>
          <w:rFonts w:ascii="Times New Roman" w:hAnsi="Times New Roman"/>
          <w:b w:val="0"/>
          <w:i w:val="0"/>
          <w:sz w:val="24"/>
        </w:rPr>
        <w:t xml:space="preserve"> — Governs mandamus actions in Michigan. Establishes that mandamus is appropriate to compel the performance of a duty specifically enjoined by law when the party seeking relief has a clear legal right, the respondent has a clear legal duty, and the act sought to be compelled is ministerial in nature.</w:t>
      </w:r>
    </w:p>
    <w:p>
      <w:pPr>
        <w:jc w:val="left"/>
      </w:pPr>
      <w:r>
        <w:rPr>
          <w:rFonts w:ascii="Times New Roman" w:hAnsi="Times New Roman"/>
          <w:b/>
          <w:i w:val="0"/>
          <w:sz w:val="24"/>
        </w:rPr>
        <w:t>MCR 7.304</w:t>
      </w:r>
      <w:r>
        <w:rPr>
          <w:rFonts w:ascii="Times New Roman" w:hAnsi="Times New Roman"/>
          <w:b w:val="0"/>
          <w:i w:val="0"/>
          <w:sz w:val="24"/>
        </w:rPr>
        <w:t xml:space="preserve"> — Governs original proceedings in the Michigan Supreme Court, including complaints for mandamus. Provides the procedural framework for invoking this Court's original jurisdiction to issue extraordinary writs.</w:t>
      </w:r>
    </w:p>
    <w:p>
      <w:pPr>
        <w:jc w:val="left"/>
      </w:pPr>
      <w:r>
        <w:rPr>
          <w:rFonts w:ascii="Times New Roman" w:hAnsi="Times New Roman"/>
          <w:b/>
          <w:i w:val="0"/>
          <w:sz w:val="24"/>
        </w:rPr>
        <w:t>MCR 2.119</w:t>
      </w:r>
      <w:r>
        <w:rPr>
          <w:rFonts w:ascii="Times New Roman" w:hAnsi="Times New Roman"/>
          <w:b w:val="0"/>
          <w:i w:val="0"/>
          <w:sz w:val="24"/>
        </w:rPr>
        <w:t xml:space="preserve"> — Establishes requirements for motion practice, including the requirement that courts schedule and hold hearings on properly filed motions. This rule imposes a clear ministerial duty to afford parties the opportunity to be heard before a court rules on their motions.</w:t>
      </w:r>
    </w:p>
    <w:p>
      <w:pPr>
        <w:jc w:val="left"/>
      </w:pPr>
      <w:r>
        <w:rPr>
          <w:rFonts w:ascii="Times New Roman" w:hAnsi="Times New Roman"/>
          <w:b/>
          <w:i w:val="0"/>
          <w:sz w:val="24"/>
        </w:rPr>
        <w:t>MCR 2.003</w:t>
      </w:r>
      <w:r>
        <w:rPr>
          <w:rFonts w:ascii="Times New Roman" w:hAnsi="Times New Roman"/>
          <w:b w:val="0"/>
          <w:i w:val="0"/>
          <w:sz w:val="24"/>
        </w:rPr>
        <w:t xml:space="preserve"> — Sets forth the standards and procedures for judicial disqualification, including mandatory disqualification for bias or prejudice. When grounds for disqualification exist, the judge has a clear legal duty to follow the disqualification procedure, including referral to the chief judge. This duty is ministerial, not discretionary.</w:t>
      </w:r>
    </w:p>
    <w:p>
      <w:pPr>
        <w:jc w:val="left"/>
      </w:pPr>
      <w:r>
        <w:rPr>
          <w:rFonts w:ascii="Times New Roman" w:hAnsi="Times New Roman"/>
          <w:b/>
          <w:i w:val="0"/>
          <w:sz w:val="24"/>
        </w:rPr>
        <w:t>MCL 722.23</w:t>
      </w:r>
      <w:r>
        <w:rPr>
          <w:rFonts w:ascii="Times New Roman" w:hAnsi="Times New Roman"/>
          <w:b w:val="0"/>
          <w:i w:val="0"/>
          <w:sz w:val="24"/>
        </w:rPr>
        <w:t xml:space="preserve"> — Enumerates the twelve best-interest-of-the-child factors that courts </w:t>
      </w:r>
      <w:r>
        <w:rPr>
          <w:rFonts w:ascii="Times New Roman" w:hAnsi="Times New Roman"/>
          <w:b/>
          <w:i w:val="0"/>
          <w:sz w:val="24"/>
        </w:rPr>
        <w:t>must</w:t>
      </w:r>
      <w:r>
        <w:rPr>
          <w:rFonts w:ascii="Times New Roman" w:hAnsi="Times New Roman"/>
          <w:b w:val="0"/>
          <w:i w:val="0"/>
          <w:sz w:val="24"/>
        </w:rPr>
        <w:t xml:space="preserve"> consider and make findings on in custody and parenting time determinations. The duty to analyze and apply these factors is mandatory and ministerial; a court may not simply ignore them.</w:t>
      </w:r>
    </w:p>
    <w:p>
      <w:pPr>
        <w:jc w:val="left"/>
      </w:pPr>
      <w:r>
        <w:rPr>
          <w:rFonts w:ascii="Times New Roman" w:hAnsi="Times New Roman"/>
          <w:b/>
          <w:i w:val="0"/>
          <w:sz w:val="24"/>
        </w:rPr>
        <w:t>MCL 722.27a</w:t>
      </w:r>
      <w:r>
        <w:rPr>
          <w:rFonts w:ascii="Times New Roman" w:hAnsi="Times New Roman"/>
          <w:b w:val="0"/>
          <w:i w:val="0"/>
          <w:sz w:val="24"/>
        </w:rPr>
        <w:t xml:space="preserve"> — Governs parenting time and establishes a presumption that parenting time with both parents serves the child's best interests. Courts have a clear legal duty to consider and provide for parenting time consistent with this presumption.</w:t>
      </w:r>
    </w:p>
    <w:p>
      <w:pPr>
        <w:jc w:val="left"/>
      </w:pPr>
      <w:r>
        <w:rPr>
          <w:rFonts w:ascii="Times New Roman" w:hAnsi="Times New Roman"/>
          <w:b/>
          <w:i w:val="0"/>
          <w:sz w:val="24"/>
        </w:rPr>
        <w:t>*Teasel v Department of Mental Health*, 419 Mich 390 (1984)</w:t>
      </w:r>
      <w:r>
        <w:rPr>
          <w:rFonts w:ascii="Times New Roman" w:hAnsi="Times New Roman"/>
          <w:b w:val="0"/>
          <w:i w:val="0"/>
          <w:sz w:val="24"/>
        </w:rPr>
        <w:t xml:space="preserve"> — The Michigan Supreme Court established the controlling standard for mandamus: the petitioner must demonstrate (1) a clear legal right to the performance of the specific duty sought, (2) a clear legal duty on the part of the respondent to perform that act, (3) that the act is ministerial in nature (involving no exercise of discretion), and (4) that no other adequate legal remedy exists. This is the seminal mandamus case in Michigan.</w:t>
      </w:r>
    </w:p>
    <w:p>
      <w:pPr>
        <w:jc w:val="left"/>
      </w:pPr>
      <w:r>
        <w:rPr>
          <w:rFonts w:ascii="Times New Roman" w:hAnsi="Times New Roman"/>
          <w:b/>
          <w:i w:val="0"/>
          <w:sz w:val="24"/>
        </w:rPr>
        <w:t>*Taxpayers for Michigan Constitutional Government v State*, 471 Mich 306 (2004)</w:t>
      </w:r>
      <w:r>
        <w:rPr>
          <w:rFonts w:ascii="Times New Roman" w:hAnsi="Times New Roman"/>
          <w:b w:val="0"/>
          <w:i w:val="0"/>
          <w:sz w:val="24"/>
        </w:rPr>
        <w:t xml:space="preserve"> — Reaffirmed that mandamus is an extraordinary remedy available "only when there is a clear legal duty, a clear legal right, and no other adequate legal remedy."</w:t>
      </w:r>
    </w:p>
    <w:p>
      <w:pPr>
        <w:spacing w:after="120"/>
        <w:jc w:val="center"/>
      </w:pPr>
      <w:r>
        <w:rPr>
          <w:rFonts w:ascii="Times New Roman" w:hAnsi="Times New Roman"/>
          <w:b/>
          <w:sz w:val="24"/>
        </w:rPr>
        <w:t>IV. ARGUMENT</w:t>
      </w:r>
    </w:p>
    <w:p>
      <w:pPr>
        <w:spacing w:after="120"/>
        <w:jc w:val="left"/>
      </w:pPr>
      <w:r>
        <w:rPr>
          <w:rFonts w:ascii="Times New Roman" w:hAnsi="Times New Roman"/>
          <w:b/>
          <w:sz w:val="24"/>
        </w:rPr>
        <w:t>A. Respondent Has a Clear Legal Duty to Act</w:t>
      </w:r>
    </w:p>
    <w:p>
      <w:pPr>
        <w:jc w:val="left"/>
      </w:pPr>
      <w:r>
        <w:rPr>
          <w:rFonts w:ascii="Times New Roman" w:hAnsi="Times New Roman"/>
          <w:b w:val="0"/>
          <w:i w:val="0"/>
          <w:sz w:val="24"/>
        </w:rPr>
        <w:t xml:space="preserve">Mandamus relief requires, as a threshold matter, the existence of a clear legal duty on the part of the respondent to perform a specific act. </w:t>
      </w:r>
      <w:r>
        <w:rPr>
          <w:rFonts w:ascii="Times New Roman" w:hAnsi="Times New Roman"/>
          <w:b w:val="0"/>
          <w:i/>
          <w:sz w:val="24"/>
        </w:rPr>
        <w:t>Teasel v Department of Mental Health</w:t>
      </w:r>
      <w:r>
        <w:rPr>
          <w:rFonts w:ascii="Times New Roman" w:hAnsi="Times New Roman"/>
          <w:b w:val="0"/>
          <w:i w:val="0"/>
          <w:sz w:val="24"/>
        </w:rPr>
        <w:t>, 419 Mich 390, 405 (1984). Respondent Judge McNeill owes at least four distinct clear legal duties relevant to this case, each of which is ministerial rather than discretionary:</w:t>
      </w:r>
    </w:p>
    <w:p>
      <w:pPr>
        <w:jc w:val="left"/>
      </w:pPr>
      <w:r>
        <w:rPr>
          <w:rFonts w:ascii="Times New Roman" w:hAnsi="Times New Roman"/>
          <w:b/>
          <w:i w:val="0"/>
          <w:sz w:val="24"/>
        </w:rPr>
        <w:t>1. Duty to Hold Hearings on Properly Filed Motions (MCR 2.119).</w:t>
      </w:r>
      <w:r>
        <w:rPr>
          <w:rFonts w:ascii="Times New Roman" w:hAnsi="Times New Roman"/>
          <w:b w:val="0"/>
          <w:i w:val="0"/>
          <w:sz w:val="24"/>
        </w:rPr>
        <w:t xml:space="preserve"> Michigan Court Rule 2.119 governs motion practice and requires courts to schedule hearings on properly filed motions before ruling. This is not a discretionary choice — the right to be heard before a tribunal disposes of a claim is a foundational requirement of due process. A court that denies a motion without hearing has failed to perform a ministerial act required by the court rules.</w:t>
      </w:r>
    </w:p>
    <w:p>
      <w:pPr>
        <w:jc w:val="left"/>
      </w:pPr>
      <w:r>
        <w:rPr>
          <w:rFonts w:ascii="Times New Roman" w:hAnsi="Times New Roman"/>
          <w:b/>
          <w:i w:val="0"/>
          <w:sz w:val="24"/>
        </w:rPr>
        <w:t>2. Duty to Follow Disqualification Procedures (MCR 2.003).</w:t>
      </w:r>
      <w:r>
        <w:rPr>
          <w:rFonts w:ascii="Times New Roman" w:hAnsi="Times New Roman"/>
          <w:b w:val="0"/>
          <w:i w:val="0"/>
          <w:sz w:val="24"/>
        </w:rPr>
        <w:t xml:space="preserve"> MCR 2.003 establishes mandatory procedures when grounds for disqualification are presented. When a party files a motion for disqualification supported by factual allegations of bias, the judge must either disqualify herself or refer the motion to the chief judge for determination. MCR 2.003(D). This is a mandatory procedural duty, not a matter of judicial discretion. A judge cannot simply ignore disqualification grounds.</w:t>
      </w:r>
    </w:p>
    <w:p>
      <w:pPr>
        <w:jc w:val="left"/>
      </w:pPr>
      <w:r>
        <w:rPr>
          <w:rFonts w:ascii="Times New Roman" w:hAnsi="Times New Roman"/>
          <w:b/>
          <w:i w:val="0"/>
          <w:sz w:val="24"/>
        </w:rPr>
        <w:t>3. Duty to Conduct Best-Interests Analysis (MCL 722.23).</w:t>
      </w:r>
      <w:r>
        <w:rPr>
          <w:rFonts w:ascii="Times New Roman" w:hAnsi="Times New Roman"/>
          <w:b w:val="0"/>
          <w:i w:val="0"/>
          <w:sz w:val="24"/>
        </w:rPr>
        <w:t xml:space="preserve"> In any custody or parenting time proceeding, the court </w:t>
      </w:r>
      <w:r>
        <w:rPr>
          <w:rFonts w:ascii="Times New Roman" w:hAnsi="Times New Roman"/>
          <w:b/>
          <w:i w:val="0"/>
          <w:sz w:val="24"/>
        </w:rPr>
        <w:t>must</w:t>
      </w:r>
      <w:r>
        <w:rPr>
          <w:rFonts w:ascii="Times New Roman" w:hAnsi="Times New Roman"/>
          <w:b w:val="0"/>
          <w:i w:val="0"/>
          <w:sz w:val="24"/>
        </w:rPr>
        <w:t xml:space="preserve"> evaluate and make findings on each of the twelve statutory best-interest factors enumerated in MCL 722.23. This duty is imposed by the Legislature and is ministerial in that the court has no discretion to skip the analysis entirely. A court that separates a parent from a child for 209+ days without conducting any best-interests analysis has failed to perform a duty specifically enjoined by law.</w:t>
      </w:r>
    </w:p>
    <w:p>
      <w:pPr>
        <w:jc w:val="left"/>
      </w:pPr>
      <w:r>
        <w:rPr>
          <w:rFonts w:ascii="Times New Roman" w:hAnsi="Times New Roman"/>
          <w:b/>
          <w:i w:val="0"/>
          <w:sz w:val="24"/>
        </w:rPr>
        <w:t>4. Duty to Consider Parenting Time (MCL 722.27a).</w:t>
      </w:r>
      <w:r>
        <w:rPr>
          <w:rFonts w:ascii="Times New Roman" w:hAnsi="Times New Roman"/>
          <w:b w:val="0"/>
          <w:i w:val="0"/>
          <w:sz w:val="24"/>
        </w:rPr>
        <w:t xml:space="preserve"> MCL 722.27a establishes a presumption that parenting time with both parents is in the child's best interest. A court has a clear legal duty to consider and provide for parenting time consistent with this statutory framework. The complete elimination of parenting time without findings supporting that result is a failure to perform this duty.</w:t>
      </w:r>
    </w:p>
    <w:p>
      <w:pPr>
        <w:jc w:val="left"/>
      </w:pPr>
      <w:r>
        <w:rPr>
          <w:rFonts w:ascii="Times New Roman" w:hAnsi="Times New Roman"/>
          <w:b w:val="0"/>
          <w:i w:val="0"/>
          <w:sz w:val="24"/>
        </w:rPr>
        <w:t>Each of these duties is "specifically enjoined by law" within the meaning of mandamus jurisprudence. None involves the exercise of judicial discretion that would render mandamus inappropriate. The question is not how the court should rule, but whether the court must act at all — and the answer, in each instance, is yes.</w:t>
      </w:r>
    </w:p>
    <w:p>
      <w:pPr>
        <w:spacing w:after="120"/>
        <w:jc w:val="left"/>
      </w:pPr>
      <w:r>
        <w:rPr>
          <w:rFonts w:ascii="Times New Roman" w:hAnsi="Times New Roman"/>
          <w:b/>
          <w:sz w:val="24"/>
        </w:rPr>
        <w:t>B. Respondent Has Failed to Perform These Duties</w:t>
      </w:r>
    </w:p>
    <w:p>
      <w:pPr>
        <w:jc w:val="left"/>
      </w:pPr>
      <w:r>
        <w:rPr>
          <w:rFonts w:ascii="Times New Roman" w:hAnsi="Times New Roman"/>
          <w:b w:val="0"/>
          <w:i w:val="0"/>
          <w:sz w:val="24"/>
        </w:rPr>
        <w:t>The record demonstrates that Respondent has not merely erred in the exercise of discretion — she has refused to perform the ministerial acts required of her.</w:t>
      </w:r>
    </w:p>
    <w:p>
      <w:pPr>
        <w:jc w:val="left"/>
      </w:pPr>
      <w:r>
        <w:rPr>
          <w:rFonts w:ascii="Times New Roman" w:hAnsi="Times New Roman"/>
          <w:b/>
          <w:i w:val="0"/>
          <w:sz w:val="24"/>
        </w:rPr>
        <w:t>Refusal to hold hearings.</w:t>
      </w:r>
      <w:r>
        <w:rPr>
          <w:rFonts w:ascii="Times New Roman" w:hAnsi="Times New Roman"/>
          <w:b w:val="0"/>
          <w:i w:val="0"/>
          <w:sz w:val="24"/>
        </w:rPr>
        <w:t xml:space="preserve"> Respondent denied Plaintiff's properly filed motions on three documented occasions without any hearing:</w:t>
      </w:r>
    </w:p>
    <w:p>
      <w:pPr>
        <w:jc w:val="left"/>
      </w:pPr>
      <w:r>
        <w:rPr>
          <w:rFonts w:ascii="Times New Roman" w:hAnsi="Times New Roman"/>
          <w:b/>
          <w:i w:val="0"/>
          <w:sz w:val="24"/>
        </w:rPr>
        <w:t>August 15, 2025</w:t>
      </w:r>
      <w:r>
        <w:rPr>
          <w:rFonts w:ascii="Times New Roman" w:hAnsi="Times New Roman"/>
          <w:b w:val="0"/>
          <w:i w:val="0"/>
          <w:sz w:val="24"/>
        </w:rPr>
        <w:t>: Motion denied without hearing.</w:t>
      </w:r>
    </w:p>
    <w:p>
      <w:pPr>
        <w:jc w:val="left"/>
      </w:pPr>
      <w:r>
        <w:rPr>
          <w:rFonts w:ascii="Times New Roman" w:hAnsi="Times New Roman"/>
          <w:b/>
          <w:i w:val="0"/>
          <w:sz w:val="24"/>
        </w:rPr>
        <w:t>August 25, 2025</w:t>
      </w:r>
      <w:r>
        <w:rPr>
          <w:rFonts w:ascii="Times New Roman" w:hAnsi="Times New Roman"/>
          <w:b w:val="0"/>
          <w:i w:val="0"/>
          <w:sz w:val="24"/>
        </w:rPr>
        <w:t>: Motion denied without hearing.</w:t>
      </w:r>
    </w:p>
    <w:p>
      <w:pPr>
        <w:jc w:val="left"/>
      </w:pPr>
      <w:r>
        <w:rPr>
          <w:rFonts w:ascii="Times New Roman" w:hAnsi="Times New Roman"/>
          <w:b/>
          <w:i w:val="0"/>
          <w:sz w:val="24"/>
        </w:rPr>
        <w:t>January 10, 2026</w:t>
      </w:r>
      <w:r>
        <w:rPr>
          <w:rFonts w:ascii="Times New Roman" w:hAnsi="Times New Roman"/>
          <w:b w:val="0"/>
          <w:i w:val="0"/>
          <w:sz w:val="24"/>
        </w:rPr>
        <w:t>: Motion denied without hearing.</w:t>
      </w:r>
    </w:p>
    <w:p>
      <w:pPr>
        <w:jc w:val="left"/>
      </w:pPr>
      <w:r>
        <w:rPr>
          <w:rFonts w:ascii="Times New Roman" w:hAnsi="Times New Roman"/>
          <w:b w:val="0"/>
          <w:i w:val="0"/>
          <w:sz w:val="24"/>
        </w:rPr>
        <w:t>At no point has Respondent afforded Plaintiff a hearing on any motion. MCR 2.119 does not grant courts discretion to simply deny motions without hearing the movant. This is a refusal to perform a ministerial duty.</w:t>
      </w:r>
    </w:p>
    <w:p>
      <w:pPr>
        <w:jc w:val="left"/>
      </w:pPr>
      <w:r>
        <w:rPr>
          <w:rFonts w:ascii="Times New Roman" w:hAnsi="Times New Roman"/>
          <w:b/>
          <w:i w:val="0"/>
          <w:sz w:val="24"/>
        </w:rPr>
        <w:t>Failure to follow disqualification procedures.</w:t>
      </w:r>
      <w:r>
        <w:rPr>
          <w:rFonts w:ascii="Times New Roman" w:hAnsi="Times New Roman"/>
          <w:b w:val="0"/>
          <w:i w:val="0"/>
          <w:sz w:val="24"/>
        </w:rPr>
        <w:t xml:space="preserve"> Despite 167 documented instances of conduct warranting disqualification under MCR 2.003 — including bias, prejudgment, hostile commentary directed at Plaintiff, and ex parte handling — Respondent has neither recused herself nor referred the matter to the chief judge for disqualification review as required by MCR 2.003(D). The record reflects not one instance of compliance with disqualification procedures despite overwhelming grounds.</w:t>
      </w:r>
    </w:p>
    <w:p>
      <w:pPr>
        <w:jc w:val="left"/>
      </w:pPr>
      <w:r>
        <w:rPr>
          <w:rFonts w:ascii="Times New Roman" w:hAnsi="Times New Roman"/>
          <w:b/>
          <w:i w:val="0"/>
          <w:sz w:val="24"/>
        </w:rPr>
        <w:t>Failure to conduct best-interests analysis.</w:t>
      </w:r>
      <w:r>
        <w:rPr>
          <w:rFonts w:ascii="Times New Roman" w:hAnsi="Times New Roman"/>
          <w:b w:val="0"/>
          <w:i w:val="0"/>
          <w:sz w:val="24"/>
        </w:rPr>
        <w:t xml:space="preserve"> During the entire 209+ day period of parent-child separation, Respondent has not conducted or documented any analysis of the twelve best-interest factors required by MCL 722.23. No findings of fact have been made. No factor-by-factor evaluation has occurred. A child has been separated from a parent for over seven months without the statutory analysis the Legislature deemed essential to such decisions.</w:t>
      </w:r>
    </w:p>
    <w:p>
      <w:pPr>
        <w:jc w:val="left"/>
      </w:pPr>
      <w:r>
        <w:rPr>
          <w:rFonts w:ascii="Times New Roman" w:hAnsi="Times New Roman"/>
          <w:b/>
          <w:i w:val="0"/>
          <w:sz w:val="24"/>
        </w:rPr>
        <w:t>Failure to consider parenting time.</w:t>
      </w:r>
      <w:r>
        <w:rPr>
          <w:rFonts w:ascii="Times New Roman" w:hAnsi="Times New Roman"/>
          <w:b w:val="0"/>
          <w:i w:val="0"/>
          <w:sz w:val="24"/>
        </w:rPr>
        <w:t xml:space="preserve"> Respondent has effectively eliminated Plaintiff's parenting time for over 209 consecutive days without any finding that parenting time would not be in the child's best interest, as would be required to overcome the presumption established in MCL 722.27a.</w:t>
      </w:r>
    </w:p>
    <w:p>
      <w:pPr>
        <w:spacing w:after="120"/>
        <w:jc w:val="left"/>
      </w:pPr>
      <w:r>
        <w:rPr>
          <w:rFonts w:ascii="Times New Roman" w:hAnsi="Times New Roman"/>
          <w:b/>
          <w:sz w:val="24"/>
        </w:rPr>
        <w:t>C. These Duties Are Ministerial, Not Discretionary</w:t>
      </w:r>
    </w:p>
    <w:p>
      <w:pPr>
        <w:jc w:val="left"/>
      </w:pPr>
      <w:r>
        <w:rPr>
          <w:rFonts w:ascii="Times New Roman" w:hAnsi="Times New Roman"/>
          <w:b w:val="0"/>
          <w:i w:val="0"/>
          <w:sz w:val="24"/>
        </w:rPr>
        <w:t xml:space="preserve">Mandamus lies only to compel the performance of ministerial duties — that is, duties "where the law prescribes and defines the duty to be performed with such precision and certainty as to leave nothing to the exercise of discretion or judgment." </w:t>
      </w:r>
      <w:r>
        <w:rPr>
          <w:rFonts w:ascii="Times New Roman" w:hAnsi="Times New Roman"/>
          <w:b w:val="0"/>
          <w:i/>
          <w:sz w:val="24"/>
        </w:rPr>
        <w:t>Teasel</w:t>
      </w:r>
      <w:r>
        <w:rPr>
          <w:rFonts w:ascii="Times New Roman" w:hAnsi="Times New Roman"/>
          <w:b w:val="0"/>
          <w:i w:val="0"/>
          <w:sz w:val="24"/>
        </w:rPr>
        <w:t>, 419 Mich at 405.</w:t>
      </w:r>
    </w:p>
    <w:p>
      <w:pPr>
        <w:jc w:val="left"/>
      </w:pPr>
      <w:r>
        <w:rPr>
          <w:rFonts w:ascii="Times New Roman" w:hAnsi="Times New Roman"/>
          <w:b w:val="0"/>
          <w:i w:val="0"/>
          <w:sz w:val="24"/>
        </w:rPr>
        <w:t>The duties at issue here meet this standard:</w:t>
      </w:r>
    </w:p>
    <w:p>
      <w:pPr>
        <w:jc w:val="left"/>
      </w:pPr>
      <w:r>
        <w:rPr>
          <w:rFonts w:ascii="Times New Roman" w:hAnsi="Times New Roman"/>
          <w:b w:val="0"/>
          <w:i w:val="0"/>
          <w:sz w:val="24"/>
        </w:rPr>
        <w:t>The duty to hold hearings on motions under MCR 2.119 is defined with precision: a properly filed motion triggers the right to a hearing. The court has no discretion to refuse to hold the hearing entirely.</w:t>
      </w:r>
    </w:p>
    <w:p>
      <w:pPr>
        <w:jc w:val="left"/>
      </w:pPr>
      <w:r>
        <w:rPr>
          <w:rFonts w:ascii="Times New Roman" w:hAnsi="Times New Roman"/>
          <w:b w:val="0"/>
          <w:i w:val="0"/>
          <w:sz w:val="24"/>
        </w:rPr>
        <w:t>The duty to follow MCR 2.003 disqualification procedures is mandatory: when grounds are presented, the judge must either recuse or refer. There is no third option of ignoring the motion.</w:t>
      </w:r>
    </w:p>
    <w:p>
      <w:pPr>
        <w:jc w:val="left"/>
      </w:pPr>
      <w:r>
        <w:rPr>
          <w:rFonts w:ascii="Times New Roman" w:hAnsi="Times New Roman"/>
          <w:b w:val="0"/>
          <w:i w:val="0"/>
          <w:sz w:val="24"/>
        </w:rPr>
        <w:t>The duty to apply MCL 722.23 is statutory and specific: the court must consider and make findings on each of twelve enumerated factors. The court has discretion in weighing the factors, but has no discretion to skip the analysis altogether.</w:t>
      </w:r>
    </w:p>
    <w:p>
      <w:pPr>
        <w:jc w:val="left"/>
      </w:pPr>
      <w:r>
        <w:rPr>
          <w:rFonts w:ascii="Times New Roman" w:hAnsi="Times New Roman"/>
          <w:b w:val="0"/>
          <w:i w:val="0"/>
          <w:sz w:val="24"/>
        </w:rPr>
        <w:t>The duty to consider parenting time under MCL 722.27a is statutory: the court must consider parenting time and apply the statutory presumption. Eliminating parenting time entirely without findings is not an exercise of discretion — it is a refusal to act.</w:t>
      </w:r>
    </w:p>
    <w:p>
      <w:pPr>
        <w:jc w:val="left"/>
      </w:pPr>
      <w:r>
        <w:rPr>
          <w:rFonts w:ascii="Times New Roman" w:hAnsi="Times New Roman"/>
          <w:b w:val="0"/>
          <w:i w:val="0"/>
          <w:sz w:val="24"/>
        </w:rPr>
        <w:t>Plaintiff does not ask this Court to dictate how Respondent should rule. Plaintiff asks this Court to compel Respondent to perform the acts the law requires her to perform — to hold hearings, to follow disqualification procedures, to conduct the mandated analysis, and to consider parenting time. These are the very definition of ministerial duties appropriate for mandamus relief.</w:t>
      </w:r>
    </w:p>
    <w:p>
      <w:pPr>
        <w:spacing w:after="120"/>
        <w:jc w:val="left"/>
      </w:pPr>
      <w:r>
        <w:rPr>
          <w:rFonts w:ascii="Times New Roman" w:hAnsi="Times New Roman"/>
          <w:b/>
          <w:sz w:val="24"/>
        </w:rPr>
        <w:t>D. No Other Adequate Legal Remedy Exists</w:t>
      </w:r>
    </w:p>
    <w:p>
      <w:pPr>
        <w:jc w:val="left"/>
      </w:pPr>
      <w:r>
        <w:rPr>
          <w:rFonts w:ascii="Times New Roman" w:hAnsi="Times New Roman"/>
          <w:b w:val="0"/>
          <w:i/>
          <w:sz w:val="24"/>
        </w:rPr>
        <w:t>Teasel</w:t>
      </w:r>
      <w:r>
        <w:rPr>
          <w:rFonts w:ascii="Times New Roman" w:hAnsi="Times New Roman"/>
          <w:b w:val="0"/>
          <w:i w:val="0"/>
          <w:sz w:val="24"/>
        </w:rPr>
        <w:t xml:space="preserve"> requires that the petitioner have no other adequate legal remedy before mandamus may issue. 419 Mich at 405. Plaintiff has exhausted every alternative avenue:</w:t>
      </w:r>
    </w:p>
    <w:p>
      <w:pPr>
        <w:jc w:val="left"/>
      </w:pPr>
      <w:r>
        <w:rPr>
          <w:rFonts w:ascii="Times New Roman" w:hAnsi="Times New Roman"/>
          <w:b/>
          <w:i w:val="0"/>
          <w:sz w:val="24"/>
        </w:rPr>
        <w:t>1. Court of Appeals.</w:t>
      </w:r>
      <w:r>
        <w:rPr>
          <w:rFonts w:ascii="Times New Roman" w:hAnsi="Times New Roman"/>
          <w:b w:val="0"/>
          <w:i w:val="0"/>
          <w:sz w:val="24"/>
        </w:rPr>
        <w:t xml:space="preserve"> Plaintiff's appeal is pending before the Michigan Court of Appeals as Case No. 366810. However, the appellate process is inherently retrospective — it reviews decisions already made. It cannot compel the trial court to hold hearings it has refused to hold, conduct analyses it has refused to conduct, or follow procedures it has ignored. The Court of Appeals can reverse; it cannot compel prospective performance of ministerial duties. Moreover, the ordinary appellate timeline is constitutionally inadequate given the ongoing daily deprivation of Plaintiff's fundamental parental rights.</w:t>
      </w:r>
    </w:p>
    <w:p>
      <w:pPr>
        <w:jc w:val="left"/>
      </w:pPr>
      <w:r>
        <w:rPr>
          <w:rFonts w:ascii="Times New Roman" w:hAnsi="Times New Roman"/>
          <w:b/>
          <w:i w:val="0"/>
          <w:sz w:val="24"/>
        </w:rPr>
        <w:t>2. Judicial Tenure Commission.</w:t>
      </w:r>
      <w:r>
        <w:rPr>
          <w:rFonts w:ascii="Times New Roman" w:hAnsi="Times New Roman"/>
          <w:b w:val="0"/>
          <w:i w:val="0"/>
          <w:sz w:val="24"/>
        </w:rPr>
        <w:t xml:space="preserve"> Plaintiff has filed a complaint with the JTC. However, the JTC's jurisdiction is limited to judicial discipline. It cannot enter orders restoring parenting time, vacating improper rulings, compelling hearings, or requiring disqualification. The JTC investigates; it does not provide remedial relief.</w:t>
      </w:r>
    </w:p>
    <w:p>
      <w:pPr>
        <w:jc w:val="left"/>
      </w:pPr>
      <w:r>
        <w:rPr>
          <w:rFonts w:ascii="Times New Roman" w:hAnsi="Times New Roman"/>
          <w:b/>
          <w:i w:val="0"/>
          <w:sz w:val="24"/>
        </w:rPr>
        <w:t>3. Lower Court Remedies.</w:t>
      </w:r>
      <w:r>
        <w:rPr>
          <w:rFonts w:ascii="Times New Roman" w:hAnsi="Times New Roman"/>
          <w:b w:val="0"/>
          <w:i w:val="0"/>
          <w:sz w:val="24"/>
        </w:rPr>
        <w:t xml:space="preserve"> Every motion Plaintiff has filed in the 14th Circuit Court has been denied without hearing. The court that has refused to perform its duties cannot reasonably be expected to order itself to comply. Returning to the lower court would be futile.</w:t>
      </w:r>
    </w:p>
    <w:p>
      <w:pPr>
        <w:jc w:val="left"/>
      </w:pPr>
      <w:r>
        <w:rPr>
          <w:rFonts w:ascii="Times New Roman" w:hAnsi="Times New Roman"/>
          <w:b w:val="0"/>
          <w:i w:val="0"/>
          <w:sz w:val="24"/>
        </w:rPr>
        <w:t>Only this Court's mandamus authority can compel Respondent to perform the specific ministerial duties she has refused to perform. No other remedy is adequate.</w:t>
      </w:r>
    </w:p>
    <w:p>
      <w:pPr>
        <w:spacing w:after="120"/>
        <w:jc w:val="left"/>
      </w:pPr>
      <w:r>
        <w:rPr>
          <w:rFonts w:ascii="Times New Roman" w:hAnsi="Times New Roman"/>
          <w:b/>
          <w:sz w:val="24"/>
        </w:rPr>
        <w:t>E. The Pattern Demonstrates Willful Refusal, Not Isolated Oversight</w:t>
      </w:r>
    </w:p>
    <w:p>
      <w:pPr>
        <w:jc w:val="left"/>
      </w:pPr>
      <w:r>
        <w:rPr>
          <w:rFonts w:ascii="Times New Roman" w:hAnsi="Times New Roman"/>
          <w:b w:val="0"/>
          <w:i w:val="0"/>
          <w:sz w:val="24"/>
        </w:rPr>
        <w:t>The scope of the violations in this case eliminates any possibility that Respondent's failures are the product of oversight or inadvertence. The record documents:</w:t>
      </w:r>
    </w:p>
    <w:p>
      <w:pPr>
        <w:jc w:val="left"/>
      </w:pPr>
      <w:r>
        <w:rPr>
          <w:rFonts w:ascii="Times New Roman" w:hAnsi="Times New Roman"/>
          <w:b/>
          <w:i w:val="0"/>
          <w:sz w:val="24"/>
        </w:rPr>
        <w:t>1,127 total violations</w:t>
      </w:r>
      <w:r>
        <w:rPr>
          <w:rFonts w:ascii="Times New Roman" w:hAnsi="Times New Roman"/>
          <w:b w:val="0"/>
          <w:i w:val="0"/>
          <w:sz w:val="24"/>
        </w:rPr>
        <w:t xml:space="preserve"> across the proceedings;</w:t>
      </w:r>
    </w:p>
    <w:p>
      <w:pPr>
        <w:jc w:val="left"/>
      </w:pPr>
      <w:r>
        <w:rPr>
          <w:rFonts w:ascii="Times New Roman" w:hAnsi="Times New Roman"/>
          <w:b/>
          <w:i w:val="0"/>
          <w:sz w:val="24"/>
        </w:rPr>
        <w:t>482 ex parte violations</w:t>
      </w:r>
      <w:r>
        <w:rPr>
          <w:rFonts w:ascii="Times New Roman" w:hAnsi="Times New Roman"/>
          <w:b w:val="0"/>
          <w:i w:val="0"/>
          <w:sz w:val="24"/>
        </w:rPr>
        <w:t xml:space="preserve"> — the single largest category;</w:t>
      </w:r>
    </w:p>
    <w:p>
      <w:pPr>
        <w:jc w:val="left"/>
      </w:pPr>
      <w:r>
        <w:rPr>
          <w:rFonts w:ascii="Times New Roman" w:hAnsi="Times New Roman"/>
          <w:b/>
          <w:i w:val="0"/>
          <w:sz w:val="24"/>
        </w:rPr>
        <w:t>377 violations classified as critical severity</w:t>
      </w:r>
      <w:r>
        <w:rPr>
          <w:rFonts w:ascii="Times New Roman" w:hAnsi="Times New Roman"/>
          <w:b w:val="0"/>
          <w:i w:val="0"/>
          <w:sz w:val="24"/>
        </w:rPr>
        <w:t>;</w:t>
      </w:r>
    </w:p>
    <w:p>
      <w:pPr>
        <w:jc w:val="left"/>
      </w:pPr>
      <w:r>
        <w:rPr>
          <w:rFonts w:ascii="Times New Roman" w:hAnsi="Times New Roman"/>
          <w:b/>
          <w:i w:val="0"/>
          <w:sz w:val="24"/>
        </w:rPr>
        <w:t>167 disqualification-level instances</w:t>
      </w:r>
      <w:r>
        <w:rPr>
          <w:rFonts w:ascii="Times New Roman" w:hAnsi="Times New Roman"/>
          <w:b w:val="0"/>
          <w:i w:val="0"/>
          <w:sz w:val="24"/>
        </w:rPr>
        <w:t xml:space="preserve"> of bias and hostile conduct;</w:t>
      </w:r>
    </w:p>
    <w:p>
      <w:pPr>
        <w:jc w:val="left"/>
      </w:pPr>
      <w:r>
        <w:rPr>
          <w:rFonts w:ascii="Times New Roman" w:hAnsi="Times New Roman"/>
          <w:b/>
          <w:i w:val="0"/>
          <w:sz w:val="24"/>
        </w:rPr>
        <w:t>161 instances of procedural misconduct</w:t>
      </w:r>
      <w:r>
        <w:rPr>
          <w:rFonts w:ascii="Times New Roman" w:hAnsi="Times New Roman"/>
          <w:b w:val="0"/>
          <w:i w:val="0"/>
          <w:sz w:val="24"/>
        </w:rPr>
        <w:t>;</w:t>
      </w:r>
    </w:p>
    <w:p>
      <w:pPr>
        <w:jc w:val="left"/>
      </w:pPr>
      <w:r>
        <w:rPr>
          <w:rFonts w:ascii="Times New Roman" w:hAnsi="Times New Roman"/>
          <w:b w:val="0"/>
          <w:i w:val="0"/>
          <w:sz w:val="24"/>
        </w:rPr>
        <w:t>Three motions denied without hearing across a six-month span.</w:t>
      </w:r>
    </w:p>
    <w:p>
      <w:pPr>
        <w:jc w:val="left"/>
      </w:pPr>
      <w:r>
        <w:rPr>
          <w:rFonts w:ascii="Times New Roman" w:hAnsi="Times New Roman"/>
          <w:b w:val="0"/>
          <w:i w:val="0"/>
          <w:sz w:val="24"/>
        </w:rPr>
        <w:t>This is not a case of a single missed hearing or an isolated procedural lapse. It is a systematic, ongoing refusal to perform the duties the law imposes. The consistency and volume of the violations demonstrate a pattern of willful non-performance that mandamus was designed to remedy. Where a public official systematically refuses to perform ministerial duties, mandamus is the appropriate remedy to compel compliance with the law.</w:t>
      </w:r>
    </w:p>
    <w:p>
      <w:pPr>
        <w:spacing w:after="120"/>
        <w:jc w:val="left"/>
      </w:pPr>
      <w:r>
        <w:rPr>
          <w:rFonts w:ascii="Times New Roman" w:hAnsi="Times New Roman"/>
          <w:b/>
          <w:sz w:val="24"/>
        </w:rPr>
        <w:t>F. Urgency: Each Day of Delay Causes Irreparable Injury</w:t>
      </w:r>
    </w:p>
    <w:p>
      <w:pPr>
        <w:jc w:val="left"/>
      </w:pPr>
      <w:r>
        <w:rPr>
          <w:rFonts w:ascii="Times New Roman" w:hAnsi="Times New Roman"/>
          <w:b w:val="0"/>
          <w:i w:val="0"/>
          <w:sz w:val="24"/>
        </w:rPr>
        <w:t xml:space="preserve">Mandamus is particularly appropriate where delay in compelling performance of a legal duty causes continuing irreparable harm. Here, every day that passes without hearings, without a best-interests analysis, and without consideration of parenting time is another day of forced separation between Plaintiff and his child — now exceeding </w:t>
      </w:r>
      <w:r>
        <w:rPr>
          <w:rFonts w:ascii="Times New Roman" w:hAnsi="Times New Roman"/>
          <w:b/>
          <w:i w:val="0"/>
          <w:sz w:val="24"/>
        </w:rPr>
        <w:t>209 consecutive days</w:t>
      </w:r>
      <w:r>
        <w:rPr>
          <w:rFonts w:ascii="Times New Roman" w:hAnsi="Times New Roman"/>
          <w:b w:val="0"/>
          <w:i w:val="0"/>
          <w:sz w:val="24"/>
        </w:rPr>
        <w:t>.</w:t>
      </w:r>
    </w:p>
    <w:p>
      <w:pPr>
        <w:jc w:val="left"/>
      </w:pPr>
      <w:r>
        <w:rPr>
          <w:rFonts w:ascii="Times New Roman" w:hAnsi="Times New Roman"/>
          <w:b w:val="0"/>
          <w:i w:val="0"/>
          <w:sz w:val="24"/>
        </w:rPr>
        <w:t>The harm caused by this separation is inherently irreparable. A child's developmental needs are time-critical; the formative days lost between a parent and child cannot be restored by any future order. The emotional and psychological bond between parent and child deteriorates with each day of enforced absence. No monetary award can compensate for this loss. The urgency of this matter demands that this Court exercise its mandamus authority without delay.</w:t>
      </w:r>
    </w:p>
    <w:p>
      <w:pPr>
        <w:spacing w:after="120"/>
        <w:jc w:val="center"/>
      </w:pPr>
      <w:r>
        <w:rPr>
          <w:rFonts w:ascii="Times New Roman" w:hAnsi="Times New Roman"/>
          <w:b/>
          <w:sz w:val="24"/>
        </w:rPr>
        <w:t>V. PRAYER FOR RELIEF</w:t>
      </w:r>
    </w:p>
    <w:p>
      <w:pPr>
        <w:jc w:val="left"/>
      </w:pPr>
      <w:r>
        <w:rPr>
          <w:rFonts w:ascii="Times New Roman" w:hAnsi="Times New Roman"/>
          <w:b w:val="0"/>
          <w:i w:val="0"/>
          <w:sz w:val="24"/>
        </w:rPr>
        <w:t>WHEREFORE, Plaintiff Andrew Pigors respectfully requests that this Honorable Court:</w:t>
      </w:r>
    </w:p>
    <w:p>
      <w:pPr>
        <w:jc w:val="left"/>
      </w:pPr>
      <w:r>
        <w:rPr>
          <w:rFonts w:ascii="Times New Roman" w:hAnsi="Times New Roman"/>
          <w:b w:val="0"/>
          <w:i w:val="0"/>
          <w:sz w:val="24"/>
        </w:rPr>
        <w:t xml:space="preserve">1. </w:t>
      </w:r>
      <w:r>
        <w:rPr>
          <w:rFonts w:ascii="Times New Roman" w:hAnsi="Times New Roman"/>
          <w:b w:val="0"/>
          <w:i w:val="0"/>
          <w:sz w:val="24"/>
        </w:rPr>
        <w:t>Issue a Writ of Mandamus compelling Respondent, the Honorable Jenny L. McNeill, to conduct hearings on all properly filed motions in 14th Circuit Case No. 2024-1507-DC as required by MCR 2.119;</w:t>
      </w:r>
    </w:p>
    <w:p>
      <w:pPr>
        <w:jc w:val="left"/>
      </w:pPr>
      <w:r>
        <w:rPr>
          <w:rFonts w:ascii="Times New Roman" w:hAnsi="Times New Roman"/>
          <w:b w:val="0"/>
          <w:i w:val="0"/>
          <w:sz w:val="24"/>
        </w:rPr>
        <w:t xml:space="preserve">2. </w:t>
      </w:r>
      <w:r>
        <w:rPr>
          <w:rFonts w:ascii="Times New Roman" w:hAnsi="Times New Roman"/>
          <w:b w:val="0"/>
          <w:i w:val="0"/>
          <w:sz w:val="24"/>
        </w:rPr>
        <w:t>Issue a Writ of Mandamus compelling Respondent to follow the disqualification procedures required by MCR 2.003, including referral of disqualification issues to the chief judge;</w:t>
      </w:r>
    </w:p>
    <w:p>
      <w:pPr>
        <w:jc w:val="left"/>
      </w:pPr>
      <w:r>
        <w:rPr>
          <w:rFonts w:ascii="Times New Roman" w:hAnsi="Times New Roman"/>
          <w:b w:val="0"/>
          <w:i w:val="0"/>
          <w:sz w:val="24"/>
        </w:rPr>
        <w:t xml:space="preserve">3. </w:t>
      </w:r>
      <w:r>
        <w:rPr>
          <w:rFonts w:ascii="Times New Roman" w:hAnsi="Times New Roman"/>
          <w:b w:val="0"/>
          <w:i w:val="0"/>
          <w:sz w:val="24"/>
        </w:rPr>
        <w:t>Issue a Writ of Mandamus compelling Respondent to conduct the best-interests-of-the-child analysis required by MCL 722.23 before entering or maintaining any order affecting custody or parenting time;</w:t>
      </w:r>
    </w:p>
    <w:p>
      <w:pPr>
        <w:jc w:val="left"/>
      </w:pPr>
      <w:r>
        <w:rPr>
          <w:rFonts w:ascii="Times New Roman" w:hAnsi="Times New Roman"/>
          <w:b w:val="0"/>
          <w:i w:val="0"/>
          <w:sz w:val="24"/>
        </w:rPr>
        <w:t xml:space="preserve">4. </w:t>
      </w:r>
      <w:r>
        <w:rPr>
          <w:rFonts w:ascii="Times New Roman" w:hAnsi="Times New Roman"/>
          <w:b w:val="0"/>
          <w:i w:val="0"/>
          <w:sz w:val="24"/>
        </w:rPr>
        <w:t>Issue a Writ of Mandamus compelling Respondent to consider and provide for parenting time consistent with the presumption established in MCL 722.27a;</w:t>
      </w:r>
    </w:p>
    <w:p>
      <w:pPr>
        <w:jc w:val="left"/>
      </w:pPr>
      <w:r>
        <w:rPr>
          <w:rFonts w:ascii="Times New Roman" w:hAnsi="Times New Roman"/>
          <w:b w:val="0"/>
          <w:i w:val="0"/>
          <w:sz w:val="24"/>
        </w:rPr>
        <w:t xml:space="preserve">5. </w:t>
      </w:r>
      <w:r>
        <w:rPr>
          <w:rFonts w:ascii="Times New Roman" w:hAnsi="Times New Roman"/>
          <w:b w:val="0"/>
          <w:i w:val="0"/>
          <w:sz w:val="24"/>
        </w:rPr>
        <w:t>In the alternative, order the reassignment of Case No. 2024-1507-DC to a different judge;</w:t>
      </w:r>
    </w:p>
    <w:p>
      <w:pPr>
        <w:jc w:val="left"/>
      </w:pPr>
      <w:r>
        <w:rPr>
          <w:rFonts w:ascii="Times New Roman" w:hAnsi="Times New Roman"/>
          <w:b w:val="0"/>
          <w:i w:val="0"/>
          <w:sz w:val="24"/>
        </w:rPr>
        <w:t xml:space="preserve">6. </w:t>
      </w:r>
      <w:r>
        <w:rPr>
          <w:rFonts w:ascii="Times New Roman" w:hAnsi="Times New Roman"/>
          <w:b w:val="0"/>
          <w:i w:val="0"/>
          <w:sz w:val="24"/>
        </w:rPr>
        <w:t>Enter such emergency interim orders as are necessary to protect Plaintiff's parenting time and the child's welfare during the pendency of this action;</w:t>
      </w:r>
    </w:p>
    <w:p>
      <w:pPr>
        <w:jc w:val="left"/>
      </w:pPr>
      <w:r>
        <w:rPr>
          <w:rFonts w:ascii="Times New Roman" w:hAnsi="Times New Roman"/>
          <w:b w:val="0"/>
          <w:i w:val="0"/>
          <w:sz w:val="24"/>
        </w:rPr>
        <w:t xml:space="preserve">7. </w:t>
      </w:r>
      <w:r>
        <w:rPr>
          <w:rFonts w:ascii="Times New Roman" w:hAnsi="Times New Roman"/>
          <w:b w:val="0"/>
          <w:i w:val="0"/>
          <w:sz w:val="24"/>
        </w:rPr>
        <w:t>Award Plaintiff costs associated with this filing;</w:t>
      </w:r>
    </w:p>
    <w:p>
      <w:pPr>
        <w:jc w:val="left"/>
      </w:pPr>
      <w:r>
        <w:rPr>
          <w:rFonts w:ascii="Times New Roman" w:hAnsi="Times New Roman"/>
          <w:b w:val="0"/>
          <w:i w:val="0"/>
          <w:sz w:val="24"/>
        </w:rPr>
        <w:t xml:space="preserve">8. </w:t>
      </w:r>
      <w:r>
        <w:rPr>
          <w:rFonts w:ascii="Times New Roman" w:hAnsi="Times New Roman"/>
          <w:b w:val="0"/>
          <w:i w:val="0"/>
          <w:sz w:val="24"/>
        </w:rPr>
        <w:t>Grant such other and further relief as this Court deems just and equitable.</w:t>
      </w:r>
    </w:p>
    <w:p>
      <w:pPr>
        <w:jc w:val="left"/>
      </w:pPr>
      <w:r>
        <w:rPr>
          <w:rFonts w:ascii="Times New Roman" w:hAnsi="Times New Roman"/>
          <w:b w:val="0"/>
          <w:i w:val="0"/>
          <w:sz w:val="24"/>
        </w:rPr>
        <w:t>Respectfully submitted,</w:t>
      </w:r>
    </w:p>
    <w:p>
      <w:pPr>
        <w:spacing w:after="0"/>
        <w:jc w:val="left"/>
      </w:pPr>
      <w:r>
        <w:rPr>
          <w:rFonts w:ascii="Times New Roman" w:hAnsi="Times New Roman"/>
          <w:b w:val="0"/>
          <w:sz w:val="24"/>
        </w:rPr>
        <w:t>_____________________________</w:t>
      </w:r>
    </w:p>
    <w:p>
      <w:pPr>
        <w:jc w:val="left"/>
      </w:pPr>
      <w:r>
        <w:rPr>
          <w:rFonts w:ascii="Times New Roman" w:hAnsi="Times New Roman"/>
          <w:b w:val="0"/>
          <w:i w:val="0"/>
          <w:sz w:val="24"/>
        </w:rPr>
        <w:t xml:space="preserve">ANDREW PIGORS, Pro Se Plaintiff [Address] [Phone] [Email] Date: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p>
    <w:p>
      <w:pPr>
        <w:spacing w:after="120"/>
        <w:jc w:val="center"/>
      </w:pPr>
      <w:r>
        <w:rPr>
          <w:rFonts w:ascii="Times New Roman" w:hAnsi="Times New Roman"/>
          <w:b/>
          <w:sz w:val="24"/>
        </w:rPr>
        <w:t>CERTIFICATE OF SERVICE</w:t>
      </w:r>
    </w:p>
    <w:p>
      <w:pPr>
        <w:jc w:val="left"/>
      </w:pPr>
      <w:r>
        <w:rPr>
          <w:rFonts w:ascii="Times New Roman" w:hAnsi="Times New Roman"/>
          <w:b w:val="0"/>
          <w:i w:val="0"/>
          <w:sz w:val="24"/>
        </w:rPr>
        <w:t xml:space="preserve">I hereby certify that on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 20</w:t>
      </w:r>
      <w:r>
        <w:rPr>
          <w:rFonts w:ascii="Times New Roman" w:hAnsi="Times New Roman"/>
          <w:b w:val="0"/>
          <w:i w:val="0"/>
          <w:sz w:val="24"/>
        </w:rPr>
        <w:t>__, a true and correct copy of the foregoing COMPLAINT FOR WRIT OF MANDAMUS was served upon:</w:t>
      </w:r>
    </w:p>
    <w:p>
      <w:pPr>
        <w:jc w:val="left"/>
      </w:pPr>
      <w:r>
        <w:rPr>
          <w:rFonts w:ascii="Times New Roman" w:hAnsi="Times New Roman"/>
          <w:b w:val="0"/>
          <w:i w:val="0"/>
          <w:sz w:val="24"/>
        </w:rPr>
        <w:t>Hon. Jenny L. McNeill, Respondent 14th Circuit Court [Court Address on file]</w:t>
      </w:r>
    </w:p>
    <w:p>
      <w:pPr>
        <w:jc w:val="left"/>
      </w:pPr>
      <w:r>
        <w:rPr>
          <w:rFonts w:ascii="Times New Roman" w:hAnsi="Times New Roman"/>
          <w:b w:val="0"/>
          <w:i w:val="0"/>
          <w:sz w:val="24"/>
        </w:rPr>
        <w:t>Emily A. Watson, Real Party in Interest [Address on file]</w:t>
      </w:r>
    </w:p>
    <w:p>
      <w:pPr>
        <w:jc w:val="left"/>
      </w:pPr>
      <w:r>
        <w:rPr>
          <w:rFonts w:ascii="Times New Roman" w:hAnsi="Times New Roman"/>
          <w:b w:val="0"/>
          <w:i w:val="0"/>
          <w:sz w:val="24"/>
        </w:rPr>
        <w:t>via:</w:t>
      </w:r>
    </w:p>
    <w:p>
      <w:pPr>
        <w:spacing w:after="0"/>
        <w:jc w:val="left"/>
      </w:pPr>
      <w:r>
        <w:rPr>
          <w:rFonts w:ascii="Times New Roman" w:hAnsi="Times New Roman"/>
          <w:b w:val="0"/>
          <w:sz w:val="24"/>
        </w:rPr>
        <w:t>( ) First-class US Mail</w:t>
      </w:r>
    </w:p>
    <w:p>
      <w:pPr>
        <w:spacing w:after="0"/>
        <w:jc w:val="left"/>
      </w:pPr>
      <w:r>
        <w:rPr>
          <w:rFonts w:ascii="Times New Roman" w:hAnsi="Times New Roman"/>
          <w:b w:val="0"/>
          <w:sz w:val="24"/>
        </w:rPr>
        <w:t>( ) Personal Service</w:t>
      </w:r>
    </w:p>
    <w:p>
      <w:pPr>
        <w:spacing w:after="0"/>
        <w:jc w:val="left"/>
      </w:pPr>
      <w:r>
        <w:rPr>
          <w:rFonts w:ascii="Times New Roman" w:hAnsi="Times New Roman"/>
          <w:b w:val="0"/>
          <w:sz w:val="24"/>
        </w:rPr>
        <w:t>( ) Electronic Filing (MiFILE)</w:t>
      </w:r>
    </w:p>
    <w:p>
      <w:pPr>
        <w:spacing w:after="0"/>
        <w:jc w:val="left"/>
      </w:pPr>
      <w:r>
        <w:rPr>
          <w:rFonts w:ascii="Times New Roman" w:hAnsi="Times New Roman"/>
          <w:b w:val="0"/>
          <w:sz w:val="24"/>
        </w:rPr>
        <w:t>( ) Certified Mail, Return Receipt Requested</w:t>
      </w:r>
    </w:p>
    <w:p>
      <w:pPr>
        <w:spacing w:after="0"/>
        <w:jc w:val="left"/>
      </w:pPr>
      <w:r>
        <w:rPr>
          <w:rFonts w:ascii="Times New Roman" w:hAnsi="Times New Roman"/>
          <w:b w:val="0"/>
          <w:sz w:val="24"/>
        </w:rPr>
        <w:t>_____________________________</w:t>
      </w:r>
    </w:p>
    <w:p>
      <w:pPr>
        <w:jc w:val="left"/>
      </w:pPr>
      <w:r>
        <w:rPr>
          <w:rFonts w:ascii="Times New Roman" w:hAnsi="Times New Roman"/>
          <w:b w:val="0"/>
          <w:i w:val="0"/>
          <w:sz w:val="24"/>
        </w:rPr>
        <w:t xml:space="preserve">ANDREW PIGORS Date: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instrText> PAGE </w:instrText>
    </w:r>
    <w:r>
      <w:fldChar w:fldCharType="separate"/>
    </w:r>
    <w:r>
      <w:t>1</w:t>
    </w:r>
    <w:r>
      <w:fldChar w:fldCharType="end"/>
    </w:r>
    <w:r>
      <w:rPr>
        <w:rFonts w:ascii="Times New Roman" w:hAnsi="Times New Roman"/>
        <w:sz w:val="20"/>
      </w:rPr>
      <w:t xml:space="preserve"> of </w:t>
    </w:r>
    <w:r>
      <w:fldChar w:fldCharType="begin"/>
    </w:r>
    <w:r>
      <w:instrText>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pacing w:line="480" w:lineRule="auto"/>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