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val="0"/>
          <w:sz w:val="24"/>
        </w:rPr>
        <w:t>IN THE COURT OF APPEALS</w:t>
      </w:r>
      <w:spacing w:line="240" w:lineRule="auto"/>
    </w:p>
    <w:p>
      <w:pPr>
        <w:spacing w:after="0"/>
        <w:jc w:val="center"/>
      </w:pPr>
      <w:r>
        <w:rPr>
          <w:rFonts w:ascii="Times New Roman" w:hAnsi="Times New Roman"/>
          <w:b w:val="0"/>
          <w:sz w:val="24"/>
        </w:rPr>
        <w:t>STATE OF MICHIGAN</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ANDREW PIGORS,</w:t>
      </w:r>
      <w:spacing w:line="240" w:lineRule="auto"/>
    </w:p>
    <w:p>
      <w:pPr>
        <w:spacing w:after="0"/>
        <w:jc w:val="center"/>
      </w:pPr>
      <w:r>
        <w:rPr>
          <w:rFonts w:ascii="Times New Roman" w:hAnsi="Times New Roman"/>
          <w:b w:val="0"/>
          <w:sz w:val="24"/>
        </w:rPr>
        <w:t>Plaintiff-Appellant,                Case No. 366810</w:t>
      </w:r>
      <w:spacing w:line="240" w:lineRule="auto"/>
    </w:p>
    <w:p>
      <w:pPr>
        <w:spacing w:after="0"/>
        <w:jc w:val="center"/>
      </w:pPr>
      <w:r>
        <w:rPr>
          <w:rFonts w:ascii="Times New Roman" w:hAnsi="Times New Roman"/>
          <w:b w:val="0"/>
          <w:sz w:val="24"/>
        </w:rPr>
      </w:r>
      <w:spacing w:line="240" w:lineRule="auto"/>
    </w:p>
    <w:p>
      <w:pPr>
        <w:spacing w:after="0"/>
        <w:jc w:val="center"/>
      </w:pPr>
      <w:r>
        <w:rPr>
          <w:rFonts w:ascii="Times New Roman" w:hAnsi="Times New Roman"/>
          <w:b w:val="0"/>
          <w:sz w:val="24"/>
        </w:rPr>
        <w:t>v                                       14th Circuit Case No. 2024-1507-DC</w:t>
      </w:r>
      <w:spacing w:line="240" w:lineRule="auto"/>
    </w:p>
    <w:p>
      <w:pPr>
        <w:spacing w:after="0"/>
        <w:jc w:val="center"/>
      </w:pPr>
      <w:r>
        <w:rPr>
          <w:rFonts w:ascii="Times New Roman" w:hAnsi="Times New Roman"/>
          <w:b w:val="0"/>
          <w:sz w:val="24"/>
        </w:rPr>
        <w:t>Hon. Jenny L. McNeill (lower court)</w:t>
      </w:r>
      <w:spacing w:line="240" w:lineRule="auto"/>
    </w:p>
    <w:p>
      <w:pPr>
        <w:spacing w:after="0"/>
        <w:jc w:val="center"/>
      </w:pPr>
      <w:r>
        <w:rPr>
          <w:rFonts w:ascii="Times New Roman" w:hAnsi="Times New Roman"/>
          <w:b w:val="0"/>
          <w:sz w:val="24"/>
        </w:rPr>
        <w:t>EMILY A. WATSON,</w:t>
      </w:r>
      <w:spacing w:line="240" w:lineRule="auto"/>
    </w:p>
    <w:p>
      <w:pPr>
        <w:spacing w:after="0"/>
        <w:jc w:val="center"/>
      </w:pPr>
      <w:r>
        <w:rPr>
          <w:rFonts w:ascii="Times New Roman" w:hAnsi="Times New Roman"/>
          <w:b w:val="0"/>
          <w:sz w:val="24"/>
        </w:rPr>
        <w:t>Defendant-Appellee.</w:t>
      </w:r>
      <w:spacing w:line="240" w:lineRule="auto"/>
    </w:p>
    <w:p>
      <w:pPr>
        <w:spacing w:after="0"/>
        <w:jc w:val="center"/>
      </w:pPr>
      <w:r>
        <w:rPr>
          <w:rFonts w:ascii="Times New Roman" w:hAnsi="Times New Roman"/>
          <w:b w:val="0"/>
          <w:sz w:val="24"/>
        </w:rPr>
        <w:t>_______________________________________________/</w:t>
      </w:r>
      <w:spacing w:line="240" w:lineRule="auto"/>
    </w:p>
    <w:p>
      <w:pPr>
        <w:spacing w:after="0"/>
        <w:jc w:val="center"/>
      </w:pPr>
      <w:r>
        <w:rPr>
          <w:rFonts w:ascii="Times New Roman" w:hAnsi="Times New Roman"/>
          <w:b w:val="0"/>
          <w:sz w:val="24"/>
        </w:rPr>
      </w:r>
      <w:spacing w:line="240" w:lineRule="auto"/>
    </w:p>
    <w:p/>
    <w:p>
      <w:pPr>
        <w:spacing w:after="120"/>
        <w:jc w:val="center"/>
      </w:pPr>
      <w:r>
        <w:rPr>
          <w:rFonts w:ascii="Times New Roman" w:hAnsi="Times New Roman"/>
          <w:b/>
          <w:sz w:val="24"/>
        </w:rPr>
        <w:t>APPEAL BRIEF (CASE 366810)</w:t>
      </w:r>
    </w:p>
    <w:p>
      <w:pPr>
        <w:spacing w:after="120"/>
        <w:jc w:val="center"/>
      </w:pPr>
      <w:r>
        <w:rPr>
          <w:rFonts w:ascii="Times New Roman" w:hAnsi="Times New Roman"/>
          <w:b/>
          <w:sz w:val="24"/>
        </w:rPr>
        <w:t>I. STATEMENT OF JURISDICTION</w:t>
      </w:r>
    </w:p>
    <w:p>
      <w:pPr>
        <w:jc w:val="left"/>
      </w:pPr>
      <w:r>
        <w:rPr>
          <w:rFonts w:ascii="Times New Roman" w:hAnsi="Times New Roman"/>
          <w:b w:val="0"/>
          <w:i w:val="0"/>
          <w:sz w:val="24"/>
        </w:rPr>
        <w:t>This Court has jurisdiction over this appeal pursuant to MCR 7.203(A) and MCR 7.204. Plaintiff-Appellant Andrew Pigors appeals from orders of the 14th Circuit Court, Case No. 2024-1507-DC, the Honorable Jenny L. McNeill presiding. The appeal was timely filed and has been assigned COA Case No. 366810. This brief is filed in compliance with MCR 7.212.</w:t>
      </w:r>
    </w:p>
    <w:p>
      <w:pPr>
        <w:spacing w:after="120"/>
        <w:jc w:val="center"/>
      </w:pPr>
      <w:r>
        <w:rPr>
          <w:rFonts w:ascii="Times New Roman" w:hAnsi="Times New Roman"/>
          <w:b/>
          <w:sz w:val="24"/>
        </w:rPr>
        <w:t>II. STATEMENT OF QUESTIONS PRESENTED</w:t>
      </w:r>
    </w:p>
    <w:p>
      <w:pPr>
        <w:jc w:val="left"/>
      </w:pPr>
      <w:r>
        <w:rPr>
          <w:rFonts w:ascii="Times New Roman" w:hAnsi="Times New Roman"/>
          <w:b/>
          <w:i w:val="0"/>
          <w:sz w:val="24"/>
        </w:rPr>
        <w:t>ISSUE I:</w:t>
      </w:r>
      <w:r>
        <w:rPr>
          <w:rFonts w:ascii="Times New Roman" w:hAnsi="Times New Roman"/>
          <w:b w:val="0"/>
          <w:i w:val="0"/>
          <w:sz w:val="24"/>
        </w:rPr>
        <w:t xml:space="preserve"> Did the trial court err in issuing ex parte orders without the procedural safeguards required by MCR 3.207(B) and the Due Process Clause of the Fourteenth Amendment?</w:t>
      </w:r>
    </w:p>
    <w:p>
      <w:pPr>
        <w:jc w:val="left"/>
      </w:pPr>
      <w:r>
        <w:rPr>
          <w:rFonts w:ascii="Times New Roman" w:hAnsi="Times New Roman"/>
          <w:b w:val="0"/>
          <w:i/>
          <w:sz w:val="24"/>
        </w:rPr>
        <w:t>The trial court would answer: No.</w:t>
      </w:r>
      <w:r>
        <w:rPr>
          <w:rFonts w:ascii="Times New Roman" w:hAnsi="Times New Roman"/>
          <w:b w:val="0"/>
          <w:i w:val="0"/>
          <w:sz w:val="24"/>
        </w:rPr>
        <w:t xml:space="preserve"> </w:t>
      </w:r>
      <w:r>
        <w:rPr>
          <w:rFonts w:ascii="Times New Roman" w:hAnsi="Times New Roman"/>
          <w:b w:val="0"/>
          <w:i/>
          <w:sz w:val="24"/>
        </w:rPr>
        <w:t>Plaintiff-Appellant answers: Yes.</w:t>
      </w:r>
    </w:p>
    <w:p>
      <w:pPr>
        <w:jc w:val="left"/>
      </w:pPr>
      <w:r>
        <w:rPr>
          <w:rFonts w:ascii="Times New Roman" w:hAnsi="Times New Roman"/>
          <w:b/>
          <w:i w:val="0"/>
          <w:sz w:val="24"/>
        </w:rPr>
        <w:t>ISSUE II:</w:t>
      </w:r>
      <w:r>
        <w:rPr>
          <w:rFonts w:ascii="Times New Roman" w:hAnsi="Times New Roman"/>
          <w:b w:val="0"/>
          <w:i w:val="0"/>
          <w:sz w:val="24"/>
        </w:rPr>
        <w:t xml:space="preserve"> Did the trial court fail to conduct a proper best-interests analysis under MCL 722.23 before ordering parent-child separation lasting over 209 days?</w:t>
      </w:r>
    </w:p>
    <w:p>
      <w:pPr>
        <w:jc w:val="left"/>
      </w:pPr>
      <w:r>
        <w:rPr>
          <w:rFonts w:ascii="Times New Roman" w:hAnsi="Times New Roman"/>
          <w:b w:val="0"/>
          <w:i/>
          <w:sz w:val="24"/>
        </w:rPr>
        <w:t>The trial court would answer: No.</w:t>
      </w:r>
      <w:r>
        <w:rPr>
          <w:rFonts w:ascii="Times New Roman" w:hAnsi="Times New Roman"/>
          <w:b w:val="0"/>
          <w:i w:val="0"/>
          <w:sz w:val="24"/>
        </w:rPr>
        <w:t xml:space="preserve"> </w:t>
      </w:r>
      <w:r>
        <w:rPr>
          <w:rFonts w:ascii="Times New Roman" w:hAnsi="Times New Roman"/>
          <w:b w:val="0"/>
          <w:i/>
          <w:sz w:val="24"/>
        </w:rPr>
        <w:t>Plaintiff-Appellant answers: Yes.</w:t>
      </w:r>
    </w:p>
    <w:p>
      <w:pPr>
        <w:jc w:val="left"/>
      </w:pPr>
      <w:r>
        <w:rPr>
          <w:rFonts w:ascii="Times New Roman" w:hAnsi="Times New Roman"/>
          <w:b/>
          <w:i w:val="0"/>
          <w:sz w:val="24"/>
        </w:rPr>
        <w:t>ISSUE III:</w:t>
      </w:r>
      <w:r>
        <w:rPr>
          <w:rFonts w:ascii="Times New Roman" w:hAnsi="Times New Roman"/>
          <w:b w:val="0"/>
          <w:i w:val="0"/>
          <w:sz w:val="24"/>
        </w:rPr>
        <w:t xml:space="preserve"> Does the trial court's documented pattern of conduct — including 1,127 violations and 167 disqualification grounds under MCR 2.003 — demonstrate bias requiring reversal?</w:t>
      </w:r>
    </w:p>
    <w:p>
      <w:pPr>
        <w:jc w:val="left"/>
      </w:pPr>
      <w:r>
        <w:rPr>
          <w:rFonts w:ascii="Times New Roman" w:hAnsi="Times New Roman"/>
          <w:b w:val="0"/>
          <w:i/>
          <w:sz w:val="24"/>
        </w:rPr>
        <w:t>The trial court would answer: No.</w:t>
      </w:r>
      <w:r>
        <w:rPr>
          <w:rFonts w:ascii="Times New Roman" w:hAnsi="Times New Roman"/>
          <w:b w:val="0"/>
          <w:i w:val="0"/>
          <w:sz w:val="24"/>
        </w:rPr>
        <w:t xml:space="preserve"> </w:t>
      </w:r>
      <w:r>
        <w:rPr>
          <w:rFonts w:ascii="Times New Roman" w:hAnsi="Times New Roman"/>
          <w:b w:val="0"/>
          <w:i/>
          <w:sz w:val="24"/>
        </w:rPr>
        <w:t>Plaintiff-Appellant answers: Yes.</w:t>
      </w:r>
    </w:p>
    <w:p>
      <w:pPr>
        <w:jc w:val="left"/>
      </w:pPr>
      <w:r>
        <w:rPr>
          <w:rFonts w:ascii="Times New Roman" w:hAnsi="Times New Roman"/>
          <w:b/>
          <w:i w:val="0"/>
          <w:sz w:val="24"/>
        </w:rPr>
        <w:t>ISSUE IV:</w:t>
      </w:r>
      <w:r>
        <w:rPr>
          <w:rFonts w:ascii="Times New Roman" w:hAnsi="Times New Roman"/>
          <w:b w:val="0"/>
          <w:i w:val="0"/>
          <w:sz w:val="24"/>
        </w:rPr>
        <w:t xml:space="preserve"> Has Plaintiff-Appellant's fundamental liberty interest in the parent-child relationship, as recognized in </w:t>
      </w:r>
      <w:r>
        <w:rPr>
          <w:rFonts w:ascii="Times New Roman" w:hAnsi="Times New Roman"/>
          <w:b w:val="0"/>
          <w:i/>
          <w:sz w:val="24"/>
        </w:rPr>
        <w:t>Troxel v Granville</w:t>
      </w:r>
      <w:r>
        <w:rPr>
          <w:rFonts w:ascii="Times New Roman" w:hAnsi="Times New Roman"/>
          <w:b w:val="0"/>
          <w:i w:val="0"/>
          <w:sz w:val="24"/>
        </w:rPr>
        <w:t>, 530 US 57 (2000), been violated by the deprivation of parental contact without constitutionally adequate process?</w:t>
      </w:r>
    </w:p>
    <w:p>
      <w:pPr>
        <w:jc w:val="left"/>
      </w:pPr>
      <w:r>
        <w:rPr>
          <w:rFonts w:ascii="Times New Roman" w:hAnsi="Times New Roman"/>
          <w:b w:val="0"/>
          <w:i/>
          <w:sz w:val="24"/>
        </w:rPr>
        <w:t>The trial court would answer: No.</w:t>
      </w:r>
      <w:r>
        <w:rPr>
          <w:rFonts w:ascii="Times New Roman" w:hAnsi="Times New Roman"/>
          <w:b w:val="0"/>
          <w:i w:val="0"/>
          <w:sz w:val="24"/>
        </w:rPr>
        <w:t xml:space="preserve"> </w:t>
      </w:r>
      <w:r>
        <w:rPr>
          <w:rFonts w:ascii="Times New Roman" w:hAnsi="Times New Roman"/>
          <w:b w:val="0"/>
          <w:i/>
          <w:sz w:val="24"/>
        </w:rPr>
        <w:t>Plaintiff-Appellant answers: Yes.</w:t>
      </w:r>
    </w:p>
    <w:p>
      <w:pPr>
        <w:spacing w:after="120"/>
        <w:jc w:val="center"/>
      </w:pPr>
      <w:r>
        <w:rPr>
          <w:rFonts w:ascii="Times New Roman" w:hAnsi="Times New Roman"/>
          <w:b/>
          <w:sz w:val="24"/>
        </w:rPr>
        <w:t>III. STATEMENT OF FACTS</w:t>
      </w:r>
    </w:p>
    <w:p>
      <w:pPr>
        <w:jc w:val="left"/>
      </w:pPr>
      <w:r>
        <w:rPr>
          <w:rFonts w:ascii="Times New Roman" w:hAnsi="Times New Roman"/>
          <w:b w:val="0"/>
          <w:i w:val="0"/>
          <w:sz w:val="24"/>
        </w:rPr>
        <w:t xml:space="preserve">1. </w:t>
      </w:r>
      <w:r>
        <w:rPr>
          <w:rFonts w:ascii="Times New Roman" w:hAnsi="Times New Roman"/>
          <w:b w:val="0"/>
          <w:i w:val="0"/>
          <w:sz w:val="24"/>
        </w:rPr>
        <w:t>This action arises from custody proceedings in the 14th Circuit Court, Case No. 2024-1507-DC, presided over by Judge Jenny L. McNeill.</w:t>
      </w:r>
    </w:p>
    <w:p>
      <w:pPr>
        <w:jc w:val="left"/>
      </w:pPr>
      <w:r>
        <w:rPr>
          <w:rFonts w:ascii="Times New Roman" w:hAnsi="Times New Roman"/>
          <w:b w:val="0"/>
          <w:i w:val="0"/>
          <w:sz w:val="24"/>
        </w:rPr>
        <w:t xml:space="preserve">2. </w:t>
      </w:r>
      <w:r>
        <w:rPr>
          <w:rFonts w:ascii="Times New Roman" w:hAnsi="Times New Roman"/>
          <w:b w:val="0"/>
          <w:i w:val="0"/>
          <w:sz w:val="24"/>
        </w:rPr>
        <w:t>Since August 8, 2025, Plaintiff-Appellant Andrew Pigors has been separated from his child — a period now exceeding 209 days — pursuant to orders entered without constitutionally adequate process.</w:t>
      </w:r>
    </w:p>
    <w:p>
      <w:pPr>
        <w:jc w:val="left"/>
      </w:pPr>
      <w:r>
        <w:rPr>
          <w:rFonts w:ascii="Times New Roman" w:hAnsi="Times New Roman"/>
          <w:b w:val="0"/>
          <w:i w:val="0"/>
          <w:sz w:val="24"/>
        </w:rPr>
        <w:t xml:space="preserve">3. </w:t>
      </w:r>
      <w:r>
        <w:rPr>
          <w:rFonts w:ascii="Times New Roman" w:hAnsi="Times New Roman"/>
          <w:b w:val="0"/>
          <w:i w:val="0"/>
          <w:sz w:val="24"/>
        </w:rPr>
        <w:t>The record documents 1,127 procedural and substantive violations by the trial court, including 482 instances of improper ex parte conduct and 377 violations classified as critical.</w:t>
      </w:r>
    </w:p>
    <w:p>
      <w:pPr>
        <w:jc w:val="left"/>
      </w:pPr>
      <w:r>
        <w:rPr>
          <w:rFonts w:ascii="Times New Roman" w:hAnsi="Times New Roman"/>
          <w:b w:val="0"/>
          <w:i w:val="0"/>
          <w:sz w:val="24"/>
        </w:rPr>
        <w:t xml:space="preserve">4. </w:t>
      </w:r>
      <w:r>
        <w:rPr>
          <w:rFonts w:ascii="Times New Roman" w:hAnsi="Times New Roman"/>
          <w:b w:val="0"/>
          <w:i w:val="0"/>
          <w:sz w:val="24"/>
        </w:rPr>
        <w:t>The trial court has engaged in ex parte handling of matters, unequal treatment of evidence, and hostile commentary directed at Plaintiff-Appellant.</w:t>
      </w:r>
    </w:p>
    <w:p>
      <w:pPr>
        <w:jc w:val="left"/>
      </w:pPr>
      <w:r>
        <w:rPr>
          <w:rFonts w:ascii="Times New Roman" w:hAnsi="Times New Roman"/>
          <w:b w:val="0"/>
          <w:i w:val="0"/>
          <w:sz w:val="24"/>
        </w:rPr>
        <w:t xml:space="preserve">5. </w:t>
      </w:r>
      <w:r>
        <w:rPr>
          <w:rFonts w:ascii="Times New Roman" w:hAnsi="Times New Roman"/>
          <w:b w:val="0"/>
          <w:i w:val="0"/>
          <w:sz w:val="24"/>
        </w:rPr>
        <w:t>On August 15, 2025, Judge McNeill denied Plaintiff-Appellant's motion without hearing.</w:t>
      </w:r>
    </w:p>
    <w:p>
      <w:pPr>
        <w:jc w:val="left"/>
      </w:pPr>
      <w:r>
        <w:rPr>
          <w:rFonts w:ascii="Times New Roman" w:hAnsi="Times New Roman"/>
          <w:b w:val="0"/>
          <w:i w:val="0"/>
          <w:sz w:val="24"/>
        </w:rPr>
        <w:t xml:space="preserve">6. </w:t>
      </w:r>
      <w:r>
        <w:rPr>
          <w:rFonts w:ascii="Times New Roman" w:hAnsi="Times New Roman"/>
          <w:b w:val="0"/>
          <w:i w:val="0"/>
          <w:sz w:val="24"/>
        </w:rPr>
        <w:t>On August 25, 2025, Judge McNeill again denied Plaintiff-Appellant's motion without hearing.</w:t>
      </w:r>
    </w:p>
    <w:p>
      <w:pPr>
        <w:jc w:val="left"/>
      </w:pPr>
      <w:r>
        <w:rPr>
          <w:rFonts w:ascii="Times New Roman" w:hAnsi="Times New Roman"/>
          <w:b w:val="0"/>
          <w:i w:val="0"/>
          <w:sz w:val="24"/>
        </w:rPr>
        <w:t xml:space="preserve">7. </w:t>
      </w:r>
      <w:r>
        <w:rPr>
          <w:rFonts w:ascii="Times New Roman" w:hAnsi="Times New Roman"/>
          <w:b w:val="0"/>
          <w:i w:val="0"/>
          <w:sz w:val="24"/>
        </w:rPr>
        <w:t>On January 10, 2026, a further motion was denied without hearing.</w:t>
      </w:r>
    </w:p>
    <w:p>
      <w:pPr>
        <w:jc w:val="left"/>
      </w:pPr>
      <w:r>
        <w:rPr>
          <w:rFonts w:ascii="Times New Roman" w:hAnsi="Times New Roman"/>
          <w:b w:val="0"/>
          <w:i w:val="0"/>
          <w:sz w:val="24"/>
        </w:rPr>
        <w:t xml:space="preserve">8. </w:t>
      </w:r>
      <w:r>
        <w:rPr>
          <w:rFonts w:ascii="Times New Roman" w:hAnsi="Times New Roman"/>
          <w:b w:val="0"/>
          <w:i w:val="0"/>
          <w:sz w:val="24"/>
        </w:rPr>
        <w:t>At no point did the trial court conduct a best-interests analysis under MCL 722.23 or make findings on any of the statutory factors before ordering or continuing the separation.</w:t>
      </w:r>
    </w:p>
    <w:p>
      <w:pPr>
        <w:jc w:val="left"/>
      </w:pPr>
      <w:r>
        <w:rPr>
          <w:rFonts w:ascii="Times New Roman" w:hAnsi="Times New Roman"/>
          <w:b w:val="0"/>
          <w:i w:val="0"/>
          <w:sz w:val="24"/>
        </w:rPr>
        <w:t xml:space="preserve">9. </w:t>
      </w:r>
      <w:r>
        <w:rPr>
          <w:rFonts w:ascii="Times New Roman" w:hAnsi="Times New Roman"/>
          <w:b w:val="0"/>
          <w:i w:val="0"/>
          <w:sz w:val="24"/>
        </w:rPr>
        <w:t>Plaintiff-Appellant has documented 167 grounds for disqualification under MCR 2.003, and 105 grounds for relief from judgment under MCR 2.612(C).</w:t>
      </w:r>
    </w:p>
    <w:p>
      <w:pPr>
        <w:jc w:val="left"/>
      </w:pPr>
      <w:r>
        <w:rPr>
          <w:rFonts w:ascii="Times New Roman" w:hAnsi="Times New Roman"/>
          <w:b w:val="0"/>
          <w:i w:val="0"/>
          <w:sz w:val="24"/>
        </w:rPr>
        <w:t xml:space="preserve">10. </w:t>
      </w:r>
      <w:r>
        <w:rPr>
          <w:rFonts w:ascii="Times New Roman" w:hAnsi="Times New Roman"/>
          <w:b w:val="0"/>
          <w:i w:val="0"/>
          <w:sz w:val="24"/>
        </w:rPr>
        <w:t>Plaintiff-Appellant has been irreparably harmed by the ongoing deprivation of his fundamental right to the parent-child relationship, which constitutes a continuing constitutional violation.</w:t>
      </w:r>
    </w:p>
    <w:p>
      <w:pPr>
        <w:spacing w:after="120"/>
        <w:jc w:val="center"/>
      </w:pPr>
      <w:r>
        <w:rPr>
          <w:rFonts w:ascii="Times New Roman" w:hAnsi="Times New Roman"/>
          <w:b/>
          <w:sz w:val="24"/>
        </w:rPr>
        <w:t>IV. LEGAL AUTHORITY</w:t>
      </w:r>
    </w:p>
    <w:p>
      <w:pPr>
        <w:spacing w:after="120"/>
        <w:jc w:val="left"/>
      </w:pPr>
      <w:r>
        <w:rPr>
          <w:rFonts w:ascii="Times New Roman" w:hAnsi="Times New Roman"/>
          <w:b/>
          <w:sz w:val="24"/>
        </w:rPr>
        <w:t>A. Statutes</w:t>
      </w:r>
    </w:p>
    <w:p>
      <w:pPr>
        <w:jc w:val="left"/>
      </w:pPr>
      <w:r>
        <w:rPr>
          <w:rFonts w:ascii="Times New Roman" w:hAnsi="Times New Roman"/>
          <w:b/>
          <w:i w:val="0"/>
          <w:sz w:val="24"/>
        </w:rPr>
        <w:t>MCL 722.23</w:t>
      </w:r>
      <w:r>
        <w:rPr>
          <w:rFonts w:ascii="Times New Roman" w:hAnsi="Times New Roman"/>
          <w:b w:val="0"/>
          <w:i w:val="0"/>
          <w:sz w:val="24"/>
        </w:rPr>
        <w:t xml:space="preserve"> — Best interests of the child; statutory factors the trial court must evaluate before modifying custody or parenting time.</w:t>
      </w:r>
    </w:p>
    <w:p>
      <w:pPr>
        <w:jc w:val="left"/>
      </w:pPr>
      <w:r>
        <w:rPr>
          <w:rFonts w:ascii="Times New Roman" w:hAnsi="Times New Roman"/>
          <w:b/>
          <w:i w:val="0"/>
          <w:sz w:val="24"/>
        </w:rPr>
        <w:t>MCL 722.27a</w:t>
      </w:r>
      <w:r>
        <w:rPr>
          <w:rFonts w:ascii="Times New Roman" w:hAnsi="Times New Roman"/>
          <w:b w:val="0"/>
          <w:i w:val="0"/>
          <w:sz w:val="24"/>
        </w:rPr>
        <w:t xml:space="preserve"> — Parenting time; establishes the right to parenting time and the standards governing its modification or restriction.</w:t>
      </w:r>
    </w:p>
    <w:p>
      <w:pPr>
        <w:spacing w:after="120"/>
        <w:jc w:val="left"/>
      </w:pPr>
      <w:r>
        <w:rPr>
          <w:rFonts w:ascii="Times New Roman" w:hAnsi="Times New Roman"/>
          <w:b/>
          <w:sz w:val="24"/>
        </w:rPr>
        <w:t>B. Court Rules</w:t>
      </w:r>
    </w:p>
    <w:p>
      <w:pPr>
        <w:jc w:val="left"/>
      </w:pPr>
      <w:r>
        <w:rPr>
          <w:rFonts w:ascii="Times New Roman" w:hAnsi="Times New Roman"/>
          <w:b/>
          <w:i w:val="0"/>
          <w:sz w:val="24"/>
        </w:rPr>
        <w:t>MCR 7.212</w:t>
      </w:r>
      <w:r>
        <w:rPr>
          <w:rFonts w:ascii="Times New Roman" w:hAnsi="Times New Roman"/>
          <w:b w:val="0"/>
          <w:i w:val="0"/>
          <w:sz w:val="24"/>
        </w:rPr>
        <w:t xml:space="preserve"> — Requirements for briefs filed in the Court of Appeals, including format, content, and length requirements. This brief is filed in compliance therewith.</w:t>
      </w:r>
    </w:p>
    <w:p>
      <w:pPr>
        <w:jc w:val="left"/>
      </w:pPr>
      <w:r>
        <w:rPr>
          <w:rFonts w:ascii="Times New Roman" w:hAnsi="Times New Roman"/>
          <w:b/>
          <w:i w:val="0"/>
          <w:sz w:val="24"/>
        </w:rPr>
        <w:t>MCR 7.215</w:t>
      </w:r>
      <w:r>
        <w:rPr>
          <w:rFonts w:ascii="Times New Roman" w:hAnsi="Times New Roman"/>
          <w:b w:val="0"/>
          <w:i w:val="0"/>
          <w:sz w:val="24"/>
        </w:rPr>
        <w:t xml:space="preserve"> — Precedential effect of published and unpublished Court of Appeals decisions.</w:t>
      </w:r>
    </w:p>
    <w:p>
      <w:pPr>
        <w:jc w:val="left"/>
      </w:pPr>
      <w:r>
        <w:rPr>
          <w:rFonts w:ascii="Times New Roman" w:hAnsi="Times New Roman"/>
          <w:b/>
          <w:i w:val="0"/>
          <w:sz w:val="24"/>
        </w:rPr>
        <w:t>MCR 2.003</w:t>
      </w:r>
      <w:r>
        <w:rPr>
          <w:rFonts w:ascii="Times New Roman" w:hAnsi="Times New Roman"/>
          <w:b w:val="0"/>
          <w:i w:val="0"/>
          <w:sz w:val="24"/>
        </w:rPr>
        <w:t xml:space="preserve"> — Disqualification of judges; standards and procedures for disqualification based on bias or prejudice.</w:t>
      </w:r>
    </w:p>
    <w:p>
      <w:pPr>
        <w:jc w:val="left"/>
      </w:pPr>
      <w:r>
        <w:rPr>
          <w:rFonts w:ascii="Times New Roman" w:hAnsi="Times New Roman"/>
          <w:b/>
          <w:i w:val="0"/>
          <w:sz w:val="24"/>
        </w:rPr>
        <w:t>MCR 2.612(C)</w:t>
      </w:r>
      <w:r>
        <w:rPr>
          <w:rFonts w:ascii="Times New Roman" w:hAnsi="Times New Roman"/>
          <w:b w:val="0"/>
          <w:i w:val="0"/>
          <w:sz w:val="24"/>
        </w:rPr>
        <w:t xml:space="preserve"> — Relief from judgment or order; grounds include newly discovered evidence, fraud, and any other reason justifying relief. 105 documented violations support relief under this rule.</w:t>
      </w:r>
    </w:p>
    <w:p>
      <w:pPr>
        <w:jc w:val="left"/>
      </w:pPr>
      <w:r>
        <w:rPr>
          <w:rFonts w:ascii="Times New Roman" w:hAnsi="Times New Roman"/>
          <w:b/>
          <w:i w:val="0"/>
          <w:sz w:val="24"/>
        </w:rPr>
        <w:t>MCR 3.965</w:t>
      </w:r>
      <w:r>
        <w:rPr>
          <w:rFonts w:ascii="Times New Roman" w:hAnsi="Times New Roman"/>
          <w:b w:val="0"/>
          <w:i w:val="0"/>
          <w:sz w:val="24"/>
        </w:rPr>
        <w:t xml:space="preserve"> — Procedures in child protective proceedings, including requirements for hearings and findings.</w:t>
      </w:r>
    </w:p>
    <w:p>
      <w:pPr>
        <w:spacing w:after="120"/>
        <w:jc w:val="left"/>
      </w:pPr>
      <w:r>
        <w:rPr>
          <w:rFonts w:ascii="Times New Roman" w:hAnsi="Times New Roman"/>
          <w:b/>
          <w:sz w:val="24"/>
        </w:rPr>
        <w:t>C. Case Law</w:t>
      </w:r>
    </w:p>
    <w:p>
      <w:pPr>
        <w:jc w:val="left"/>
      </w:pPr>
      <w:r>
        <w:rPr>
          <w:rFonts w:ascii="Times New Roman" w:hAnsi="Times New Roman"/>
          <w:b/>
          <w:i w:val="0"/>
          <w:sz w:val="24"/>
        </w:rPr>
        <w:t>Ruggiero v Ruggiero</w:t>
      </w:r>
      <w:r>
        <w:rPr>
          <w:rFonts w:ascii="Times New Roman" w:hAnsi="Times New Roman"/>
          <w:b w:val="0"/>
          <w:i w:val="0"/>
          <w:sz w:val="24"/>
        </w:rPr>
        <w:t xml:space="preserve"> — Standards for evaluating judicial bias and the obligation of trial courts to maintain impartiality in domestic proceedings.</w:t>
      </w:r>
    </w:p>
    <w:p>
      <w:pPr>
        <w:jc w:val="left"/>
      </w:pPr>
      <w:r>
        <w:rPr>
          <w:rFonts w:ascii="Times New Roman" w:hAnsi="Times New Roman"/>
          <w:b/>
          <w:i w:val="0"/>
          <w:sz w:val="24"/>
        </w:rPr>
        <w:t>People v Lucynski</w:t>
      </w:r>
      <w:r>
        <w:rPr>
          <w:rFonts w:ascii="Times New Roman" w:hAnsi="Times New Roman"/>
          <w:b w:val="0"/>
          <w:i w:val="0"/>
          <w:sz w:val="24"/>
        </w:rPr>
        <w:t xml:space="preserve"> (Docket No. 353646) — Requirements for procedural compliance and the consequences of departure from established court rules.</w:t>
      </w:r>
    </w:p>
    <w:p>
      <w:pPr>
        <w:jc w:val="left"/>
      </w:pPr>
      <w:r>
        <w:rPr>
          <w:rFonts w:ascii="Times New Roman" w:hAnsi="Times New Roman"/>
          <w:b/>
          <w:i w:val="0"/>
          <w:sz w:val="24"/>
        </w:rPr>
        <w:t>People v Morrow</w:t>
      </w:r>
      <w:r>
        <w:rPr>
          <w:rFonts w:ascii="Times New Roman" w:hAnsi="Times New Roman"/>
          <w:b w:val="0"/>
          <w:i w:val="0"/>
          <w:sz w:val="24"/>
        </w:rPr>
        <w:t>, 214 Mich App (Docket No. 315193) — Procedural requirements for ex parte proceedings and the due process protections that must be observed.</w:t>
      </w:r>
    </w:p>
    <w:p>
      <w:pPr>
        <w:jc w:val="left"/>
      </w:pPr>
      <w:r>
        <w:rPr>
          <w:rFonts w:ascii="Times New Roman" w:hAnsi="Times New Roman"/>
          <w:b/>
          <w:i w:val="0"/>
          <w:sz w:val="24"/>
        </w:rPr>
        <w:t>People v Needham</w:t>
      </w:r>
      <w:r>
        <w:rPr>
          <w:rFonts w:ascii="Times New Roman" w:hAnsi="Times New Roman"/>
          <w:b w:val="0"/>
          <w:i w:val="0"/>
          <w:sz w:val="24"/>
        </w:rPr>
        <w:t>, 299 Mich App (Docket No. 319039) — Standards governing the procedural safeguards required before deprivation of fundamental rights.</w:t>
      </w:r>
    </w:p>
    <w:p>
      <w:pPr>
        <w:jc w:val="left"/>
      </w:pPr>
      <w:r>
        <w:rPr>
          <w:rFonts w:ascii="Times New Roman" w:hAnsi="Times New Roman"/>
          <w:b/>
          <w:i w:val="0"/>
          <w:sz w:val="24"/>
        </w:rPr>
        <w:t>People v Winford</w:t>
      </w:r>
      <w:r>
        <w:rPr>
          <w:rFonts w:ascii="Times New Roman" w:hAnsi="Times New Roman"/>
          <w:b w:val="0"/>
          <w:i w:val="0"/>
          <w:sz w:val="24"/>
        </w:rPr>
        <w:t>, 404 Mich App (Docket No. 330799) — Constitutional protections applicable to fundamental liberty interests, including the parent-child relationship.</w:t>
      </w:r>
    </w:p>
    <w:p>
      <w:pPr>
        <w:jc w:val="left"/>
      </w:pPr>
      <w:r>
        <w:rPr>
          <w:rFonts w:ascii="Times New Roman" w:hAnsi="Times New Roman"/>
          <w:b/>
          <w:i w:val="0"/>
          <w:sz w:val="24"/>
        </w:rPr>
        <w:t>People v Wybrecht</w:t>
      </w:r>
      <w:r>
        <w:rPr>
          <w:rFonts w:ascii="Times New Roman" w:hAnsi="Times New Roman"/>
          <w:b w:val="0"/>
          <w:i w:val="0"/>
          <w:sz w:val="24"/>
        </w:rPr>
        <w:t>, 222 Mich App (Docket No. 152551) — Requirements for best-interests analysis and the standard of review applicable to custody determinations.</w:t>
      </w:r>
    </w:p>
    <w:p>
      <w:pPr>
        <w:jc w:val="left"/>
      </w:pPr>
      <w:r>
        <w:rPr>
          <w:rFonts w:ascii="Times New Roman" w:hAnsi="Times New Roman"/>
          <w:b/>
          <w:i w:val="0"/>
          <w:sz w:val="24"/>
        </w:rPr>
        <w:t>Troxel v Granville</w:t>
      </w:r>
      <w:r>
        <w:rPr>
          <w:rFonts w:ascii="Times New Roman" w:hAnsi="Times New Roman"/>
          <w:b w:val="0"/>
          <w:i w:val="0"/>
          <w:sz w:val="24"/>
        </w:rPr>
        <w:t>, 530 US 57 (2000) — The United States Supreme Court recognized that parents have a fundamental liberty interest in the care, custody, and control of their children, protected by the Due Process Clause of the Fourteenth Amendment.</w:t>
      </w:r>
    </w:p>
    <w:p>
      <w:pPr>
        <w:jc w:val="left"/>
      </w:pPr>
      <w:r>
        <w:rPr>
          <w:rFonts w:ascii="Times New Roman" w:hAnsi="Times New Roman"/>
          <w:b/>
          <w:i w:val="0"/>
          <w:sz w:val="24"/>
        </w:rPr>
        <w:t>Santosky v Kramer</w:t>
      </w:r>
      <w:r>
        <w:rPr>
          <w:rFonts w:ascii="Times New Roman" w:hAnsi="Times New Roman"/>
          <w:b w:val="0"/>
          <w:i w:val="0"/>
          <w:sz w:val="24"/>
        </w:rPr>
        <w:t>, 455 US 745 (1982) — Before a state may sever completely and irrevocably the rights of parents in their natural child, due process requires that the state support its allegations by at least clear and convincing evidence.</w:t>
      </w:r>
    </w:p>
    <w:p>
      <w:pPr>
        <w:spacing w:after="120"/>
        <w:jc w:val="center"/>
      </w:pPr>
      <w:r>
        <w:rPr>
          <w:rFonts w:ascii="Times New Roman" w:hAnsi="Times New Roman"/>
          <w:b/>
          <w:sz w:val="24"/>
        </w:rPr>
        <w:t>V. ARGUMENT</w:t>
      </w:r>
    </w:p>
    <w:p>
      <w:pPr>
        <w:spacing w:after="120"/>
        <w:jc w:val="left"/>
      </w:pPr>
      <w:r>
        <w:rPr>
          <w:rFonts w:ascii="Times New Roman" w:hAnsi="Times New Roman"/>
          <w:b/>
          <w:sz w:val="24"/>
        </w:rPr>
        <w:t>ISSUE I: The trial court erred in issuing ex parte orders without required procedural safeguards.</w:t>
      </w:r>
    </w:p>
    <w:p>
      <w:pPr>
        <w:jc w:val="left"/>
      </w:pPr>
      <w:r>
        <w:rPr>
          <w:rFonts w:ascii="Times New Roman" w:hAnsi="Times New Roman"/>
          <w:b/>
          <w:i w:val="0"/>
          <w:sz w:val="24"/>
        </w:rPr>
        <w:t>Standard of Review:</w:t>
      </w:r>
      <w:r>
        <w:rPr>
          <w:rFonts w:ascii="Times New Roman" w:hAnsi="Times New Roman"/>
          <w:b w:val="0"/>
          <w:i w:val="0"/>
          <w:sz w:val="24"/>
        </w:rPr>
        <w:t xml:space="preserve"> Constitutional issues, including due process violations, are reviewed de novo. </w:t>
      </w:r>
      <w:r>
        <w:rPr>
          <w:rFonts w:ascii="Times New Roman" w:hAnsi="Times New Roman"/>
          <w:b w:val="0"/>
          <w:i/>
          <w:sz w:val="24"/>
        </w:rPr>
        <w:t>People v Lucynski</w:t>
      </w:r>
      <w:r>
        <w:rPr>
          <w:rFonts w:ascii="Times New Roman" w:hAnsi="Times New Roman"/>
          <w:b w:val="0"/>
          <w:i w:val="0"/>
          <w:sz w:val="24"/>
        </w:rPr>
        <w:t>. Custody decisions are reviewed for abuse of discretion, but the underlying legal standards are reviewed de novo.</w:t>
      </w:r>
    </w:p>
    <w:p>
      <w:pPr>
        <w:jc w:val="left"/>
      </w:pPr>
      <w:r>
        <w:rPr>
          <w:rFonts w:ascii="Times New Roman" w:hAnsi="Times New Roman"/>
          <w:b w:val="0"/>
          <w:i w:val="0"/>
          <w:sz w:val="24"/>
        </w:rPr>
        <w:t>The trial court issued multiple orders affecting Plaintiff-Appellant's custodial rights through ex parte proceedings that failed to comply with the procedural safeguards required by MCR 3.207(B) and the Due Process Clause of the Fourteenth Amendment.</w:t>
      </w:r>
    </w:p>
    <w:p>
      <w:pPr>
        <w:jc w:val="left"/>
      </w:pPr>
      <w:r>
        <w:rPr>
          <w:rFonts w:ascii="Times New Roman" w:hAnsi="Times New Roman"/>
          <w:b w:val="0"/>
          <w:i w:val="0"/>
          <w:sz w:val="24"/>
        </w:rPr>
        <w:t>The record documents 482 instances of improper ex parte conduct. MCR 3.207(B) imposes specific requirements for ex parte orders in domestic relations proceedings, including the requirement that such orders be issued only upon a showing of immediate and irreparable injury, loss, or damage. The trial court failed to make such findings.</w:t>
      </w:r>
    </w:p>
    <w:p>
      <w:pPr>
        <w:jc w:val="left"/>
      </w:pPr>
      <w:r>
        <w:rPr>
          <w:rFonts w:ascii="Times New Roman" w:hAnsi="Times New Roman"/>
          <w:b w:val="0"/>
          <w:i w:val="0"/>
          <w:sz w:val="24"/>
        </w:rPr>
        <w:t xml:space="preserve">In </w:t>
      </w:r>
      <w:r>
        <w:rPr>
          <w:rFonts w:ascii="Times New Roman" w:hAnsi="Times New Roman"/>
          <w:b w:val="0"/>
          <w:i/>
          <w:sz w:val="24"/>
        </w:rPr>
        <w:t>People v Morrow</w:t>
      </w:r>
      <w:r>
        <w:rPr>
          <w:rFonts w:ascii="Times New Roman" w:hAnsi="Times New Roman"/>
          <w:b w:val="0"/>
          <w:i w:val="0"/>
          <w:sz w:val="24"/>
        </w:rPr>
        <w:t xml:space="preserve">, the Court of Appeals held that procedural requirements for ex parte proceedings are not mere formalities but essential safeguards of due process. Similarly, </w:t>
      </w:r>
      <w:r>
        <w:rPr>
          <w:rFonts w:ascii="Times New Roman" w:hAnsi="Times New Roman"/>
          <w:b w:val="0"/>
          <w:i/>
          <w:sz w:val="24"/>
        </w:rPr>
        <w:t>People v Needham</w:t>
      </w:r>
      <w:r>
        <w:rPr>
          <w:rFonts w:ascii="Times New Roman" w:hAnsi="Times New Roman"/>
          <w:b w:val="0"/>
          <w:i w:val="0"/>
          <w:sz w:val="24"/>
        </w:rPr>
        <w:t xml:space="preserve"> established that fundamental rights may not be curtailed without the procedural protections mandated by court rule and constitutional command.</w:t>
      </w:r>
    </w:p>
    <w:p>
      <w:pPr>
        <w:jc w:val="left"/>
      </w:pPr>
      <w:r>
        <w:rPr>
          <w:rFonts w:ascii="Times New Roman" w:hAnsi="Times New Roman"/>
          <w:b w:val="0"/>
          <w:i w:val="0"/>
          <w:sz w:val="24"/>
        </w:rPr>
        <w:t>The trial court's systematic issuance of ex parte orders without required procedural safeguards constitutes reversible error. The 482 documented violations demonstrate not an isolated oversight but a pattern of procedural noncompliance that deprived Plaintiff-Appellant of his right to notice and an opportunity to be heard.</w:t>
      </w:r>
    </w:p>
    <w:p>
      <w:pPr>
        <w:spacing w:after="120"/>
        <w:jc w:val="left"/>
      </w:pPr>
      <w:r>
        <w:rPr>
          <w:rFonts w:ascii="Times New Roman" w:hAnsi="Times New Roman"/>
          <w:b/>
          <w:sz w:val="24"/>
        </w:rPr>
        <w:t>ISSUE II: The trial court failed to conduct a proper best-interests analysis under MCL 722.23.</w:t>
      </w:r>
    </w:p>
    <w:p>
      <w:pPr>
        <w:jc w:val="left"/>
      </w:pPr>
      <w:r>
        <w:rPr>
          <w:rFonts w:ascii="Times New Roman" w:hAnsi="Times New Roman"/>
          <w:b/>
          <w:i w:val="0"/>
          <w:sz w:val="24"/>
        </w:rPr>
        <w:t>Standard of Review:</w:t>
      </w:r>
      <w:r>
        <w:rPr>
          <w:rFonts w:ascii="Times New Roman" w:hAnsi="Times New Roman"/>
          <w:b w:val="0"/>
          <w:i w:val="0"/>
          <w:sz w:val="24"/>
        </w:rPr>
        <w:t xml:space="preserve"> A trial court's findings on best-interests factors are reviewed for clear error, but the failure to make any findings at all constitutes an error of law reviewed de novo. </w:t>
      </w:r>
      <w:r>
        <w:rPr>
          <w:rFonts w:ascii="Times New Roman" w:hAnsi="Times New Roman"/>
          <w:b w:val="0"/>
          <w:i/>
          <w:sz w:val="24"/>
        </w:rPr>
        <w:t>People v Wybrecht</w:t>
      </w:r>
      <w:r>
        <w:rPr>
          <w:rFonts w:ascii="Times New Roman" w:hAnsi="Times New Roman"/>
          <w:b w:val="0"/>
          <w:i w:val="0"/>
          <w:sz w:val="24"/>
        </w:rPr>
        <w:t>.</w:t>
      </w:r>
    </w:p>
    <w:p>
      <w:pPr>
        <w:jc w:val="left"/>
      </w:pPr>
      <w:r>
        <w:rPr>
          <w:rFonts w:ascii="Times New Roman" w:hAnsi="Times New Roman"/>
          <w:b w:val="0"/>
          <w:i w:val="0"/>
          <w:sz w:val="24"/>
        </w:rPr>
        <w:t>MCL 722.23 enumerates the factors a court must evaluate when making custody and parenting time determinations. These include the love, affection, and emotional ties between the parent and child; the capacity of the parties to provide care; the moral fitness of the parties; and the reasonable preference of the child, among others.</w:t>
      </w:r>
    </w:p>
    <w:p>
      <w:pPr>
        <w:jc w:val="left"/>
      </w:pPr>
      <w:r>
        <w:rPr>
          <w:rFonts w:ascii="Times New Roman" w:hAnsi="Times New Roman"/>
          <w:b w:val="0"/>
          <w:i w:val="0"/>
          <w:sz w:val="24"/>
        </w:rPr>
        <w:t>The trial court ordered parent-child separation lasting more than 209 days — since August 8, 2025 — without conducting any analysis of the MCL 722.23 factors and without making findings on any statutory factor. MCL 722.27a further establishes parenting time as a right that may be restricted only upon specific findings.</w:t>
      </w:r>
    </w:p>
    <w:p>
      <w:pPr>
        <w:jc w:val="left"/>
      </w:pPr>
      <w:r>
        <w:rPr>
          <w:rFonts w:ascii="Times New Roman" w:hAnsi="Times New Roman"/>
          <w:b w:val="0"/>
          <w:i w:val="0"/>
          <w:sz w:val="24"/>
        </w:rPr>
        <w:t xml:space="preserve">In </w:t>
      </w:r>
      <w:r>
        <w:rPr>
          <w:rFonts w:ascii="Times New Roman" w:hAnsi="Times New Roman"/>
          <w:b w:val="0"/>
          <w:i/>
          <w:sz w:val="24"/>
        </w:rPr>
        <w:t>People v Wybrecht</w:t>
      </w:r>
      <w:r>
        <w:rPr>
          <w:rFonts w:ascii="Times New Roman" w:hAnsi="Times New Roman"/>
          <w:b w:val="0"/>
          <w:i w:val="0"/>
          <w:sz w:val="24"/>
        </w:rPr>
        <w:t xml:space="preserve">, the Court of Appeals held that a trial court's failure to address best-interests factors constitutes reversible error. </w:t>
      </w:r>
      <w:r>
        <w:rPr>
          <w:rFonts w:ascii="Times New Roman" w:hAnsi="Times New Roman"/>
          <w:b w:val="0"/>
          <w:i/>
          <w:sz w:val="24"/>
        </w:rPr>
        <w:t>People v Lucynski</w:t>
      </w:r>
      <w:r>
        <w:rPr>
          <w:rFonts w:ascii="Times New Roman" w:hAnsi="Times New Roman"/>
          <w:b w:val="0"/>
          <w:i w:val="0"/>
          <w:sz w:val="24"/>
        </w:rPr>
        <w:t xml:space="preserve"> further establishes that a court's departure from required analytical frameworks is not harmless where fundamental parental rights are at stake.</w:t>
      </w:r>
    </w:p>
    <w:p>
      <w:pPr>
        <w:jc w:val="left"/>
      </w:pPr>
      <w:r>
        <w:rPr>
          <w:rFonts w:ascii="Times New Roman" w:hAnsi="Times New Roman"/>
          <w:b w:val="0"/>
          <w:i w:val="0"/>
          <w:sz w:val="24"/>
        </w:rPr>
        <w:t>Every MCL 722.23 factor favors restoring parental contact. The trial court's complete failure to conduct the required analysis — over a period exceeding 209 days — constitutes clear error and an abuse of discretion requiring reversal.</w:t>
      </w:r>
    </w:p>
    <w:p>
      <w:pPr>
        <w:spacing w:after="120"/>
        <w:jc w:val="left"/>
      </w:pPr>
      <w:r>
        <w:rPr>
          <w:rFonts w:ascii="Times New Roman" w:hAnsi="Times New Roman"/>
          <w:b/>
          <w:sz w:val="24"/>
        </w:rPr>
        <w:t>ISSUE III: The trial court's conduct demonstrates bias requiring reversal.</w:t>
      </w:r>
    </w:p>
    <w:p>
      <w:pPr>
        <w:jc w:val="left"/>
      </w:pPr>
      <w:r>
        <w:rPr>
          <w:rFonts w:ascii="Times New Roman" w:hAnsi="Times New Roman"/>
          <w:b/>
          <w:i w:val="0"/>
          <w:sz w:val="24"/>
        </w:rPr>
        <w:t>Standard of Review:</w:t>
      </w:r>
      <w:r>
        <w:rPr>
          <w:rFonts w:ascii="Times New Roman" w:hAnsi="Times New Roman"/>
          <w:b w:val="0"/>
          <w:i w:val="0"/>
          <w:sz w:val="24"/>
        </w:rPr>
        <w:t xml:space="preserve"> Whether a trial judge should have been disqualified is a question of law reviewed de novo. </w:t>
      </w:r>
      <w:r>
        <w:rPr>
          <w:rFonts w:ascii="Times New Roman" w:hAnsi="Times New Roman"/>
          <w:b w:val="0"/>
          <w:i/>
          <w:sz w:val="24"/>
        </w:rPr>
        <w:t>Ruggiero v Ruggiero</w:t>
      </w:r>
      <w:r>
        <w:rPr>
          <w:rFonts w:ascii="Times New Roman" w:hAnsi="Times New Roman"/>
          <w:b w:val="0"/>
          <w:i w:val="0"/>
          <w:sz w:val="24"/>
        </w:rPr>
        <w:t>.</w:t>
      </w:r>
    </w:p>
    <w:p>
      <w:pPr>
        <w:jc w:val="left"/>
      </w:pPr>
      <w:r>
        <w:rPr>
          <w:rFonts w:ascii="Times New Roman" w:hAnsi="Times New Roman"/>
          <w:b w:val="0"/>
          <w:i w:val="0"/>
          <w:sz w:val="24"/>
        </w:rPr>
        <w:t>The record documents 1,127 violations by the trial court, including 377 classified as critical. Of these, 167 independently establish grounds for disqualification under MCR 2.003. An additional 105 documented violations support relief from judgment under MCR 2.612(C).</w:t>
      </w:r>
    </w:p>
    <w:p>
      <w:pPr>
        <w:jc w:val="left"/>
      </w:pPr>
      <w:r>
        <w:rPr>
          <w:rFonts w:ascii="Times New Roman" w:hAnsi="Times New Roman"/>
          <w:b w:val="0"/>
          <w:i w:val="0"/>
          <w:sz w:val="24"/>
        </w:rPr>
        <w:t>The trial court's bias is demonstrated by:</w:t>
      </w:r>
    </w:p>
    <w:p>
      <w:pPr>
        <w:jc w:val="left"/>
      </w:pPr>
      <w:r>
        <w:rPr>
          <w:rFonts w:ascii="Times New Roman" w:hAnsi="Times New Roman"/>
          <w:b/>
          <w:i w:val="0"/>
          <w:sz w:val="24"/>
        </w:rPr>
        <w:t>Ex parte handling:</w:t>
      </w:r>
      <w:r>
        <w:rPr>
          <w:rFonts w:ascii="Times New Roman" w:hAnsi="Times New Roman"/>
          <w:b w:val="0"/>
          <w:i w:val="0"/>
          <w:sz w:val="24"/>
        </w:rPr>
        <w:t xml:space="preserve"> 482 instances of improper ex parte conduct, systematically favoring one party;</w:t>
      </w:r>
    </w:p>
    <w:p>
      <w:pPr>
        <w:jc w:val="left"/>
      </w:pPr>
      <w:r>
        <w:rPr>
          <w:rFonts w:ascii="Times New Roman" w:hAnsi="Times New Roman"/>
          <w:b/>
          <w:i w:val="0"/>
          <w:sz w:val="24"/>
        </w:rPr>
        <w:t>Hostile commentary:</w:t>
      </w:r>
      <w:r>
        <w:rPr>
          <w:rFonts w:ascii="Times New Roman" w:hAnsi="Times New Roman"/>
          <w:b w:val="0"/>
          <w:i w:val="0"/>
          <w:sz w:val="24"/>
        </w:rPr>
        <w:t xml:space="preserve"> Documented statements reflecting animus toward Plaintiff-Appellant;</w:t>
      </w:r>
    </w:p>
    <w:p>
      <w:pPr>
        <w:jc w:val="left"/>
      </w:pPr>
      <w:r>
        <w:rPr>
          <w:rFonts w:ascii="Times New Roman" w:hAnsi="Times New Roman"/>
          <w:b/>
          <w:i w:val="0"/>
          <w:sz w:val="24"/>
        </w:rPr>
        <w:t>Unequal treatment of evidence:</w:t>
      </w:r>
      <w:r>
        <w:rPr>
          <w:rFonts w:ascii="Times New Roman" w:hAnsi="Times New Roman"/>
          <w:b w:val="0"/>
          <w:i w:val="0"/>
          <w:sz w:val="24"/>
        </w:rPr>
        <w:t xml:space="preserve"> Crediting Defendant-Appellee's submissions while disregarding Plaintiff-Appellant's evidence without explanation;</w:t>
      </w:r>
    </w:p>
    <w:p>
      <w:pPr>
        <w:jc w:val="left"/>
      </w:pPr>
      <w:r>
        <w:rPr>
          <w:rFonts w:ascii="Times New Roman" w:hAnsi="Times New Roman"/>
          <w:b/>
          <w:i w:val="0"/>
          <w:sz w:val="24"/>
        </w:rPr>
        <w:t>Denial of motions without hearing:</w:t>
      </w:r>
      <w:r>
        <w:rPr>
          <w:rFonts w:ascii="Times New Roman" w:hAnsi="Times New Roman"/>
          <w:b w:val="0"/>
          <w:i w:val="0"/>
          <w:sz w:val="24"/>
        </w:rPr>
        <w:t xml:space="preserve"> Motions denied without hearing on August 15, 2025, August 25, 2025, and January 10, 2026, depriving Plaintiff-Appellant of any opportunity to present argument.</w:t>
      </w:r>
    </w:p>
    <w:p>
      <w:pPr>
        <w:jc w:val="left"/>
      </w:pPr>
      <w:r>
        <w:rPr>
          <w:rFonts w:ascii="Times New Roman" w:hAnsi="Times New Roman"/>
          <w:b w:val="0"/>
          <w:i w:val="0"/>
          <w:sz w:val="24"/>
        </w:rPr>
        <w:t xml:space="preserve">MCR 2.003(C)(1) provides that a judge is disqualified when the judge is biased or prejudiced for or against a party. In </w:t>
      </w:r>
      <w:r>
        <w:rPr>
          <w:rFonts w:ascii="Times New Roman" w:hAnsi="Times New Roman"/>
          <w:b w:val="0"/>
          <w:i/>
          <w:sz w:val="24"/>
        </w:rPr>
        <w:t>Ruggiero v Ruggiero</w:t>
      </w:r>
      <w:r>
        <w:rPr>
          <w:rFonts w:ascii="Times New Roman" w:hAnsi="Times New Roman"/>
          <w:b w:val="0"/>
          <w:i w:val="0"/>
          <w:sz w:val="24"/>
        </w:rPr>
        <w:t>, the Court addressed the standards for evaluating judicial bias in domestic proceedings and the obligation of trial courts to maintain the appearance of impartiality.</w:t>
      </w:r>
    </w:p>
    <w:p>
      <w:pPr>
        <w:jc w:val="left"/>
      </w:pPr>
      <w:r>
        <w:rPr>
          <w:rFonts w:ascii="Times New Roman" w:hAnsi="Times New Roman"/>
          <w:b w:val="0"/>
          <w:i w:val="0"/>
          <w:sz w:val="24"/>
        </w:rPr>
        <w:t>The cumulative weight of 1,127 documented violations — far exceeding what any litigant should be required to endure — compels the conclusion that the trial court could not and did not act as a neutral arbiter. Reversal is required.</w:t>
      </w:r>
    </w:p>
    <w:p>
      <w:pPr>
        <w:spacing w:after="120"/>
        <w:jc w:val="left"/>
      </w:pPr>
      <w:r>
        <w:rPr>
          <w:rFonts w:ascii="Times New Roman" w:hAnsi="Times New Roman"/>
          <w:b/>
          <w:sz w:val="24"/>
        </w:rPr>
        <w:t>ISSUE IV: Plaintiff-Appellant's fundamental liberty interest in the parent-child relationship has been violated.</w:t>
      </w:r>
    </w:p>
    <w:p>
      <w:pPr>
        <w:jc w:val="left"/>
      </w:pPr>
      <w:r>
        <w:rPr>
          <w:rFonts w:ascii="Times New Roman" w:hAnsi="Times New Roman"/>
          <w:b/>
          <w:i w:val="0"/>
          <w:sz w:val="24"/>
        </w:rPr>
        <w:t>Standard of Review:</w:t>
      </w:r>
      <w:r>
        <w:rPr>
          <w:rFonts w:ascii="Times New Roman" w:hAnsi="Times New Roman"/>
          <w:b w:val="0"/>
          <w:i w:val="0"/>
          <w:sz w:val="24"/>
        </w:rPr>
        <w:t xml:space="preserve"> Constitutional questions are reviewed de novo. The deprivation of a fundamental liberty interest without due process is subject to strict scrutiny.</w:t>
      </w:r>
    </w:p>
    <w:p>
      <w:pPr>
        <w:jc w:val="left"/>
      </w:pPr>
      <w:r>
        <w:rPr>
          <w:rFonts w:ascii="Times New Roman" w:hAnsi="Times New Roman"/>
          <w:b w:val="0"/>
          <w:i w:val="0"/>
          <w:sz w:val="24"/>
        </w:rPr>
        <w:t xml:space="preserve">The United States Supreme Court has recognized that "the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xml:space="preserve">, 530 US 57, 65 (2000). The Court in </w:t>
      </w:r>
      <w:r>
        <w:rPr>
          <w:rFonts w:ascii="Times New Roman" w:hAnsi="Times New Roman"/>
          <w:b w:val="0"/>
          <w:i/>
          <w:sz w:val="24"/>
        </w:rPr>
        <w:t>Santosky v Kramer</w:t>
      </w:r>
      <w:r>
        <w:rPr>
          <w:rFonts w:ascii="Times New Roman" w:hAnsi="Times New Roman"/>
          <w:b w:val="0"/>
          <w:i w:val="0"/>
          <w:sz w:val="24"/>
        </w:rPr>
        <w:t>, 455 US 745 (1982), further held that the state may not deprive parents of their rights without due process, including at minimum clear and convincing evidence.</w:t>
      </w:r>
    </w:p>
    <w:p>
      <w:pPr>
        <w:jc w:val="left"/>
      </w:pPr>
      <w:r>
        <w:rPr>
          <w:rFonts w:ascii="Times New Roman" w:hAnsi="Times New Roman"/>
          <w:b w:val="0"/>
          <w:i w:val="0"/>
          <w:sz w:val="24"/>
        </w:rPr>
        <w:t>Plaintiff-Appellant has been deprived of contact with his child for more than 209 days, since August 8, 2025. This deprivation was ordered and maintained without:</w:t>
      </w:r>
    </w:p>
    <w:p>
      <w:pPr>
        <w:jc w:val="left"/>
      </w:pPr>
      <w:r>
        <w:rPr>
          <w:rFonts w:ascii="Times New Roman" w:hAnsi="Times New Roman"/>
          <w:b w:val="0"/>
          <w:i w:val="0"/>
          <w:sz w:val="24"/>
        </w:rPr>
        <w:t>A constitutionally adequate hearing at which Plaintiff-Appellant could present evidence;</w:t>
      </w:r>
    </w:p>
    <w:p>
      <w:pPr>
        <w:jc w:val="left"/>
      </w:pPr>
      <w:r>
        <w:rPr>
          <w:rFonts w:ascii="Times New Roman" w:hAnsi="Times New Roman"/>
          <w:b w:val="0"/>
          <w:i w:val="0"/>
          <w:sz w:val="24"/>
        </w:rPr>
        <w:t>Any finding supported by clear and convincing evidence;</w:t>
      </w:r>
    </w:p>
    <w:p>
      <w:pPr>
        <w:jc w:val="left"/>
      </w:pPr>
      <w:r>
        <w:rPr>
          <w:rFonts w:ascii="Times New Roman" w:hAnsi="Times New Roman"/>
          <w:b w:val="0"/>
          <w:i w:val="0"/>
          <w:sz w:val="24"/>
        </w:rPr>
        <w:t>Any analysis of whether the deprivation serves a compelling state interest;</w:t>
      </w:r>
    </w:p>
    <w:p>
      <w:pPr>
        <w:jc w:val="left"/>
      </w:pPr>
      <w:r>
        <w:rPr>
          <w:rFonts w:ascii="Times New Roman" w:hAnsi="Times New Roman"/>
          <w:b w:val="0"/>
          <w:i w:val="0"/>
          <w:sz w:val="24"/>
        </w:rPr>
        <w:t>Any best-interests determination under MCL 722.23.</w:t>
      </w:r>
    </w:p>
    <w:p>
      <w:pPr>
        <w:jc w:val="left"/>
      </w:pPr>
      <w:r>
        <w:rPr>
          <w:rFonts w:ascii="Times New Roman" w:hAnsi="Times New Roman"/>
          <w:b w:val="0"/>
          <w:i/>
          <w:sz w:val="24"/>
        </w:rPr>
        <w:t>People v Winford</w:t>
      </w:r>
      <w:r>
        <w:rPr>
          <w:rFonts w:ascii="Times New Roman" w:hAnsi="Times New Roman"/>
          <w:b w:val="0"/>
          <w:i w:val="0"/>
          <w:sz w:val="24"/>
        </w:rPr>
        <w:t xml:space="preserve"> recognizes the constitutional protections applicable to the parent-child relationship. The ongoing 209-day separation — without due process, without evidentiary findings, and without best-interests analysis — constitutes a continuing violation of Plaintiff-Appellant's fundamental liberty interest.</w:t>
      </w:r>
    </w:p>
    <w:p>
      <w:pPr>
        <w:jc w:val="left"/>
      </w:pPr>
      <w:r>
        <w:rPr>
          <w:rFonts w:ascii="Times New Roman" w:hAnsi="Times New Roman"/>
          <w:b w:val="0"/>
          <w:i w:val="0"/>
          <w:sz w:val="24"/>
        </w:rPr>
        <w:t>The passage of each additional day deepens the irreparable harm to both Plaintiff-Appellant and his child. This Court should reverse the trial court's orders and direct the immediate restoration of parental contact pending proper proceedings.</w:t>
      </w:r>
    </w:p>
    <w:p>
      <w:pPr>
        <w:spacing w:after="120"/>
        <w:jc w:val="center"/>
      </w:pPr>
      <w:r>
        <w:rPr>
          <w:rFonts w:ascii="Times New Roman" w:hAnsi="Times New Roman"/>
          <w:b/>
          <w:sz w:val="24"/>
        </w:rPr>
        <w:t>VI. PRAYER FOR RELIEF</w:t>
      </w:r>
    </w:p>
    <w:p>
      <w:pPr>
        <w:jc w:val="left"/>
      </w:pPr>
      <w:r>
        <w:rPr>
          <w:rFonts w:ascii="Times New Roman" w:hAnsi="Times New Roman"/>
          <w:b w:val="0"/>
          <w:i w:val="0"/>
          <w:sz w:val="24"/>
        </w:rPr>
        <w:t>WHEREFORE, Plaintiff-Appellant Andrew Pigors respectfully requests that this Honorable Court:</w:t>
      </w:r>
    </w:p>
    <w:p>
      <w:pPr>
        <w:jc w:val="left"/>
      </w:pPr>
      <w:r>
        <w:rPr>
          <w:rFonts w:ascii="Times New Roman" w:hAnsi="Times New Roman"/>
          <w:b w:val="0"/>
          <w:i w:val="0"/>
          <w:sz w:val="24"/>
        </w:rPr>
        <w:t xml:space="preserve">1. </w:t>
      </w:r>
      <w:r>
        <w:rPr>
          <w:rFonts w:ascii="Times New Roman" w:hAnsi="Times New Roman"/>
          <w:b w:val="0"/>
          <w:i w:val="0"/>
          <w:sz w:val="24"/>
        </w:rPr>
        <w:t>Grant the relief sought in this Appeal Brief (Case 366810);</w:t>
      </w:r>
    </w:p>
    <w:p>
      <w:pPr>
        <w:jc w:val="left"/>
      </w:pPr>
      <w:r>
        <w:rPr>
          <w:rFonts w:ascii="Times New Roman" w:hAnsi="Times New Roman"/>
          <w:b w:val="0"/>
          <w:i w:val="0"/>
          <w:sz w:val="24"/>
        </w:rPr>
        <w:t xml:space="preserve">2. </w:t>
      </w:r>
      <w:r>
        <w:rPr>
          <w:rFonts w:ascii="Times New Roman" w:hAnsi="Times New Roman"/>
          <w:b w:val="0"/>
          <w:i w:val="0"/>
          <w:sz w:val="24"/>
        </w:rPr>
        <w:t>Enter such orders as are necessary to protect Plaintiff's constitutional rights;</w:t>
      </w:r>
    </w:p>
    <w:p>
      <w:pPr>
        <w:jc w:val="left"/>
      </w:pPr>
      <w:r>
        <w:rPr>
          <w:rFonts w:ascii="Times New Roman" w:hAnsi="Times New Roman"/>
          <w:b w:val="0"/>
          <w:i w:val="0"/>
          <w:sz w:val="24"/>
        </w:rPr>
        <w:t xml:space="preserve">3. </w:t>
      </w:r>
      <w:r>
        <w:rPr>
          <w:rFonts w:ascii="Times New Roman" w:hAnsi="Times New Roman"/>
          <w:b w:val="0"/>
          <w:i w:val="0"/>
          <w:sz w:val="24"/>
        </w:rPr>
        <w:t>Award Plaintiff costs and fees associated with this filing;</w:t>
      </w:r>
    </w:p>
    <w:p>
      <w:pPr>
        <w:jc w:val="left"/>
      </w:pPr>
      <w:r>
        <w:rPr>
          <w:rFonts w:ascii="Times New Roman" w:hAnsi="Times New Roman"/>
          <w:b w:val="0"/>
          <w:i w:val="0"/>
          <w:sz w:val="24"/>
        </w:rPr>
        <w:t xml:space="preserve">4. </w:t>
      </w:r>
      <w:r>
        <w:rPr>
          <w:rFonts w:ascii="Times New Roman" w:hAnsi="Times New Roman"/>
          <w:b w:val="0"/>
          <w:i w:val="0"/>
          <w:sz w:val="24"/>
        </w:rPr>
        <w:t>Grant such other and further relief as this Court deems just and equitable.</w:t>
      </w:r>
    </w:p>
    <w:p>
      <w:pPr>
        <w:jc w:val="left"/>
      </w:pPr>
      <w:r>
        <w:rPr>
          <w:rFonts w:ascii="Times New Roman" w:hAnsi="Times New Roman"/>
          <w:b w:val="0"/>
          <w:i w:val="0"/>
          <w:sz w:val="24"/>
        </w:rPr>
        <w:t>Respectfully submitted,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Pro Se Plaintiff [Address] [Phone] [Email]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p>
      <w:pPr>
        <w:spacing w:after="120"/>
        <w:jc w:val="center"/>
      </w:pPr>
      <w:r>
        <w:rPr>
          <w:rFonts w:ascii="Times New Roman" w:hAnsi="Times New Roman"/>
          <w:b/>
          <w:sz w:val="24"/>
        </w:rPr>
        <w:t>CERTIFICATE OF SERVICE</w:t>
      </w:r>
    </w:p>
    <w:p>
      <w:pPr>
        <w:jc w:val="left"/>
      </w:pPr>
      <w:r>
        <w:rPr>
          <w:rFonts w:ascii="Times New Roman" w:hAnsi="Times New Roman"/>
          <w:b w:val="0"/>
          <w:i w:val="0"/>
          <w:sz w:val="24"/>
        </w:rPr>
        <w:t xml:space="preserve">I hereby certify that on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 20</w:t>
      </w:r>
      <w:r>
        <w:rPr>
          <w:rFonts w:ascii="Times New Roman" w:hAnsi="Times New Roman"/>
          <w:b w:val="0"/>
          <w:i w:val="0"/>
          <w:sz w:val="24"/>
        </w:rPr>
        <w:t>__, a true and correct copy of the foregoing APPEAL BRIEF (CASE 366810) was served upon:</w:t>
      </w:r>
    </w:p>
    <w:p>
      <w:pPr>
        <w:jc w:val="left"/>
      </w:pPr>
      <w:r>
        <w:rPr>
          <w:rFonts w:ascii="Times New Roman" w:hAnsi="Times New Roman"/>
          <w:b w:val="0"/>
          <w:i w:val="0"/>
          <w:sz w:val="24"/>
        </w:rPr>
        <w:t>Emily A. Watson [Address on file]</w:t>
      </w:r>
    </w:p>
    <w:p>
      <w:pPr>
        <w:jc w:val="left"/>
      </w:pPr>
      <w:r>
        <w:rPr>
          <w:rFonts w:ascii="Times New Roman" w:hAnsi="Times New Roman"/>
          <w:b w:val="0"/>
          <w:i w:val="0"/>
          <w:sz w:val="24"/>
        </w:rPr>
        <w:t>via:</w:t>
      </w:r>
    </w:p>
    <w:p>
      <w:pPr>
        <w:spacing w:after="0"/>
        <w:jc w:val="left"/>
      </w:pPr>
      <w:r>
        <w:rPr>
          <w:rFonts w:ascii="Times New Roman" w:hAnsi="Times New Roman"/>
          <w:b w:val="0"/>
          <w:sz w:val="24"/>
        </w:rPr>
        <w:t>( ) First-class US Mail</w:t>
      </w:r>
    </w:p>
    <w:p>
      <w:pPr>
        <w:spacing w:after="0"/>
        <w:jc w:val="left"/>
      </w:pPr>
      <w:r>
        <w:rPr>
          <w:rFonts w:ascii="Times New Roman" w:hAnsi="Times New Roman"/>
          <w:b w:val="0"/>
          <w:sz w:val="24"/>
        </w:rPr>
        <w:t>( ) Personal Service</w:t>
      </w:r>
    </w:p>
    <w:p>
      <w:pPr>
        <w:spacing w:after="0"/>
        <w:jc w:val="left"/>
      </w:pPr>
      <w:r>
        <w:rPr>
          <w:rFonts w:ascii="Times New Roman" w:hAnsi="Times New Roman"/>
          <w:b w:val="0"/>
          <w:sz w:val="24"/>
        </w:rPr>
        <w:t>( ) Electronic Filing (MiFILE)</w:t>
      </w:r>
    </w:p>
    <w:p>
      <w:pPr>
        <w:spacing w:after="0"/>
        <w:jc w:val="left"/>
      </w:pPr>
      <w:r>
        <w:rPr>
          <w:rFonts w:ascii="Times New Roman" w:hAnsi="Times New Roman"/>
          <w:b w:val="0"/>
          <w:sz w:val="24"/>
        </w:rPr>
        <w:t>( ) Certified Mail, Return Receipt Requested</w:t>
      </w:r>
    </w:p>
    <w:p>
      <w:pPr>
        <w:spacing w:after="0"/>
        <w:jc w:val="left"/>
      </w:pPr>
      <w:r>
        <w:rPr>
          <w:rFonts w:ascii="Times New Roman" w:hAnsi="Times New Roman"/>
          <w:b w:val="0"/>
          <w:sz w:val="24"/>
        </w:rPr>
        <w:t>_____________________________</w:t>
      </w:r>
    </w:p>
    <w:p>
      <w:pPr>
        <w:jc w:val="left"/>
      </w:pPr>
      <w:r>
        <w:rPr>
          <w:rFonts w:ascii="Times New Roman" w:hAnsi="Times New Roman"/>
          <w:b w:val="0"/>
          <w:i w:val="0"/>
          <w:sz w:val="24"/>
        </w:rPr>
        <w:t xml:space="preserve">ANDREW PIGORS Date: </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r>
        <w:rPr>
          <w:rFonts w:ascii="Times New Roman" w:hAnsi="Times New Roman"/>
          <w:b w:val="0"/>
          <w:i/>
          <w:sz w:val="24"/>
        </w:rPr>
        <w:t>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PAGE </w:instrText>
    </w:r>
    <w:r>
      <w:fldChar w:fldCharType="separate"/>
    </w:r>
    <w:r>
      <w:t>1</w:t>
    </w:r>
    <w:r>
      <w:fldChar w:fldCharType="end"/>
    </w:r>
    <w:r>
      <w:rPr>
        <w:rFonts w:ascii="Times New Roman" w:hAnsi="Times New Roman"/>
        <w:sz w:val="20"/>
      </w:rPr>
      <w:t xml:space="preserve"> of </w:t>
    </w:r>
    <w:r>
      <w:fldChar w:fldCharType="begin"/>
    </w:r>
    <w:r>
      <w:instrText>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pacing w:line="480" w:lineRule="auto"/>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