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STATE OF MICHIGAN</w:t>
        <w:br/>
        <w:t>IN THE 60TH DISTRICT COURT FOR THE COUNTY OF MUSKEGON</w:t>
        <w:br/>
      </w:r>
    </w:p>
    <w:p>
      <w:pPr/>
      <w:r>
        <w:t>Case No. 2025-25061626-LT</w:t>
        <w:br/>
      </w:r>
    </w:p>
    <w:p>
      <w:pPr>
        <w:pStyle w:val="Title"/>
      </w:pPr>
      <w:r>
        <w:t>AFFIDAVIT IN SUPPORT OF EX PARTE MOTION TO STAY EVICTION</w:t>
        <w:br/>
      </w:r>
    </w:p>
    <w:p>
      <w:pPr/>
      <w:r>
        <w:t>I, Andrew J. Pigors, being first duly sworn, state as follows:</w:t>
      </w:r>
    </w:p>
    <w:p>
      <w:pPr/>
      <w:r>
        <w:t>1. I am the named Defendant in the above-captioned matter, and I submit this affidavit in support of my Ex Parte Motion to Stay Eviction.</w:t>
      </w:r>
    </w:p>
    <w:p>
      <w:pPr/>
      <w:r>
        <w:t>2. Shady Oaks Park MHP LLC was administratively dissolved on February 15, 2023, according to LARA records (Exhibit A).</w:t>
      </w:r>
    </w:p>
    <w:p>
      <w:pPr/>
      <w:r>
        <w:t>3. Despite its dissolution, the entity continued to issue demands for rent, pursue evictions, and accept payments, including after March 2024.</w:t>
      </w:r>
    </w:p>
    <w:p>
      <w:pPr/>
      <w:r>
        <w:t>4. C T Corporation was used as a process proxy during litigation, but it was only authorized for Homes of America, not Shady Oaks Park MHP LLC.</w:t>
      </w:r>
    </w:p>
    <w:p>
      <w:pPr/>
      <w:r>
        <w:t>5. On March 26, 2024, I was coerced into signing a new lease under duress, offsite, 35 minutes away, during ongoing sewage-related violations at the home site.</w:t>
      </w:r>
    </w:p>
    <w:p>
      <w:pPr/>
      <w:r>
        <w:t>6. My mother paid rent on my behalf through December 2024. This fact was acknowledged on the record by Judge Maria Ladas Hoopes in prior litigation (Exhibit D).</w:t>
      </w:r>
    </w:p>
    <w:p>
      <w:pPr/>
      <w:r>
        <w:t>7. The eviction process was initiated unlawfully, and no valid lease or enforceable rental agreement existed under a legally authorized entity.</w:t>
      </w:r>
    </w:p>
    <w:p>
      <w:pPr/>
      <w:r>
        <w:t>8. I maintain parenting time with my son, Lincoln, on an established schedule. Eviction would directly interfere with my ability to exercise custodial rights protected under Troxel v. Granville, 530 U.S. 57 (2000).</w:t>
      </w:r>
    </w:p>
    <w:p>
      <w:pPr/>
      <w:r>
        <w:t>9. I respectfully request that the Court take judicial notice of 14th Circuit Court Case No. 2025-0000002760-CZ, which contains the detailed complaint alleging fraud, coercion, retaliation, and unlawful housing conduct.</w:t>
      </w:r>
    </w:p>
    <w:p>
      <w:pPr/>
      <w:r>
        <w:t>10. The harm to my child and I, if evicted, will be irreparable. No monetary remedy could compensate for the loss of stable housing or constitutional parenting time.</w:t>
      </w:r>
    </w:p>
    <w:p>
      <w:pPr/>
      <w:r>
        <w:br/>
        <w:t>I declare under penalty of perjury that the foregoing is true to the best of my knowledge, information, and belief.</w:t>
      </w:r>
    </w:p>
    <w:p>
      <w:pPr/>
      <w:r>
        <w:br/>
        <w:t>/s/ Andrew J. Pigors</w:t>
        <w:br/>
        <w:t>1977 Whitehall Road,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