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 of Ownership and Rights</w:t>
      </w:r>
    </w:p>
    <w:p>
      <w:r>
        <w:t>I, Andrew James Pigors, certify that I am the sole author and rightful owner of the systems, modules, software, documentation, and litigation engines known collectively as 'THE VISION SYSTEM™' and its associated submodules within MBP LLC.</w:t>
      </w:r>
    </w:p>
    <w:p>
      <w:r>
        <w:t>All proprietary elements are original, unpublished as of this filing, and created solely for use under the MBP LLC brand. All rights, licenses, and distribution controls remain exclusively with me, and are not transferrable without a notarized, compensated license agreement approved in writing.</w:t>
      </w:r>
    </w:p>
    <w:p>
      <w:r>
        <w:t>These materials are designed as a litigation-intelligence automation stack and constitute intellectual property across code, system design, procedural integration, and legal-engineering logic.</w:t>
      </w:r>
    </w:p>
    <w:p>
      <w:r>
        <w:br/>
        <w:br/>
        <w:t>Signature: __________________________</w:t>
      </w:r>
    </w:p>
    <w:p>
      <w:r>
        <w:t>Printed Name: Andrew James Pigors</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