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INTELLECTUAL PROPERTY DECLARATION</w:t>
      </w:r>
    </w:p>
    <w:p>
      <w:r>
        <w:t>Date: June 28, 2025</w:t>
      </w:r>
    </w:p>
    <w:p>
      <w:r>
        <w:br/>
        <w:t>This document serves as a formal declaration that the intellectual property known as:</w:t>
        <w:br/>
      </w:r>
    </w:p>
    <w:p>
      <w:pPr>
        <w:pStyle w:val="Heading1"/>
      </w:pPr>
      <w:r>
        <w:t>THE VISION SYSTEM™</w:t>
      </w:r>
    </w:p>
    <w:p>
      <w:r>
        <w:br/>
        <w:t>is the sole and exclusive property of:</w:t>
        <w:br/>
      </w:r>
    </w:p>
    <w:p>
      <w:pPr>
        <w:pStyle w:val="IntenseQuote"/>
      </w:pPr>
      <w:r>
        <w:t>Andrew James Pigors</w:t>
      </w:r>
    </w:p>
    <w:p>
      <w:r>
        <w:br/>
        <w:t>and is held under the legal entity:</w:t>
        <w:br/>
      </w:r>
    </w:p>
    <w:p>
      <w:pPr>
        <w:pStyle w:val="IntenseQuote"/>
      </w:pPr>
      <w:r>
        <w:t>MBP LLC (ManBearPig LLC)</w:t>
      </w:r>
    </w:p>
    <w:p>
      <w:r>
        <w:br/>
        <w:t>This system, hereinafter referred to as “THE VISION SYSTEM™,” comprises proprietary litigation logic, intake and evidence processing modules, strategic legal engines, and generative litigation automation technologies developed and enhanced through the FRED PRIME and VORTEX_CORE ecosystems.</w:t>
        <w:br/>
        <w:br/>
        <w:t>The system is sealed, source-tracked, and governed under internal version control, with embedded authorship validation and strategic module evolution protocols. All derivative systems, modules, codebases, and procedural frameworks built upon or derived from THE VISION SYSTEM™ shall remain the exclusive intellectual property of MBP LLC and Andrew James Pigors.</w:t>
        <w:br/>
        <w:br/>
        <w:t>This declaration affirms that the file ‘THE VISION.pdf’ is hereby classified as:</w:t>
        <w:br/>
      </w:r>
    </w:p>
    <w:p>
      <w:pPr>
        <w:pStyle w:val="ListBullet"/>
      </w:pPr>
      <w:r>
        <w:t>EXHIBIT XXX – Foundational Engine Manifest</w:t>
      </w:r>
    </w:p>
    <w:p>
      <w:r>
        <w:br/>
        <w:t>This declaration is enforceable under applicable intellectual property and business law, and shall be considered binding upon any licensing, use, or deployment of the system in any jurisdiction.</w:t>
        <w:br/>
      </w:r>
    </w:p>
    <w:p>
      <w:r>
        <w:t>Signed,</w:t>
      </w:r>
    </w:p>
    <w:p>
      <w:pPr>
        <w:pStyle w:val="IntenseQuote"/>
      </w:pPr>
      <w:r>
        <w:br/>
        <w:t>________________________</w:t>
        <w:br/>
        <w:t>Andrew James Pigors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