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AFFIDAVIT OF ONGOING IRREPARABLE HARM AND LANDLORD MISCONDUCT</w:t>
      </w:r>
    </w:p>
    <w:p>
      <w:r>
        <w:t>IN THE 14TH CIRCUIT COURT – MUSKEGON COUNTY</w:t>
      </w:r>
    </w:p>
    <w:p>
      <w:r>
        <w:t>Case No.: 2025-0000002760-CZ</w:t>
      </w:r>
    </w:p>
    <w:p>
      <w:r>
        <w:t>Hon. Kenneth S. Hoopes, Presiding</w:t>
        <w:br/>
      </w:r>
    </w:p>
    <w:p>
      <w:pPr>
        <w:pStyle w:val="Heading1"/>
      </w:pPr>
      <w:r>
        <w:t>I, Andrew J. Pigors, declare under penalty of perjury that the following statements are true to the best of my knowledge and belief:</w:t>
      </w:r>
    </w:p>
    <w:p>
      <w:r>
        <w:t>1. I am the Plaintiff in this case and the legal owner of a mobile home located at 1977 Whitehall Road, Lot 17, Muskegon, Michigan. I obtained lawful title in 2023 through a transaction with Joe Matyk. At no point did I sign over ownership, nor was I ever provided formal notice of any corporate change, entity substitution, or rebranding of the property.</w:t>
      </w:r>
    </w:p>
    <w:p>
      <w:r>
        <w:t>2. Shortly after acquiring ownership, I was coerced into signing a lease in March 2024 under the name 'Shady Oaks Manufactured Home Community.' The entity issuing the lease was not the one listed on my title. No legal proof of assignment or ownership chain was provided. The lease was presented under duress, amid threats of immediate eviction.</w:t>
      </w:r>
    </w:p>
    <w:p>
      <w:r>
        <w:t>3. Since that time, Homes of America LLC, an entity operating through CT Corporation System and believed to be financially backed by Alden Global Capital, silently took control of the property. They assumed the identity of the community without disclosure or filings that would inform residents or courts. This is a coordinated shell game of corporate masking.</w:t>
      </w:r>
    </w:p>
    <w:p>
      <w:r>
        <w:t>4. Rent was increased from $395 per month to $695, and then again to $720. Additional charges for water, sewer, trash, and administrative fees were applied arbitrarily. My utility statements often reflect matching gallon counts for water and sewer—a statistical impossibility—indicating fraudulent billing practices.</w:t>
      </w:r>
    </w:p>
    <w:p>
      <w:r>
        <w:t>5. I filed environmental complaints with EGLE about an unresolved sewage leak affecting my home and neighboring lots. Instead of resolving the issue, the management escalated retaliatory actions, culminating in an eviction filing in January 2025 under the name Shady Oaks Park MHP LLC—an entity not found on my lease, title, or original agreement. This was done without disclosure, merger, assignment, or lawful privity of contract.</w:t>
      </w:r>
    </w:p>
    <w:p>
      <w:r>
        <w:t>6. On multiple occasions in 2025, including June, I attempted to tender payment to the on-site manager. During the most recent event, I approached the manager while she was peering through the windows of nearby trailers. She refused to identify herself, ignored my attempt to pay, and walked away. These actions were clearly intended to fabricate a basis for eviction by refusing rent tender—directly violating MCL 600.2918 and my constitutional rights to housing, property, and due process.</w:t>
      </w:r>
    </w:p>
    <w:p>
      <w:r>
        <w:t>7. I currently have no family support, no stable alternative housing, and no ability to relocate. I am the custodial parent of my minor son. The current eviction enforcement will not only displace me physically—it will permanently sever my custodial relationship and parenting time. My son’s stability, education, mental health, and relationship with me are directly at stake.</w:t>
      </w:r>
    </w:p>
    <w:p>
      <w:r>
        <w:t>8. These actions—refusing payment, falsifying lease identity, escalating fraudulent charges, and retaliating against regulatory complaints—represent not only unjust enrichment but fraud on the court. They have obstructed every legal avenue I have pursued from 2023 to 2025, resulting in loss of employment, inability to maintain income, housing instability, and multiple denials of due process across administrative and judicial forums.</w:t>
      </w:r>
    </w:p>
    <w:p>
      <w:r>
        <w:t>9. Without immediate injunctive relief, I face irreparable harm that cannot be remedied after the fact. The eviction will destroy my ability to recover any damages in this case, render the Circuit Court’s judgment meaningless, and permanently destabilize the life of my child.</w:t>
      </w:r>
    </w:p>
    <w:p>
      <w:r>
        <w:t>10. I respectfully request that this Court take judicial notice of the verified facts presented in this affidavit, as well as the egregious, ongoing misconduct by the Defendants, and issue immediate protection and oversight until this matter is fully adjudicated.</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