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Verified Exhibit List – Motion for Sanctions &amp; Injunctive Relief</w:t>
      </w:r>
    </w:p>
    <w:p>
      <w:r>
        <w:br w:type="page"/>
      </w:r>
    </w:p>
    <w:p>
      <w:pPr>
        <w:pStyle w:val="Heading1"/>
        <w:jc w:val="center"/>
      </w:pPr>
      <w:r>
        <w:t>Exhibit 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EGLE Violation Notice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March 2025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Notice from the Michigan Department of Environment, Great Lakes, and Energy confirming sewage discharge violations at Shady Oaks MHP.</w:t>
            </w:r>
          </w:p>
        </w:tc>
      </w:tr>
      <w:tr>
        <w:tc>
          <w:tcPr>
            <w:tcW w:type="dxa" w:w="4320"/>
          </w:tcPr>
          <w:p>
            <w:r>
              <w:t>Legal Relevance</w:t>
            </w:r>
          </w:p>
        </w:tc>
        <w:tc>
          <w:tcPr>
            <w:tcW w:type="dxa" w:w="4320"/>
          </w:tcPr>
          <w:p>
            <w:r>
              <w:t>Supports Count III – Environmental Negligence (MCL 324.3109)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Exhibit 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Sewer Photo Documentation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March–April 2025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Photographs of raw sewage pooling near Plaintiff’s lot. Shows immediate environmental hazard.</w:t>
            </w:r>
          </w:p>
        </w:tc>
      </w:tr>
      <w:tr>
        <w:tc>
          <w:tcPr>
            <w:tcW w:type="dxa" w:w="4320"/>
          </w:tcPr>
          <w:p>
            <w:r>
              <w:t>Legal Relevance</w:t>
            </w:r>
          </w:p>
        </w:tc>
        <w:tc>
          <w:tcPr>
            <w:tcW w:type="dxa" w:w="4320"/>
          </w:tcPr>
          <w:p>
            <w:r>
              <w:t>Visual evidence supporting MCL 324.3109 and breach of habitability under MCL 554.139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Exhibit 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Plummer’s Septic Invoice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April 2025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Invoice for emergency services to address sewage backups due to failed park infrastructure.</w:t>
            </w:r>
          </w:p>
        </w:tc>
      </w:tr>
      <w:tr>
        <w:tc>
          <w:tcPr>
            <w:tcW w:type="dxa" w:w="4320"/>
          </w:tcPr>
          <w:p>
            <w:r>
              <w:t>Legal Relevance</w:t>
            </w:r>
          </w:p>
        </w:tc>
        <w:tc>
          <w:tcPr>
            <w:tcW w:type="dxa" w:w="4320"/>
          </w:tcPr>
          <w:p>
            <w:r>
              <w:t>Proves third-party confirmation of defect and urgency, used in breach and negligence counts.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Exhibit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Email Admission of Delay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April 2025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Email from park management acknowledging failure to respond to sewage complaints.</w:t>
            </w:r>
          </w:p>
        </w:tc>
      </w:tr>
      <w:tr>
        <w:tc>
          <w:tcPr>
            <w:tcW w:type="dxa" w:w="4320"/>
          </w:tcPr>
          <w:p>
            <w:r>
              <w:t>Legal Relevance</w:t>
            </w:r>
          </w:p>
        </w:tc>
        <w:tc>
          <w:tcPr>
            <w:tcW w:type="dxa" w:w="4320"/>
          </w:tcPr>
          <w:p>
            <w:r>
              <w:t>Admission by party opponent; relevant to constructive eviction and pattern of neglect.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Exhibit 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Chronology Memo of Harassment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May 2025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Memo recording repeated threats, property inspections, and coercive communications following Plaintiff’s legal victories.</w:t>
            </w:r>
          </w:p>
        </w:tc>
      </w:tr>
      <w:tr>
        <w:tc>
          <w:tcPr>
            <w:tcW w:type="dxa" w:w="4320"/>
          </w:tcPr>
          <w:p>
            <w:r>
              <w:t>Legal Relevance</w:t>
            </w:r>
          </w:p>
        </w:tc>
        <w:tc>
          <w:tcPr>
            <w:tcW w:type="dxa" w:w="4320"/>
          </w:tcPr>
          <w:p>
            <w:r>
              <w:t>Establishes retaliation and abuse of process (MCL 600.1701; MCR 1.109(E)).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Exhibit 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Zego Ledger – Post-Dismissal Charges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January–May 2025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Screenshot of ledger showing fabricated rent and water charges after court-ordered rent relief through 12/1/24.</w:t>
            </w:r>
          </w:p>
        </w:tc>
      </w:tr>
      <w:tr>
        <w:tc>
          <w:tcPr>
            <w:tcW w:type="dxa" w:w="4320"/>
          </w:tcPr>
          <w:p>
            <w:r>
              <w:t>Legal Relevance</w:t>
            </w:r>
          </w:p>
        </w:tc>
        <w:tc>
          <w:tcPr>
            <w:tcW w:type="dxa" w:w="4320"/>
          </w:tcPr>
          <w:p>
            <w:r>
              <w:t>Demonstrates fraud, MCL 445.903(n), and supports claim for sanctions and declaratory relief.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Exhibit 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Lease Agreement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Signed 2021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Original lease showing fixed rent terms and no clause authorizing water billing.</w:t>
            </w:r>
          </w:p>
        </w:tc>
      </w:tr>
      <w:tr>
        <w:tc>
          <w:tcPr>
            <w:tcW w:type="dxa" w:w="4320"/>
          </w:tcPr>
          <w:p>
            <w:r>
              <w:t>Legal Relevance</w:t>
            </w:r>
          </w:p>
        </w:tc>
        <w:tc>
          <w:tcPr>
            <w:tcW w:type="dxa" w:w="4320"/>
          </w:tcPr>
          <w:p>
            <w:r>
              <w:t>Foundation for breach of lease and unauthorized modification under MCL 554.633(2).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Exhibit 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Threatening Emails &amp; Notices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March–May 2025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Emails and posted notices from various park managers demanding payment, threatening eviction, or accusing violations without cause.</w:t>
            </w:r>
          </w:p>
        </w:tc>
      </w:tr>
      <w:tr>
        <w:tc>
          <w:tcPr>
            <w:tcW w:type="dxa" w:w="4320"/>
          </w:tcPr>
          <w:p>
            <w:r>
              <w:t>Legal Relevance</w:t>
            </w:r>
          </w:p>
        </w:tc>
        <w:tc>
          <w:tcPr>
            <w:tcW w:type="dxa" w:w="4320"/>
          </w:tcPr>
          <w:p>
            <w:r>
              <w:t>Evidence of coercion, retaliation, and violation of MCL 600.5720 (retaliatory eviction).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