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pPr>
      <w:r>
        <w:rPr>
          <w:rFonts w:ascii="Times New Roman" w:hAnsi="Times New Roman"/>
          <w:b w:val="0"/>
          <w:i w:val="0"/>
          <w:sz w:val="24"/>
        </w:rPr>
        <w:t>&lt;!-- COURT-READY FILING PACKAGE Generated: June 2025 Lane: F — Appellate (COA 366810) Document: Appellant's Brief on Appeal Status: MCR 7.212 COMPLIANT --&gt;</w:t>
      </w:r>
    </w:p>
    <w:p>
      <w:pPr>
        <w:spacing w:line="480" w:lineRule="auto" w:after="0" w:before="0"/>
      </w:pPr>
      <w:r>
        <w:rPr>
          <w:rFonts w:ascii="Times New Roman" w:hAnsi="Times New Roman"/>
          <w:b w:val="0"/>
          <w:i w:val="0"/>
          <w:sz w:val="24"/>
        </w:rPr>
        <w:t>================================================================================ COURT-READY FILING PACKAGE COA Case No. 366810 APPELLANT'S BRIEF ON APPEAL ================================================================================</w:t>
      </w:r>
    </w:p>
    <w:p>
      <w:pPr>
        <w:spacing w:line="480" w:lineRule="auto" w:after="0" w:before="0"/>
      </w:pPr>
      <w:r>
        <w:rPr>
          <w:rFonts w:ascii="Times New Roman" w:hAnsi="Times New Roman"/>
          <w:b w:val="0"/>
          <w:i w:val="0"/>
          <w:sz w:val="24"/>
        </w:rPr>
        <w:t>Package Contents:</w:t>
      </w:r>
    </w:p>
    <w:p>
      <w:pPr>
        <w:spacing w:line="480" w:lineRule="auto" w:after="0" w:before="0"/>
      </w:pPr>
      <w:r>
        <w:rPr>
          <w:rFonts w:ascii="Times New Roman" w:hAnsi="Times New Roman"/>
          <w:b/>
          <w:sz w:val="24"/>
        </w:rPr>
        <w:t xml:space="preserve">1. </w:t>
      </w:r>
      <w:r>
        <w:rPr>
          <w:rFonts w:ascii="Times New Roman" w:hAnsi="Times New Roman"/>
          <w:b w:val="0"/>
          <w:i w:val="0"/>
          <w:sz w:val="24"/>
        </w:rPr>
        <w:t>Cover Page (MCR 7.212(C)(1))</w:t>
      </w:r>
    </w:p>
    <w:p>
      <w:pPr>
        <w:spacing w:line="480" w:lineRule="auto" w:after="0" w:before="0"/>
      </w:pPr>
      <w:r>
        <w:rPr>
          <w:rFonts w:ascii="Times New Roman" w:hAnsi="Times New Roman"/>
          <w:b/>
          <w:sz w:val="24"/>
        </w:rPr>
        <w:t xml:space="preserve">2. </w:t>
      </w:r>
      <w:r>
        <w:rPr>
          <w:rFonts w:ascii="Times New Roman" w:hAnsi="Times New Roman"/>
          <w:b w:val="0"/>
          <w:i w:val="0"/>
          <w:sz w:val="24"/>
        </w:rPr>
        <w:t>Table of Contents (MCR 7.212(C)(2))</w:t>
      </w:r>
    </w:p>
    <w:p>
      <w:pPr>
        <w:spacing w:line="480" w:lineRule="auto" w:after="0" w:before="0"/>
      </w:pPr>
      <w:r>
        <w:rPr>
          <w:rFonts w:ascii="Times New Roman" w:hAnsi="Times New Roman"/>
          <w:b/>
          <w:sz w:val="24"/>
        </w:rPr>
        <w:t xml:space="preserve">3. </w:t>
      </w:r>
      <w:r>
        <w:rPr>
          <w:rFonts w:ascii="Times New Roman" w:hAnsi="Times New Roman"/>
          <w:b w:val="0"/>
          <w:i w:val="0"/>
          <w:sz w:val="24"/>
        </w:rPr>
        <w:t>Index of Authorities (MCR 7.212(C)(3))</w:t>
      </w:r>
    </w:p>
    <w:p>
      <w:pPr>
        <w:spacing w:line="480" w:lineRule="auto" w:after="0" w:before="0"/>
      </w:pPr>
      <w:r>
        <w:rPr>
          <w:rFonts w:ascii="Times New Roman" w:hAnsi="Times New Roman"/>
          <w:b/>
          <w:sz w:val="24"/>
        </w:rPr>
        <w:t xml:space="preserve">4. </w:t>
      </w:r>
      <w:r>
        <w:rPr>
          <w:rFonts w:ascii="Times New Roman" w:hAnsi="Times New Roman"/>
          <w:b w:val="0"/>
          <w:i w:val="0"/>
          <w:sz w:val="24"/>
        </w:rPr>
        <w:t>Statement of Jurisdiction (MCR 7.212(C)(4))</w:t>
      </w:r>
    </w:p>
    <w:p>
      <w:pPr>
        <w:spacing w:line="480" w:lineRule="auto" w:after="0" w:before="0"/>
      </w:pPr>
      <w:r>
        <w:rPr>
          <w:rFonts w:ascii="Times New Roman" w:hAnsi="Times New Roman"/>
          <w:b/>
          <w:sz w:val="24"/>
        </w:rPr>
        <w:t xml:space="preserve">5. </w:t>
      </w:r>
      <w:r>
        <w:rPr>
          <w:rFonts w:ascii="Times New Roman" w:hAnsi="Times New Roman"/>
          <w:b w:val="0"/>
          <w:i w:val="0"/>
          <w:sz w:val="24"/>
        </w:rPr>
        <w:t>Statement of Questions Presented (MCR 7.212(C)(5))</w:t>
      </w:r>
    </w:p>
    <w:p>
      <w:pPr>
        <w:spacing w:line="480" w:lineRule="auto" w:after="0" w:before="0"/>
      </w:pPr>
      <w:r>
        <w:rPr>
          <w:rFonts w:ascii="Times New Roman" w:hAnsi="Times New Roman"/>
          <w:b/>
          <w:sz w:val="24"/>
        </w:rPr>
        <w:t xml:space="preserve">6. </w:t>
      </w:r>
      <w:r>
        <w:rPr>
          <w:rFonts w:ascii="Times New Roman" w:hAnsi="Times New Roman"/>
          <w:b w:val="0"/>
          <w:i w:val="0"/>
          <w:sz w:val="24"/>
        </w:rPr>
        <w:t>Statement of Facts (MCR 7.212(C)(6))</w:t>
      </w:r>
    </w:p>
    <w:p>
      <w:pPr>
        <w:spacing w:line="480" w:lineRule="auto" w:after="0" w:before="0"/>
      </w:pPr>
      <w:r>
        <w:rPr>
          <w:rFonts w:ascii="Times New Roman" w:hAnsi="Times New Roman"/>
          <w:b/>
          <w:sz w:val="24"/>
        </w:rPr>
        <w:t xml:space="preserve">7. </w:t>
      </w:r>
      <w:r>
        <w:rPr>
          <w:rFonts w:ascii="Times New Roman" w:hAnsi="Times New Roman"/>
          <w:b w:val="0"/>
          <w:i w:val="0"/>
          <w:sz w:val="24"/>
        </w:rPr>
        <w:t>Standard of Review</w:t>
      </w:r>
    </w:p>
    <w:p>
      <w:pPr>
        <w:spacing w:line="480" w:lineRule="auto" w:after="0" w:before="0"/>
      </w:pPr>
      <w:r>
        <w:rPr>
          <w:rFonts w:ascii="Times New Roman" w:hAnsi="Times New Roman"/>
          <w:b/>
          <w:sz w:val="24"/>
        </w:rPr>
        <w:t xml:space="preserve">8. </w:t>
      </w:r>
      <w:r>
        <w:rPr>
          <w:rFonts w:ascii="Times New Roman" w:hAnsi="Times New Roman"/>
          <w:b w:val="0"/>
          <w:i w:val="0"/>
          <w:sz w:val="24"/>
        </w:rPr>
        <w:t>Argument (MCR 7.212(C)(7))</w:t>
      </w:r>
    </w:p>
    <w:p>
      <w:pPr>
        <w:spacing w:line="480" w:lineRule="auto" w:after="0" w:before="0"/>
      </w:pPr>
      <w:r>
        <w:rPr>
          <w:rFonts w:ascii="Times New Roman" w:hAnsi="Times New Roman"/>
          <w:b/>
          <w:sz w:val="24"/>
        </w:rPr>
        <w:t xml:space="preserve">9. </w:t>
      </w:r>
      <w:r>
        <w:rPr>
          <w:rFonts w:ascii="Times New Roman" w:hAnsi="Times New Roman"/>
          <w:b w:val="0"/>
          <w:i w:val="0"/>
          <w:sz w:val="24"/>
        </w:rPr>
        <w:t>Relief Requested</w:t>
      </w:r>
    </w:p>
    <w:p>
      <w:pPr>
        <w:spacing w:line="480" w:lineRule="auto" w:after="0" w:before="0"/>
      </w:pPr>
      <w:r>
        <w:rPr>
          <w:rFonts w:ascii="Times New Roman" w:hAnsi="Times New Roman"/>
          <w:b/>
          <w:sz w:val="24"/>
        </w:rPr>
        <w:t xml:space="preserve">10. </w:t>
      </w:r>
      <w:r>
        <w:rPr>
          <w:rFonts w:ascii="Times New Roman" w:hAnsi="Times New Roman"/>
          <w:b w:val="0"/>
          <w:i w:val="0"/>
          <w:sz w:val="24"/>
        </w:rPr>
        <w:t>Signature and Verification</w:t>
      </w:r>
    </w:p>
    <w:p>
      <w:pPr>
        <w:spacing w:line="480" w:lineRule="auto" w:after="0" w:before="0"/>
      </w:pPr>
      <w:r>
        <w:rPr>
          <w:rFonts w:ascii="Times New Roman" w:hAnsi="Times New Roman"/>
          <w:b/>
          <w:sz w:val="24"/>
        </w:rPr>
        <w:t xml:space="preserve">11. </w:t>
      </w:r>
      <w:r>
        <w:rPr>
          <w:rFonts w:ascii="Times New Roman" w:hAnsi="Times New Roman"/>
          <w:b w:val="0"/>
          <w:i w:val="0"/>
          <w:sz w:val="24"/>
        </w:rPr>
        <w:t>Certificate of Service (MCR 7.211(C))</w:t>
      </w:r>
    </w:p>
    <w:p>
      <w:pPr>
        <w:spacing w:line="480" w:lineRule="auto" w:after="0" w:before="0"/>
      </w:pPr>
      <w:r>
        <w:rPr>
          <w:rFonts w:ascii="Times New Roman" w:hAnsi="Times New Roman"/>
          <w:b/>
          <w:sz w:val="24"/>
        </w:rPr>
        <w:t xml:space="preserve">12. </w:t>
      </w:r>
      <w:r>
        <w:rPr>
          <w:rFonts w:ascii="Times New Roman" w:hAnsi="Times New Roman"/>
          <w:b w:val="0"/>
          <w:i w:val="0"/>
          <w:sz w:val="24"/>
        </w:rPr>
        <w:t>Proof of Service (MCR 7.211(C))</w:t>
      </w:r>
    </w:p>
    <w:p>
      <w:pPr>
        <w:spacing w:line="480" w:lineRule="auto" w:after="0" w:before="0"/>
      </w:pPr>
      <w:r>
        <w:rPr>
          <w:rFonts w:ascii="Times New Roman" w:hAnsi="Times New Roman"/>
          <w:b/>
          <w:sz w:val="24"/>
        </w:rPr>
        <w:t xml:space="preserve">13. </w:t>
      </w:r>
      <w:r>
        <w:rPr>
          <w:rFonts w:ascii="Times New Roman" w:hAnsi="Times New Roman"/>
          <w:b w:val="0"/>
          <w:i w:val="0"/>
          <w:sz w:val="24"/>
        </w:rPr>
        <w:t>Appendix Index (MCR 7.212(C)(8))</w:t>
      </w:r>
    </w:p>
    <w:p>
      <w:pPr>
        <w:spacing w:line="480" w:lineRule="auto" w:after="0" w:before="0"/>
      </w:pPr>
      <w:r>
        <w:rPr>
          <w:rFonts w:ascii="Times New Roman" w:hAnsi="Times New Roman"/>
          <w:b w:val="0"/>
          <w:i w:val="0"/>
          <w:sz w:val="24"/>
        </w:rPr>
        <w:t>Filing Compliance: ✅ MCR 7.212(B) — Under 16,000 words ✅ MCR 7.212(C) — All required sections present ✅ MCR 7.211(C) — Certificate and Proof of Service included ✅ MCR 2.113 — Caption, signature block, certificate of service ✅ 12-point Times New Roman, double-spaced, 1-inch margins</w:t>
      </w:r>
    </w:p>
    <w:p>
      <w:pPr>
        <w:spacing w:line="480" w:lineRule="auto" w:after="0" w:before="0"/>
      </w:pPr>
      <w:r>
        <w:rPr>
          <w:rFonts w:ascii="Times New Roman" w:hAnsi="Times New Roman"/>
          <w:b w:val="0"/>
          <w:i w:val="0"/>
          <w:sz w:val="24"/>
        </w:rPr>
        <w:t>================================================================================ COVER PAGE MCR 7.212(C)(1) ================================================================================</w:t>
      </w:r>
    </w:p>
    <w:p>
      <w:r>
        <w:br w:type="page"/>
      </w:r>
    </w:p>
    <w:p>
      <w:pPr>
        <w:spacing w:line="480" w:lineRule="auto" w:after="240" w:before="0"/>
        <w:jc w:val="center"/>
      </w:pPr>
      <w:r>
        <w:rPr>
          <w:rFonts w:ascii="Times New Roman" w:hAnsi="Times New Roman"/>
          <w:b/>
          <w:i w:val="0"/>
          <w:sz w:val="24"/>
        </w:rPr>
        <w:t>STATE OF MICHIGAN</w:t>
      </w:r>
    </w:p>
    <w:p>
      <w:pPr>
        <w:spacing w:line="480" w:lineRule="auto" w:after="240" w:before="0"/>
        <w:jc w:val="center"/>
      </w:pPr>
      <w:r>
        <w:rPr>
          <w:rFonts w:ascii="Times New Roman" w:hAnsi="Times New Roman"/>
          <w:b/>
          <w:i w:val="0"/>
          <w:sz w:val="24"/>
        </w:rPr>
        <w:t>IN THE COURT OF APPEALS</w:t>
      </w:r>
    </w:p>
    <w:p>
      <w:r>
        <w:br w:type="page"/>
      </w:r>
    </w:p>
    <w:p>
      <w:pPr>
        <w:spacing w:line="480" w:lineRule="auto" w:after="0" w:before="0"/>
      </w:pPr>
      <w:r>
        <w:rPr>
          <w:rFonts w:ascii="Times New Roman" w:hAnsi="Times New Roman"/>
          <w:b/>
          <w:i w:val="0"/>
          <w:sz w:val="24"/>
        </w:rPr>
        <w:t>ANDREW PIGORS,</w:t>
      </w:r>
      <w:r>
        <w:rPr>
          <w:rFonts w:ascii="Times New Roman" w:hAnsi="Times New Roman"/>
          <w:b w:val="0"/>
          <w:i w:val="0"/>
          <w:sz w:val="24"/>
        </w:rPr>
        <w:t xml:space="preserve"> Plaintiff-Appellant,</w:t>
      </w:r>
    </w:p>
    <w:p>
      <w:pPr>
        <w:spacing w:line="480" w:lineRule="auto" w:after="0" w:before="0"/>
      </w:pPr>
      <w:r>
        <w:rPr>
          <w:rFonts w:ascii="Times New Roman" w:hAnsi="Times New Roman"/>
          <w:b w:val="0"/>
          <w:i w:val="0"/>
          <w:sz w:val="24"/>
        </w:rPr>
        <w:t>v. COA Case No. 366810 Lower Court Case No. 2024-001507-DC</w:t>
      </w:r>
    </w:p>
    <w:p>
      <w:pPr>
        <w:spacing w:line="480" w:lineRule="auto" w:after="0" w:before="0"/>
      </w:pPr>
      <w:r>
        <w:rPr>
          <w:rFonts w:ascii="Times New Roman" w:hAnsi="Times New Roman"/>
          <w:b/>
          <w:i w:val="0"/>
          <w:sz w:val="24"/>
        </w:rPr>
        <w:t>EMILY ANN WATSON (fka PIGORS),</w:t>
      </w:r>
      <w:r>
        <w:rPr>
          <w:rFonts w:ascii="Times New Roman" w:hAnsi="Times New Roman"/>
          <w:b w:val="0"/>
          <w:i w:val="0"/>
          <w:sz w:val="24"/>
        </w:rPr>
        <w:t xml:space="preserve"> Defendant-Appellee.</w:t>
      </w:r>
    </w:p>
    <w:p>
      <w:r>
        <w:br w:type="page"/>
      </w:r>
    </w:p>
    <w:p>
      <w:pPr>
        <w:spacing w:line="480" w:lineRule="auto" w:after="0" w:before="0"/>
      </w:pPr>
      <w:r>
        <w:rPr>
          <w:rFonts w:ascii="Times New Roman" w:hAnsi="Times New Roman"/>
          <w:b/>
          <w:i w:val="0"/>
          <w:sz w:val="24"/>
        </w:rPr>
        <w:t>Lower Court:</w:t>
      </w:r>
      <w:r>
        <w:rPr>
          <w:rFonts w:ascii="Times New Roman" w:hAnsi="Times New Roman"/>
          <w:b w:val="0"/>
          <w:i w:val="0"/>
          <w:sz w:val="24"/>
        </w:rPr>
        <w:t xml:space="preserve"> 14th Circuit Court, Muskegon County </w:t>
      </w:r>
      <w:r>
        <w:rPr>
          <w:rFonts w:ascii="Times New Roman" w:hAnsi="Times New Roman"/>
          <w:b/>
          <w:i w:val="0"/>
          <w:sz w:val="24"/>
        </w:rPr>
        <w:t>Lower Court Judge:</w:t>
      </w:r>
      <w:r>
        <w:rPr>
          <w:rFonts w:ascii="Times New Roman" w:hAnsi="Times New Roman"/>
          <w:b w:val="0"/>
          <w:i w:val="0"/>
          <w:sz w:val="24"/>
        </w:rPr>
        <w:t xml:space="preserve"> Hon. Jenny L. McNeill </w:t>
      </w:r>
      <w:r>
        <w:rPr>
          <w:rFonts w:ascii="Times New Roman" w:hAnsi="Times New Roman"/>
          <w:b/>
          <w:i w:val="0"/>
          <w:sz w:val="24"/>
        </w:rPr>
        <w:t>Lower Court Case No.:</w:t>
      </w:r>
      <w:r>
        <w:rPr>
          <w:rFonts w:ascii="Times New Roman" w:hAnsi="Times New Roman"/>
          <w:b w:val="0"/>
          <w:i w:val="0"/>
          <w:sz w:val="24"/>
        </w:rPr>
        <w:t xml:space="preserve"> 2024-001507-DC</w:t>
      </w:r>
    </w:p>
    <w:p>
      <w:r>
        <w:br w:type="page"/>
      </w:r>
    </w:p>
    <w:p>
      <w:pPr>
        <w:spacing w:line="480" w:lineRule="auto" w:after="240" w:before="0"/>
        <w:jc w:val="center"/>
      </w:pPr>
      <w:r>
        <w:rPr>
          <w:rFonts w:ascii="Times New Roman" w:hAnsi="Times New Roman"/>
          <w:b/>
          <w:i w:val="0"/>
          <w:sz w:val="24"/>
        </w:rPr>
        <w:t>APPELLANT'S BRIEF ON APPEAL</w:t>
      </w:r>
    </w:p>
    <w:p>
      <w:r>
        <w:br w:type="page"/>
      </w:r>
    </w:p>
    <w:p>
      <w:pPr>
        <w:spacing w:line="480" w:lineRule="auto" w:after="0" w:before="0"/>
      </w:pPr>
      <w:r>
        <w:rPr>
          <w:rFonts w:ascii="Times New Roman" w:hAnsi="Times New Roman"/>
          <w:b/>
          <w:i w:val="0"/>
          <w:sz w:val="24"/>
        </w:rPr>
        <w:t>Andrew Pigors</w:t>
      </w:r>
      <w:r>
        <w:rPr>
          <w:rFonts w:ascii="Times New Roman" w:hAnsi="Times New Roman"/>
          <w:b w:val="0"/>
          <w:i w:val="0"/>
          <w:sz w:val="24"/>
        </w:rPr>
        <w:t xml:space="preserve"> Plaintiff-Appellant, </w:t>
      </w:r>
      <w:r>
        <w:rPr>
          <w:rFonts w:ascii="Times New Roman" w:hAnsi="Times New Roman"/>
          <w:b w:val="0"/>
          <w:i/>
          <w:sz w:val="24"/>
        </w:rPr>
        <w:t>Pro Se</w:t>
      </w:r>
      <w:r>
        <w:rPr>
          <w:rFonts w:ascii="Times New Roman" w:hAnsi="Times New Roman"/>
          <w:b w:val="0"/>
          <w:i w:val="0"/>
          <w:sz w:val="24"/>
        </w:rPr>
        <w:t xml:space="preserve"> 1977 Whitehall Road, Trailer 17, North Muskegon, MI 49445 North Muskegon, MI 49445 231-260-1936 andrewjpigors@gmail.com</w:t>
      </w:r>
    </w:p>
    <w:p>
      <w:r>
        <w:br w:type="page"/>
      </w:r>
    </w:p>
    <w:p>
      <w:pPr>
        <w:spacing w:line="480" w:lineRule="auto" w:after="0" w:before="0"/>
      </w:pPr>
      <w:r>
        <w:rPr>
          <w:rFonts w:ascii="Times New Roman" w:hAnsi="Times New Roman"/>
          <w:b/>
          <w:i w:val="0"/>
          <w:sz w:val="24"/>
        </w:rPr>
        <w:t>ORAL ARGUMENT REQUESTED</w:t>
      </w:r>
    </w:p>
    <w:p>
      <w:pPr>
        <w:spacing w:line="480" w:lineRule="auto" w:after="0" w:before="0"/>
      </w:pPr>
      <w:r>
        <w:rPr>
          <w:rFonts w:ascii="Times New Roman" w:hAnsi="Times New Roman"/>
          <w:b w:val="0"/>
          <w:i w:val="0"/>
          <w:sz w:val="24"/>
        </w:rPr>
        <w:t>This appeal involves a child custody case in which the trial court (1) failed to analyze any of the twelve best interest factors under MCL 722.23 before modifying custody, (2) permitted 329+ days of parent-child separation without adequate factual findings, (3) entered ex parte orders suspending parenting time without the specific-facts showing required by MCR 3.207(B)(1), and (4) exhibited a pattern of 540 documented benchbook violations and 226 ex parte communication violations. Oral argument will materially assist this Court in understanding the record and the constitutional dimensions of these errors.</w:t>
      </w:r>
    </w:p>
    <w:p>
      <w:r>
        <w:br w:type="page"/>
      </w:r>
    </w:p>
    <w:p>
      <w:pPr>
        <w:spacing w:line="480" w:lineRule="auto" w:after="0" w:before="0"/>
      </w:pPr>
      <w:r>
        <w:rPr>
          <w:rFonts w:ascii="Times New Roman" w:hAnsi="Times New Roman"/>
          <w:b w:val="0"/>
          <w:i w:val="0"/>
          <w:sz w:val="24"/>
        </w:rPr>
        <w:t>\newpage</w:t>
      </w:r>
    </w:p>
    <w:p>
      <w:pPr>
        <w:spacing w:line="480" w:lineRule="auto" w:after="0" w:before="0"/>
      </w:pPr>
      <w:r>
        <w:rPr>
          <w:rFonts w:ascii="Times New Roman" w:hAnsi="Times New Roman"/>
          <w:b w:val="0"/>
          <w:i w:val="0"/>
          <w:sz w:val="24"/>
        </w:rPr>
        <w:t>================================================================================ TABLE OF CONTENTS MCR 7.212(C)(2) ================================================================================</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Section</w:t>
            </w:r>
          </w:p>
        </w:tc>
        <w:tc>
          <w:tcPr>
            <w:tcW w:type="dxa" w:w="4680"/>
          </w:tcPr>
          <w:p>
            <w:pPr>
              <w:spacing w:line="240" w:lineRule="auto"/>
            </w:pPr>
            <w:r/>
            <w:r>
              <w:rPr>
                <w:rFonts w:ascii="Times New Roman" w:hAnsi="Times New Roman"/>
                <w:b/>
                <w:sz w:val="24"/>
              </w:rPr>
              <w:t>Page</w:t>
            </w:r>
          </w:p>
        </w:tc>
      </w:tr>
      <w:tr>
        <w:tc>
          <w:tcPr>
            <w:tcW w:type="dxa" w:w="4680"/>
          </w:tcPr>
          <w:p>
            <w:pPr>
              <w:spacing w:line="240" w:lineRule="auto"/>
            </w:pPr>
            <w:r/>
            <w:r>
              <w:rPr>
                <w:rFonts w:ascii="Times New Roman" w:hAnsi="Times New Roman"/>
                <w:b w:val="0"/>
                <w:i w:val="0"/>
                <w:sz w:val="24"/>
              </w:rPr>
              <w:t>TABLE OF CONTENTS</w:t>
            </w:r>
          </w:p>
        </w:tc>
        <w:tc>
          <w:tcPr>
            <w:tcW w:type="dxa" w:w="4680"/>
          </w:tcPr>
          <w:p>
            <w:pPr>
              <w:spacing w:line="240" w:lineRule="auto"/>
            </w:pPr>
            <w:r/>
            <w:r>
              <w:rPr>
                <w:rFonts w:ascii="Times New Roman" w:hAnsi="Times New Roman"/>
                <w:b w:val="0"/>
                <w:i w:val="0"/>
                <w:sz w:val="24"/>
              </w:rPr>
              <w:t>ii</w:t>
            </w:r>
          </w:p>
        </w:tc>
      </w:tr>
      <w:tr>
        <w:tc>
          <w:tcPr>
            <w:tcW w:type="dxa" w:w="4680"/>
          </w:tcPr>
          <w:p>
            <w:pPr>
              <w:spacing w:line="240" w:lineRule="auto"/>
            </w:pPr>
            <w:r/>
            <w:r>
              <w:rPr>
                <w:rFonts w:ascii="Times New Roman" w:hAnsi="Times New Roman"/>
                <w:b w:val="0"/>
                <w:i w:val="0"/>
                <w:sz w:val="24"/>
              </w:rPr>
              <w:t>INDEX OF AUTHORITIES</w:t>
            </w:r>
          </w:p>
        </w:tc>
        <w:tc>
          <w:tcPr>
            <w:tcW w:type="dxa" w:w="4680"/>
          </w:tcPr>
          <w:p>
            <w:pPr>
              <w:spacing w:line="240" w:lineRule="auto"/>
            </w:pPr>
            <w:r/>
            <w:r>
              <w:rPr>
                <w:rFonts w:ascii="Times New Roman" w:hAnsi="Times New Roman"/>
                <w:b w:val="0"/>
                <w:i w:val="0"/>
                <w:sz w:val="24"/>
              </w:rPr>
              <w:t>iii–vi</w:t>
            </w:r>
          </w:p>
        </w:tc>
      </w:tr>
      <w:tr>
        <w:tc>
          <w:tcPr>
            <w:tcW w:type="dxa" w:w="4680"/>
          </w:tcPr>
          <w:p>
            <w:pPr>
              <w:spacing w:line="240" w:lineRule="auto"/>
            </w:pPr>
            <w:r/>
            <w:r>
              <w:rPr>
                <w:rFonts w:ascii="Times New Roman" w:hAnsi="Times New Roman"/>
                <w:b w:val="0"/>
                <w:i w:val="0"/>
                <w:sz w:val="24"/>
              </w:rPr>
              <w:t>STATEMENT OF JURISDICTION</w:t>
            </w:r>
          </w:p>
        </w:tc>
        <w:tc>
          <w:tcPr>
            <w:tcW w:type="dxa" w:w="4680"/>
          </w:tcPr>
          <w:p>
            <w:pPr>
              <w:spacing w:line="240" w:lineRule="auto"/>
            </w:pPr>
            <w:r/>
            <w:r>
              <w:rPr>
                <w:rFonts w:ascii="Times New Roman" w:hAnsi="Times New Roman"/>
                <w:b w:val="0"/>
                <w:i w:val="0"/>
                <w:sz w:val="24"/>
              </w:rPr>
              <w:t>1</w:t>
            </w:r>
          </w:p>
        </w:tc>
      </w:tr>
      <w:tr>
        <w:tc>
          <w:tcPr>
            <w:tcW w:type="dxa" w:w="4680"/>
          </w:tcPr>
          <w:p>
            <w:pPr>
              <w:spacing w:line="240" w:lineRule="auto"/>
            </w:pPr>
            <w:r/>
            <w:r>
              <w:rPr>
                <w:rFonts w:ascii="Times New Roman" w:hAnsi="Times New Roman"/>
                <w:b w:val="0"/>
                <w:i w:val="0"/>
                <w:sz w:val="24"/>
              </w:rPr>
              <w:t>STATEMENT OF QUESTIONS PRESENTED</w:t>
            </w:r>
          </w:p>
        </w:tc>
        <w:tc>
          <w:tcPr>
            <w:tcW w:type="dxa" w:w="4680"/>
          </w:tcPr>
          <w:p>
            <w:pPr>
              <w:spacing w:line="240" w:lineRule="auto"/>
            </w:pPr>
            <w:r/>
            <w:r>
              <w:rPr>
                <w:rFonts w:ascii="Times New Roman" w:hAnsi="Times New Roman"/>
                <w:b w:val="0"/>
                <w:i w:val="0"/>
                <w:sz w:val="24"/>
              </w:rPr>
              <w:t>2–3</w:t>
            </w:r>
          </w:p>
        </w:tc>
      </w:tr>
      <w:tr>
        <w:tc>
          <w:tcPr>
            <w:tcW w:type="dxa" w:w="4680"/>
          </w:tcPr>
          <w:p>
            <w:pPr>
              <w:spacing w:line="240" w:lineRule="auto"/>
            </w:pPr>
            <w:r/>
            <w:r>
              <w:rPr>
                <w:rFonts w:ascii="Times New Roman" w:hAnsi="Times New Roman"/>
                <w:b w:val="0"/>
                <w:i w:val="0"/>
                <w:sz w:val="24"/>
              </w:rPr>
              <w:t>STATEMENT OF FACTS</w:t>
            </w:r>
          </w:p>
        </w:tc>
        <w:tc>
          <w:tcPr>
            <w:tcW w:type="dxa" w:w="4680"/>
          </w:tcPr>
          <w:p>
            <w:pPr>
              <w:spacing w:line="240" w:lineRule="auto"/>
            </w:pPr>
            <w:r/>
            <w:r>
              <w:rPr>
                <w:rFonts w:ascii="Times New Roman" w:hAnsi="Times New Roman"/>
                <w:b w:val="0"/>
                <w:i w:val="0"/>
                <w:sz w:val="24"/>
              </w:rPr>
              <w:t>4–10</w:t>
            </w:r>
          </w:p>
        </w:tc>
      </w:tr>
      <w:tr>
        <w:tc>
          <w:tcPr>
            <w:tcW w:type="dxa" w:w="4680"/>
          </w:tcPr>
          <w:p>
            <w:pPr>
              <w:spacing w:line="240" w:lineRule="auto"/>
            </w:pPr>
            <w:r/>
            <w:r>
              <w:rPr>
                <w:rFonts w:ascii="Times New Roman" w:hAnsi="Times New Roman"/>
                <w:b w:val="0"/>
                <w:i w:val="0"/>
                <w:sz w:val="24"/>
              </w:rPr>
              <w:t>STANDARD OF REVIEW</w:t>
            </w:r>
          </w:p>
        </w:tc>
        <w:tc>
          <w:tcPr>
            <w:tcW w:type="dxa" w:w="4680"/>
          </w:tcPr>
          <w:p>
            <w:pPr>
              <w:spacing w:line="240" w:lineRule="auto"/>
            </w:pPr>
            <w:r/>
            <w:r>
              <w:rPr>
                <w:rFonts w:ascii="Times New Roman" w:hAnsi="Times New Roman"/>
                <w:b w:val="0"/>
                <w:i w:val="0"/>
                <w:sz w:val="24"/>
              </w:rPr>
              <w:t>11–12</w:t>
            </w:r>
          </w:p>
        </w:tc>
      </w:tr>
      <w:tr>
        <w:tc>
          <w:tcPr>
            <w:tcW w:type="dxa" w:w="4680"/>
          </w:tcPr>
          <w:p>
            <w:pPr>
              <w:spacing w:line="240" w:lineRule="auto"/>
            </w:pPr>
            <w:r/>
            <w:r>
              <w:rPr>
                <w:rFonts w:ascii="Times New Roman" w:hAnsi="Times New Roman"/>
                <w:b w:val="0"/>
                <w:i w:val="0"/>
                <w:sz w:val="24"/>
              </w:rPr>
              <w:t>ARGUMENT</w:t>
            </w:r>
          </w:p>
        </w:tc>
        <w:tc>
          <w:tcPr>
            <w:tcW w:type="dxa" w:w="4680"/>
          </w:tcPr>
          <w:p>
            <w:pPr>
              <w:spacing w:line="240" w:lineRule="auto"/>
            </w:pPr>
            <w:r/>
            <w:r>
              <w:rPr>
                <w:rFonts w:ascii="Times New Roman" w:hAnsi="Times New Roman"/>
                <w:b w:val="0"/>
                <w:i w:val="0"/>
                <w:sz w:val="24"/>
              </w:rPr>
              <w:t>13–40</w:t>
            </w:r>
          </w:p>
        </w:tc>
      </w:tr>
      <w:tr>
        <w:tc>
          <w:tcPr>
            <w:tcW w:type="dxa" w:w="4680"/>
          </w:tcPr>
          <w:p>
            <w:pPr>
              <w:spacing w:line="240" w:lineRule="auto"/>
            </w:pPr>
            <w:r/>
            <w:r>
              <w:rPr>
                <w:rFonts w:ascii="Times New Roman" w:hAnsi="Times New Roman"/>
                <w:b w:val="0"/>
                <w:i w:val="0"/>
                <w:sz w:val="24"/>
              </w:rPr>
              <w:t>I. THE TRIAL COURT ABUSED ITS DISCRETION BY FAILING TO MAKE FINDINGS ON ALL TWELVE BEST INTEREST FACTORS UNDER MCL 722.23</w:t>
            </w:r>
          </w:p>
        </w:tc>
        <w:tc>
          <w:tcPr>
            <w:tcW w:type="dxa" w:w="4680"/>
          </w:tcPr>
          <w:p>
            <w:pPr>
              <w:spacing w:line="240" w:lineRule="auto"/>
            </w:pPr>
            <w:r/>
            <w:r>
              <w:rPr>
                <w:rFonts w:ascii="Times New Roman" w:hAnsi="Times New Roman"/>
                <w:b w:val="0"/>
                <w:i w:val="0"/>
                <w:sz w:val="24"/>
              </w:rPr>
              <w:t>13–18</w:t>
            </w:r>
          </w:p>
        </w:tc>
      </w:tr>
      <w:tr>
        <w:tc>
          <w:tcPr>
            <w:tcW w:type="dxa" w:w="4680"/>
          </w:tcPr>
          <w:p>
            <w:pPr>
              <w:spacing w:line="240" w:lineRule="auto"/>
            </w:pPr>
            <w:r/>
            <w:r>
              <w:rPr>
                <w:rFonts w:ascii="Times New Roman" w:hAnsi="Times New Roman"/>
                <w:b w:val="0"/>
                <w:i w:val="0"/>
                <w:sz w:val="24"/>
              </w:rPr>
              <w:t>II. THE TRIAL COURT VIOLATED PLAINTIFF-APPELLANT'S CONSTITUTIONAL RIGHT TO PARENT HIS CHILD</w:t>
            </w:r>
          </w:p>
        </w:tc>
        <w:tc>
          <w:tcPr>
            <w:tcW w:type="dxa" w:w="4680"/>
          </w:tcPr>
          <w:p>
            <w:pPr>
              <w:spacing w:line="240" w:lineRule="auto"/>
            </w:pPr>
            <w:r/>
            <w:r>
              <w:rPr>
                <w:rFonts w:ascii="Times New Roman" w:hAnsi="Times New Roman"/>
                <w:b w:val="0"/>
                <w:i w:val="0"/>
                <w:sz w:val="24"/>
              </w:rPr>
              <w:t>19–24</w:t>
            </w:r>
          </w:p>
        </w:tc>
      </w:tr>
      <w:tr>
        <w:tc>
          <w:tcPr>
            <w:tcW w:type="dxa" w:w="4680"/>
          </w:tcPr>
          <w:p>
            <w:pPr>
              <w:spacing w:line="240" w:lineRule="auto"/>
            </w:pPr>
            <w:r/>
            <w:r>
              <w:rPr>
                <w:rFonts w:ascii="Times New Roman" w:hAnsi="Times New Roman"/>
                <w:b w:val="0"/>
                <w:i w:val="0"/>
                <w:sz w:val="24"/>
              </w:rPr>
              <w:t>III. THE TRIAL COURT ERRED BY FAILING TO ENFORCE PARENTING TIME UNDER MCL 722.27a</w:t>
            </w:r>
          </w:p>
        </w:tc>
        <w:tc>
          <w:tcPr>
            <w:tcW w:type="dxa" w:w="4680"/>
          </w:tcPr>
          <w:p>
            <w:pPr>
              <w:spacing w:line="240" w:lineRule="auto"/>
            </w:pPr>
            <w:r/>
            <w:r>
              <w:rPr>
                <w:rFonts w:ascii="Times New Roman" w:hAnsi="Times New Roman"/>
                <w:b w:val="0"/>
                <w:i w:val="0"/>
                <w:sz w:val="24"/>
              </w:rPr>
              <w:t>25–29</w:t>
            </w:r>
          </w:p>
        </w:tc>
      </w:tr>
      <w:tr>
        <w:tc>
          <w:tcPr>
            <w:tcW w:type="dxa" w:w="4680"/>
          </w:tcPr>
          <w:p>
            <w:pPr>
              <w:spacing w:line="240" w:lineRule="auto"/>
            </w:pPr>
            <w:r/>
            <w:r>
              <w:rPr>
                <w:rFonts w:ascii="Times New Roman" w:hAnsi="Times New Roman"/>
                <w:b w:val="0"/>
                <w:i w:val="0"/>
                <w:sz w:val="24"/>
              </w:rPr>
              <w:t>IV. THE TRIAL COURT'S PATTERN OF 540 BENCHBOOK VIOLATIONS AND 226 EX PARTE COMMUNICATIONS DEPRIVED PLAINTIFF-APPELLANT OF DUE PROCESS</w:t>
            </w:r>
          </w:p>
        </w:tc>
        <w:tc>
          <w:tcPr>
            <w:tcW w:type="dxa" w:w="4680"/>
          </w:tcPr>
          <w:p>
            <w:pPr>
              <w:spacing w:line="240" w:lineRule="auto"/>
            </w:pPr>
            <w:r/>
            <w:r>
              <w:rPr>
                <w:rFonts w:ascii="Times New Roman" w:hAnsi="Times New Roman"/>
                <w:b w:val="0"/>
                <w:i w:val="0"/>
                <w:sz w:val="24"/>
              </w:rPr>
              <w:t>30–35</w:t>
            </w:r>
          </w:p>
        </w:tc>
      </w:tr>
      <w:tr>
        <w:tc>
          <w:tcPr>
            <w:tcW w:type="dxa" w:w="4680"/>
          </w:tcPr>
          <w:p>
            <w:pPr>
              <w:spacing w:line="240" w:lineRule="auto"/>
            </w:pPr>
            <w:r/>
            <w:r>
              <w:rPr>
                <w:rFonts w:ascii="Times New Roman" w:hAnsi="Times New Roman"/>
                <w:b w:val="0"/>
                <w:i w:val="0"/>
                <w:sz w:val="24"/>
              </w:rPr>
              <w:t>V. THE TRIAL COURT FAILED TO ADDRESS PARENTAL ALIENATION UNDER MCL 722.23(j)</w:t>
            </w:r>
          </w:p>
        </w:tc>
        <w:tc>
          <w:tcPr>
            <w:tcW w:type="dxa" w:w="4680"/>
          </w:tcPr>
          <w:p>
            <w:pPr>
              <w:spacing w:line="240" w:lineRule="auto"/>
            </w:pPr>
            <w:r/>
            <w:r>
              <w:rPr>
                <w:rFonts w:ascii="Times New Roman" w:hAnsi="Times New Roman"/>
                <w:b w:val="0"/>
                <w:i w:val="0"/>
                <w:sz w:val="24"/>
              </w:rPr>
              <w:t>36–38</w:t>
            </w:r>
          </w:p>
        </w:tc>
      </w:tr>
      <w:tr>
        <w:tc>
          <w:tcPr>
            <w:tcW w:type="dxa" w:w="4680"/>
          </w:tcPr>
          <w:p>
            <w:pPr>
              <w:spacing w:line="240" w:lineRule="auto"/>
            </w:pPr>
            <w:r/>
            <w:r>
              <w:rPr>
                <w:rFonts w:ascii="Times New Roman" w:hAnsi="Times New Roman"/>
                <w:b w:val="0"/>
                <w:i w:val="0"/>
                <w:sz w:val="24"/>
              </w:rPr>
              <w:t>VI. THIS CASE SHOULD BE REMANDED WITH INSTRUCTIONS TO REASSIGN TO A DIFFERENT JUDGE</w:t>
            </w:r>
          </w:p>
        </w:tc>
        <w:tc>
          <w:tcPr>
            <w:tcW w:type="dxa" w:w="4680"/>
          </w:tcPr>
          <w:p>
            <w:pPr>
              <w:spacing w:line="240" w:lineRule="auto"/>
            </w:pPr>
            <w:r/>
            <w:r>
              <w:rPr>
                <w:rFonts w:ascii="Times New Roman" w:hAnsi="Times New Roman"/>
                <w:b w:val="0"/>
                <w:i w:val="0"/>
                <w:sz w:val="24"/>
              </w:rPr>
              <w:t>39–40</w:t>
            </w:r>
          </w:p>
        </w:tc>
      </w:tr>
      <w:tr>
        <w:tc>
          <w:tcPr>
            <w:tcW w:type="dxa" w:w="4680"/>
          </w:tcPr>
          <w:p>
            <w:pPr>
              <w:spacing w:line="240" w:lineRule="auto"/>
            </w:pPr>
            <w:r/>
            <w:r>
              <w:rPr>
                <w:rFonts w:ascii="Times New Roman" w:hAnsi="Times New Roman"/>
                <w:b w:val="0"/>
                <w:i w:val="0"/>
                <w:sz w:val="24"/>
              </w:rPr>
              <w:t>RELIEF REQUESTED</w:t>
            </w:r>
          </w:p>
        </w:tc>
        <w:tc>
          <w:tcPr>
            <w:tcW w:type="dxa" w:w="4680"/>
          </w:tcPr>
          <w:p>
            <w:pPr>
              <w:spacing w:line="240" w:lineRule="auto"/>
            </w:pPr>
            <w:r/>
            <w:r>
              <w:rPr>
                <w:rFonts w:ascii="Times New Roman" w:hAnsi="Times New Roman"/>
                <w:b w:val="0"/>
                <w:i w:val="0"/>
                <w:sz w:val="24"/>
              </w:rPr>
              <w:t>41</w:t>
            </w:r>
          </w:p>
        </w:tc>
      </w:tr>
      <w:tr>
        <w:tc>
          <w:tcPr>
            <w:tcW w:type="dxa" w:w="4680"/>
          </w:tcPr>
          <w:p>
            <w:pPr>
              <w:spacing w:line="240" w:lineRule="auto"/>
            </w:pPr>
            <w:r/>
            <w:r>
              <w:rPr>
                <w:rFonts w:ascii="Times New Roman" w:hAnsi="Times New Roman"/>
                <w:b w:val="0"/>
                <w:i w:val="0"/>
                <w:sz w:val="24"/>
              </w:rPr>
              <w:t>SIGNATURE AND VERIFICATION</w:t>
            </w:r>
          </w:p>
        </w:tc>
        <w:tc>
          <w:tcPr>
            <w:tcW w:type="dxa" w:w="4680"/>
          </w:tcPr>
          <w:p>
            <w:pPr>
              <w:spacing w:line="240" w:lineRule="auto"/>
            </w:pPr>
            <w:r/>
            <w:r>
              <w:rPr>
                <w:rFonts w:ascii="Times New Roman" w:hAnsi="Times New Roman"/>
                <w:b w:val="0"/>
                <w:i w:val="0"/>
                <w:sz w:val="24"/>
              </w:rPr>
              <w:t>42</w:t>
            </w:r>
          </w:p>
        </w:tc>
      </w:tr>
      <w:tr>
        <w:tc>
          <w:tcPr>
            <w:tcW w:type="dxa" w:w="4680"/>
          </w:tcPr>
          <w:p>
            <w:pPr>
              <w:spacing w:line="240" w:lineRule="auto"/>
            </w:pPr>
            <w:r/>
            <w:r>
              <w:rPr>
                <w:rFonts w:ascii="Times New Roman" w:hAnsi="Times New Roman"/>
                <w:b w:val="0"/>
                <w:i w:val="0"/>
                <w:sz w:val="24"/>
              </w:rPr>
              <w:t>CERTIFICATE OF SERVICE</w:t>
            </w:r>
          </w:p>
        </w:tc>
        <w:tc>
          <w:tcPr>
            <w:tcW w:type="dxa" w:w="4680"/>
          </w:tcPr>
          <w:p>
            <w:pPr>
              <w:spacing w:line="240" w:lineRule="auto"/>
            </w:pPr>
            <w:r/>
            <w:r>
              <w:rPr>
                <w:rFonts w:ascii="Times New Roman" w:hAnsi="Times New Roman"/>
                <w:b w:val="0"/>
                <w:i w:val="0"/>
                <w:sz w:val="24"/>
              </w:rPr>
              <w:t>43</w:t>
            </w:r>
          </w:p>
        </w:tc>
      </w:tr>
      <w:tr>
        <w:tc>
          <w:tcPr>
            <w:tcW w:type="dxa" w:w="4680"/>
          </w:tcPr>
          <w:p>
            <w:pPr>
              <w:spacing w:line="240" w:lineRule="auto"/>
            </w:pPr>
            <w:r/>
            <w:r>
              <w:rPr>
                <w:rFonts w:ascii="Times New Roman" w:hAnsi="Times New Roman"/>
                <w:b w:val="0"/>
                <w:i w:val="0"/>
                <w:sz w:val="24"/>
              </w:rPr>
              <w:t>PROOF OF SERVICE</w:t>
            </w:r>
          </w:p>
        </w:tc>
        <w:tc>
          <w:tcPr>
            <w:tcW w:type="dxa" w:w="4680"/>
          </w:tcPr>
          <w:p>
            <w:pPr>
              <w:spacing w:line="240" w:lineRule="auto"/>
            </w:pPr>
            <w:r/>
            <w:r>
              <w:rPr>
                <w:rFonts w:ascii="Times New Roman" w:hAnsi="Times New Roman"/>
                <w:b w:val="0"/>
                <w:i w:val="0"/>
                <w:sz w:val="24"/>
              </w:rPr>
              <w:t>44</w:t>
            </w:r>
          </w:p>
        </w:tc>
      </w:tr>
      <w:tr>
        <w:tc>
          <w:tcPr>
            <w:tcW w:type="dxa" w:w="4680"/>
          </w:tcPr>
          <w:p>
            <w:pPr>
              <w:spacing w:line="240" w:lineRule="auto"/>
            </w:pPr>
            <w:r/>
            <w:r>
              <w:rPr>
                <w:rFonts w:ascii="Times New Roman" w:hAnsi="Times New Roman"/>
                <w:b w:val="0"/>
                <w:i w:val="0"/>
                <w:sz w:val="24"/>
              </w:rPr>
              <w:t>APPENDIX INDEX</w:t>
            </w:r>
          </w:p>
        </w:tc>
        <w:tc>
          <w:tcPr>
            <w:tcW w:type="dxa" w:w="4680"/>
          </w:tcPr>
          <w:p>
            <w:pPr>
              <w:spacing w:line="240" w:lineRule="auto"/>
            </w:pPr>
            <w:r/>
            <w:r>
              <w:rPr>
                <w:rFonts w:ascii="Times New Roman" w:hAnsi="Times New Roman"/>
                <w:b w:val="0"/>
                <w:i w:val="0"/>
                <w:sz w:val="24"/>
              </w:rPr>
              <w:t>45</w:t>
            </w:r>
          </w:p>
        </w:tc>
      </w:tr>
    </w:tbl>
    <w:p>
      <w:pPr>
        <w:spacing w:line="480" w:lineRule="auto" w:after="0" w:before="0"/>
      </w:pPr>
      <w:r>
        <w:rPr>
          <w:rFonts w:ascii="Times New Roman" w:hAnsi="Times New Roman"/>
          <w:b w:val="0"/>
          <w:i w:val="0"/>
          <w:sz w:val="24"/>
        </w:rPr>
        <w:t>\newpage</w:t>
      </w:r>
    </w:p>
    <w:p>
      <w:pPr>
        <w:spacing w:line="480" w:lineRule="auto" w:after="0" w:before="0"/>
      </w:pPr>
      <w:r>
        <w:rPr>
          <w:rFonts w:ascii="Times New Roman" w:hAnsi="Times New Roman"/>
          <w:b w:val="0"/>
          <w:i w:val="0"/>
          <w:sz w:val="24"/>
        </w:rPr>
        <w:t>================================================================================ INDEX OF AUTHORITIES MCR 7.212(C)(3) ================================================================================</w:t>
      </w:r>
    </w:p>
    <w:p>
      <w:pPr>
        <w:pStyle w:val="Heading2"/>
      </w:pPr>
      <w:r>
        <w:rPr>
          <w:rFonts w:ascii="Times New Roman" w:hAnsi="Times New Roman"/>
        </w:rPr>
        <w:t>Cases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Case</w:t>
            </w:r>
          </w:p>
        </w:tc>
        <w:tc>
          <w:tcPr>
            <w:tcW w:type="dxa" w:w="4680"/>
          </w:tcPr>
          <w:p>
            <w:pPr>
              <w:spacing w:line="240" w:lineRule="auto"/>
            </w:pPr>
            <w:r/>
            <w:r>
              <w:rPr>
                <w:rFonts w:ascii="Times New Roman" w:hAnsi="Times New Roman"/>
                <w:b/>
                <w:sz w:val="24"/>
              </w:rPr>
              <w:t>Pages</w:t>
            </w:r>
          </w:p>
        </w:tc>
      </w:tr>
      <w:tr>
        <w:tc>
          <w:tcPr>
            <w:tcW w:type="dxa" w:w="4680"/>
          </w:tcPr>
          <w:p>
            <w:pPr>
              <w:spacing w:line="240" w:lineRule="auto"/>
            </w:pPr>
            <w:r/>
            <w:r>
              <w:rPr>
                <w:rFonts w:ascii="Times New Roman" w:hAnsi="Times New Roman"/>
                <w:b w:val="0"/>
                <w:i/>
                <w:sz w:val="24"/>
              </w:rPr>
              <w:t>Armstrong v Ypsilanti Twp</w:t>
            </w:r>
            <w:r>
              <w:rPr>
                <w:rFonts w:ascii="Times New Roman" w:hAnsi="Times New Roman"/>
                <w:b w:val="0"/>
                <w:i w:val="0"/>
                <w:sz w:val="24"/>
              </w:rPr>
              <w:t>, 248 Mich App 573 (2001)</w:t>
            </w:r>
          </w:p>
        </w:tc>
        <w:tc>
          <w:tcPr>
            <w:tcW w:type="dxa" w:w="4680"/>
          </w:tcPr>
          <w:p>
            <w:pPr>
              <w:spacing w:line="240" w:lineRule="auto"/>
            </w:pPr>
            <w:r/>
            <w:r>
              <w:rPr>
                <w:rFonts w:ascii="Times New Roman" w:hAnsi="Times New Roman"/>
                <w:b w:val="0"/>
                <w:i w:val="0"/>
                <w:sz w:val="24"/>
              </w:rPr>
              <w:t>32</w:t>
            </w:r>
          </w:p>
        </w:tc>
      </w:tr>
      <w:tr>
        <w:tc>
          <w:tcPr>
            <w:tcW w:type="dxa" w:w="4680"/>
          </w:tcPr>
          <w:p>
            <w:pPr>
              <w:spacing w:line="240" w:lineRule="auto"/>
            </w:pPr>
            <w:r/>
            <w:r>
              <w:rPr>
                <w:rFonts w:ascii="Times New Roman" w:hAnsi="Times New Roman"/>
                <w:b w:val="0"/>
                <w:i/>
                <w:sz w:val="24"/>
              </w:rPr>
              <w:t>Bayati v Bayati</w:t>
            </w:r>
            <w:r>
              <w:rPr>
                <w:rFonts w:ascii="Times New Roman" w:hAnsi="Times New Roman"/>
                <w:b w:val="0"/>
                <w:i w:val="0"/>
                <w:sz w:val="24"/>
              </w:rPr>
              <w:t>, 264 Mich App 595 (2004)</w:t>
            </w:r>
          </w:p>
        </w:tc>
        <w:tc>
          <w:tcPr>
            <w:tcW w:type="dxa" w:w="4680"/>
          </w:tcPr>
          <w:p>
            <w:pPr>
              <w:spacing w:line="240" w:lineRule="auto"/>
            </w:pPr>
            <w:r/>
            <w:r>
              <w:rPr>
                <w:rFonts w:ascii="Times New Roman" w:hAnsi="Times New Roman"/>
                <w:b w:val="0"/>
                <w:i w:val="0"/>
                <w:sz w:val="24"/>
              </w:rPr>
              <w:t>39, 40</w:t>
            </w:r>
          </w:p>
        </w:tc>
      </w:tr>
      <w:tr>
        <w:tc>
          <w:tcPr>
            <w:tcW w:type="dxa" w:w="4680"/>
          </w:tcPr>
          <w:p>
            <w:pPr>
              <w:spacing w:line="240" w:lineRule="auto"/>
            </w:pPr>
            <w:r/>
            <w:r>
              <w:rPr>
                <w:rFonts w:ascii="Times New Roman" w:hAnsi="Times New Roman"/>
                <w:b w:val="0"/>
                <w:i/>
                <w:sz w:val="24"/>
              </w:rPr>
              <w:t>Berger v Berger</w:t>
            </w:r>
            <w:r>
              <w:rPr>
                <w:rFonts w:ascii="Times New Roman" w:hAnsi="Times New Roman"/>
                <w:b w:val="0"/>
                <w:i w:val="0"/>
                <w:sz w:val="24"/>
              </w:rPr>
              <w:t>, 277 Mich App 700 (2008)</w:t>
            </w:r>
          </w:p>
        </w:tc>
        <w:tc>
          <w:tcPr>
            <w:tcW w:type="dxa" w:w="4680"/>
          </w:tcPr>
          <w:p>
            <w:pPr>
              <w:spacing w:line="240" w:lineRule="auto"/>
            </w:pPr>
            <w:r/>
            <w:r>
              <w:rPr>
                <w:rFonts w:ascii="Times New Roman" w:hAnsi="Times New Roman"/>
                <w:b w:val="0"/>
                <w:i w:val="0"/>
                <w:sz w:val="24"/>
              </w:rPr>
              <w:t>36, 37</w:t>
            </w:r>
          </w:p>
        </w:tc>
      </w:tr>
      <w:tr>
        <w:tc>
          <w:tcPr>
            <w:tcW w:type="dxa" w:w="4680"/>
          </w:tcPr>
          <w:p>
            <w:pPr>
              <w:spacing w:line="240" w:lineRule="auto"/>
            </w:pPr>
            <w:r/>
            <w:r>
              <w:rPr>
                <w:rFonts w:ascii="Times New Roman" w:hAnsi="Times New Roman"/>
                <w:b w:val="0"/>
                <w:i/>
                <w:sz w:val="24"/>
              </w:rPr>
              <w:t>Brown v Loveman</w:t>
            </w:r>
            <w:r>
              <w:rPr>
                <w:rFonts w:ascii="Times New Roman" w:hAnsi="Times New Roman"/>
                <w:b w:val="0"/>
                <w:i w:val="0"/>
                <w:sz w:val="24"/>
              </w:rPr>
              <w:t>, 260 Mich App 576 (2004)</w:t>
            </w:r>
          </w:p>
        </w:tc>
        <w:tc>
          <w:tcPr>
            <w:tcW w:type="dxa" w:w="4680"/>
          </w:tcPr>
          <w:p>
            <w:pPr>
              <w:spacing w:line="240" w:lineRule="auto"/>
            </w:pPr>
            <w:r/>
            <w:r>
              <w:rPr>
                <w:rFonts w:ascii="Times New Roman" w:hAnsi="Times New Roman"/>
                <w:b w:val="0"/>
                <w:i w:val="0"/>
                <w:sz w:val="24"/>
              </w:rPr>
              <w:t>25, 27, 28</w:t>
            </w:r>
          </w:p>
        </w:tc>
      </w:tr>
      <w:tr>
        <w:tc>
          <w:tcPr>
            <w:tcW w:type="dxa" w:w="4680"/>
          </w:tcPr>
          <w:p>
            <w:pPr>
              <w:spacing w:line="240" w:lineRule="auto"/>
            </w:pPr>
            <w:r/>
            <w:r>
              <w:rPr>
                <w:rFonts w:ascii="Times New Roman" w:hAnsi="Times New Roman"/>
                <w:b w:val="0"/>
                <w:i/>
                <w:sz w:val="24"/>
              </w:rPr>
              <w:t>Cain v Dep't of Corrections</w:t>
            </w:r>
            <w:r>
              <w:rPr>
                <w:rFonts w:ascii="Times New Roman" w:hAnsi="Times New Roman"/>
                <w:b w:val="0"/>
                <w:i w:val="0"/>
                <w:sz w:val="24"/>
              </w:rPr>
              <w:t>, 451 Mich 470 (1996)</w:t>
            </w:r>
          </w:p>
        </w:tc>
        <w:tc>
          <w:tcPr>
            <w:tcW w:type="dxa" w:w="4680"/>
          </w:tcPr>
          <w:p>
            <w:pPr>
              <w:spacing w:line="240" w:lineRule="auto"/>
            </w:pPr>
            <w:r/>
            <w:r>
              <w:rPr>
                <w:rFonts w:ascii="Times New Roman" w:hAnsi="Times New Roman"/>
                <w:b w:val="0"/>
                <w:i w:val="0"/>
                <w:sz w:val="24"/>
              </w:rPr>
              <w:t>32</w:t>
            </w:r>
          </w:p>
        </w:tc>
      </w:tr>
      <w:tr>
        <w:tc>
          <w:tcPr>
            <w:tcW w:type="dxa" w:w="4680"/>
          </w:tcPr>
          <w:p>
            <w:pPr>
              <w:spacing w:line="240" w:lineRule="auto"/>
            </w:pPr>
            <w:r/>
            <w:r>
              <w:rPr>
                <w:rFonts w:ascii="Times New Roman" w:hAnsi="Times New Roman"/>
                <w:b w:val="0"/>
                <w:i/>
                <w:sz w:val="24"/>
              </w:rPr>
              <w:t>Caperton v Massey</w:t>
            </w:r>
            <w:r>
              <w:rPr>
                <w:rFonts w:ascii="Times New Roman" w:hAnsi="Times New Roman"/>
                <w:b w:val="0"/>
                <w:i w:val="0"/>
                <w:sz w:val="24"/>
              </w:rPr>
              <w:t>, 556 US 868 (2009)</w:t>
            </w:r>
          </w:p>
        </w:tc>
        <w:tc>
          <w:tcPr>
            <w:tcW w:type="dxa" w:w="4680"/>
          </w:tcPr>
          <w:p>
            <w:pPr>
              <w:spacing w:line="240" w:lineRule="auto"/>
            </w:pPr>
            <w:r/>
            <w:r>
              <w:rPr>
                <w:rFonts w:ascii="Times New Roman" w:hAnsi="Times New Roman"/>
                <w:b w:val="0"/>
                <w:i w:val="0"/>
                <w:sz w:val="24"/>
              </w:rPr>
              <w:t>30, 31, 34</w:t>
            </w:r>
          </w:p>
        </w:tc>
      </w:tr>
      <w:tr>
        <w:tc>
          <w:tcPr>
            <w:tcW w:type="dxa" w:w="4680"/>
          </w:tcPr>
          <w:p>
            <w:pPr>
              <w:spacing w:line="240" w:lineRule="auto"/>
            </w:pPr>
            <w:r/>
            <w:r>
              <w:rPr>
                <w:rFonts w:ascii="Times New Roman" w:hAnsi="Times New Roman"/>
                <w:b w:val="0"/>
                <w:i/>
                <w:sz w:val="24"/>
              </w:rPr>
              <w:t>Exxon Mobil Corp v Saudi Basic Indus Corp</w:t>
            </w:r>
            <w:r>
              <w:rPr>
                <w:rFonts w:ascii="Times New Roman" w:hAnsi="Times New Roman"/>
                <w:b w:val="0"/>
                <w:i w:val="0"/>
                <w:sz w:val="24"/>
              </w:rPr>
              <w:t>, 544 US 280 (2005)</w:t>
            </w:r>
          </w:p>
        </w:tc>
        <w:tc>
          <w:tcPr>
            <w:tcW w:type="dxa" w:w="4680"/>
          </w:tcPr>
          <w:p>
            <w:pPr>
              <w:spacing w:line="240" w:lineRule="auto"/>
            </w:pPr>
            <w:r/>
            <w:r>
              <w:rPr>
                <w:rFonts w:ascii="Times New Roman" w:hAnsi="Times New Roman"/>
                <w:b w:val="0"/>
                <w:i w:val="0"/>
                <w:sz w:val="24"/>
              </w:rPr>
              <w:t>34</w:t>
            </w:r>
          </w:p>
        </w:tc>
      </w:tr>
      <w:tr>
        <w:tc>
          <w:tcPr>
            <w:tcW w:type="dxa" w:w="4680"/>
          </w:tcPr>
          <w:p>
            <w:pPr>
              <w:spacing w:line="240" w:lineRule="auto"/>
            </w:pPr>
            <w:r/>
            <w:r>
              <w:rPr>
                <w:rFonts w:ascii="Times New Roman" w:hAnsi="Times New Roman"/>
                <w:b w:val="0"/>
                <w:i/>
                <w:sz w:val="24"/>
              </w:rPr>
              <w:t>Fletcher v Fletcher</w:t>
            </w:r>
            <w:r>
              <w:rPr>
                <w:rFonts w:ascii="Times New Roman" w:hAnsi="Times New Roman"/>
                <w:b w:val="0"/>
                <w:i w:val="0"/>
                <w:sz w:val="24"/>
              </w:rPr>
              <w:t>, 447 Mich 871 (1994)</w:t>
            </w:r>
          </w:p>
        </w:tc>
        <w:tc>
          <w:tcPr>
            <w:tcW w:type="dxa" w:w="4680"/>
          </w:tcPr>
          <w:p>
            <w:pPr>
              <w:spacing w:line="240" w:lineRule="auto"/>
            </w:pPr>
            <w:r/>
            <w:r>
              <w:rPr>
                <w:rFonts w:ascii="Times New Roman" w:hAnsi="Times New Roman"/>
                <w:b w:val="0"/>
                <w:i w:val="0"/>
                <w:sz w:val="24"/>
              </w:rPr>
              <w:t>13, 14, 15, 16, 17</w:t>
            </w:r>
          </w:p>
        </w:tc>
      </w:tr>
      <w:tr>
        <w:tc>
          <w:tcPr>
            <w:tcW w:type="dxa" w:w="4680"/>
          </w:tcPr>
          <w:p>
            <w:pPr>
              <w:spacing w:line="240" w:lineRule="auto"/>
            </w:pPr>
            <w:r/>
            <w:r>
              <w:rPr>
                <w:rFonts w:ascii="Times New Roman" w:hAnsi="Times New Roman"/>
                <w:b w:val="0"/>
                <w:i/>
                <w:sz w:val="24"/>
              </w:rPr>
              <w:t>In re Contempt of Henry</w:t>
            </w:r>
            <w:r>
              <w:rPr>
                <w:rFonts w:ascii="Times New Roman" w:hAnsi="Times New Roman"/>
                <w:b w:val="0"/>
                <w:i w:val="0"/>
                <w:sz w:val="24"/>
              </w:rPr>
              <w:t>, 282 Mich App 656 (2009)</w:t>
            </w:r>
          </w:p>
        </w:tc>
        <w:tc>
          <w:tcPr>
            <w:tcW w:type="dxa" w:w="4680"/>
          </w:tcPr>
          <w:p>
            <w:pPr>
              <w:spacing w:line="240" w:lineRule="auto"/>
            </w:pPr>
            <w:r/>
            <w:r>
              <w:rPr>
                <w:rFonts w:ascii="Times New Roman" w:hAnsi="Times New Roman"/>
                <w:b w:val="0"/>
                <w:i w:val="0"/>
                <w:sz w:val="24"/>
              </w:rPr>
              <w:t>32</w:t>
            </w:r>
          </w:p>
        </w:tc>
      </w:tr>
      <w:tr>
        <w:tc>
          <w:tcPr>
            <w:tcW w:type="dxa" w:w="4680"/>
          </w:tcPr>
          <w:p>
            <w:pPr>
              <w:spacing w:line="240" w:lineRule="auto"/>
            </w:pPr>
            <w:r/>
            <w:r>
              <w:rPr>
                <w:rFonts w:ascii="Times New Roman" w:hAnsi="Times New Roman"/>
                <w:b w:val="0"/>
                <w:i/>
                <w:sz w:val="24"/>
              </w:rPr>
              <w:t>In re Hathaway</w:t>
            </w:r>
            <w:r>
              <w:rPr>
                <w:rFonts w:ascii="Times New Roman" w:hAnsi="Times New Roman"/>
                <w:b w:val="0"/>
                <w:i w:val="0"/>
                <w:sz w:val="24"/>
              </w:rPr>
              <w:t>, 464 Mich 672 (2001)</w:t>
            </w:r>
          </w:p>
        </w:tc>
        <w:tc>
          <w:tcPr>
            <w:tcW w:type="dxa" w:w="4680"/>
          </w:tcPr>
          <w:p>
            <w:pPr>
              <w:spacing w:line="240" w:lineRule="auto"/>
            </w:pPr>
            <w:r/>
            <w:r>
              <w:rPr>
                <w:rFonts w:ascii="Times New Roman" w:hAnsi="Times New Roman"/>
                <w:b w:val="0"/>
                <w:i w:val="0"/>
                <w:sz w:val="24"/>
              </w:rPr>
              <w:t>30, 31, 34</w:t>
            </w:r>
          </w:p>
        </w:tc>
      </w:tr>
      <w:tr>
        <w:tc>
          <w:tcPr>
            <w:tcW w:type="dxa" w:w="4680"/>
          </w:tcPr>
          <w:p>
            <w:pPr>
              <w:spacing w:line="240" w:lineRule="auto"/>
            </w:pPr>
            <w:r/>
            <w:r>
              <w:rPr>
                <w:rFonts w:ascii="Times New Roman" w:hAnsi="Times New Roman"/>
                <w:b w:val="0"/>
                <w:i/>
                <w:sz w:val="24"/>
              </w:rPr>
              <w:t>In re Haley</w:t>
            </w:r>
            <w:r>
              <w:rPr>
                <w:rFonts w:ascii="Times New Roman" w:hAnsi="Times New Roman"/>
                <w:b w:val="0"/>
                <w:i w:val="0"/>
                <w:sz w:val="24"/>
              </w:rPr>
              <w:t>, 476 Mich 180 (2006)</w:t>
            </w:r>
          </w:p>
        </w:tc>
        <w:tc>
          <w:tcPr>
            <w:tcW w:type="dxa" w:w="4680"/>
          </w:tcPr>
          <w:p>
            <w:pPr>
              <w:spacing w:line="240" w:lineRule="auto"/>
            </w:pPr>
            <w:r/>
            <w:r>
              <w:rPr>
                <w:rFonts w:ascii="Times New Roman" w:hAnsi="Times New Roman"/>
                <w:b w:val="0"/>
                <w:i w:val="0"/>
                <w:sz w:val="24"/>
              </w:rPr>
              <w:t>34</w:t>
            </w:r>
          </w:p>
        </w:tc>
      </w:tr>
      <w:tr>
        <w:tc>
          <w:tcPr>
            <w:tcW w:type="dxa" w:w="4680"/>
          </w:tcPr>
          <w:p>
            <w:pPr>
              <w:spacing w:line="240" w:lineRule="auto"/>
            </w:pPr>
            <w:r/>
            <w:r>
              <w:rPr>
                <w:rFonts w:ascii="Times New Roman" w:hAnsi="Times New Roman"/>
                <w:b w:val="0"/>
                <w:i/>
                <w:sz w:val="24"/>
              </w:rPr>
              <w:t>Ireland v Smith</w:t>
            </w:r>
            <w:r>
              <w:rPr>
                <w:rFonts w:ascii="Times New Roman" w:hAnsi="Times New Roman"/>
                <w:b w:val="0"/>
                <w:i w:val="0"/>
                <w:sz w:val="24"/>
              </w:rPr>
              <w:t>, 451 Mich 457 (1996)</w:t>
            </w:r>
          </w:p>
        </w:tc>
        <w:tc>
          <w:tcPr>
            <w:tcW w:type="dxa" w:w="4680"/>
          </w:tcPr>
          <w:p>
            <w:pPr>
              <w:spacing w:line="240" w:lineRule="auto"/>
            </w:pPr>
            <w:r/>
            <w:r>
              <w:rPr>
                <w:rFonts w:ascii="Times New Roman" w:hAnsi="Times New Roman"/>
                <w:b w:val="0"/>
                <w:i w:val="0"/>
                <w:sz w:val="24"/>
              </w:rPr>
              <w:t>15, 16</w:t>
            </w:r>
          </w:p>
        </w:tc>
      </w:tr>
      <w:tr>
        <w:tc>
          <w:tcPr>
            <w:tcW w:type="dxa" w:w="4680"/>
          </w:tcPr>
          <w:p>
            <w:pPr>
              <w:spacing w:line="240" w:lineRule="auto"/>
            </w:pPr>
            <w:r/>
            <w:r>
              <w:rPr>
                <w:rFonts w:ascii="Times New Roman" w:hAnsi="Times New Roman"/>
                <w:b w:val="0"/>
                <w:i/>
                <w:sz w:val="24"/>
              </w:rPr>
              <w:t>Kubicki v Sharpe</w:t>
            </w:r>
            <w:r>
              <w:rPr>
                <w:rFonts w:ascii="Times New Roman" w:hAnsi="Times New Roman"/>
                <w:b w:val="0"/>
                <w:i w:val="0"/>
                <w:sz w:val="24"/>
              </w:rPr>
              <w:t>, 306 Mich App 525 (2014)</w:t>
            </w:r>
          </w:p>
        </w:tc>
        <w:tc>
          <w:tcPr>
            <w:tcW w:type="dxa" w:w="4680"/>
          </w:tcPr>
          <w:p>
            <w:pPr>
              <w:spacing w:line="240" w:lineRule="auto"/>
            </w:pPr>
            <w:r/>
            <w:r>
              <w:rPr>
                <w:rFonts w:ascii="Times New Roman" w:hAnsi="Times New Roman"/>
                <w:b w:val="0"/>
                <w:i w:val="0"/>
                <w:sz w:val="24"/>
              </w:rPr>
              <w:t>11</w:t>
            </w:r>
          </w:p>
        </w:tc>
      </w:tr>
      <w:tr>
        <w:tc>
          <w:tcPr>
            <w:tcW w:type="dxa" w:w="4680"/>
          </w:tcPr>
          <w:p>
            <w:pPr>
              <w:spacing w:line="240" w:lineRule="auto"/>
            </w:pPr>
            <w:r/>
            <w:r>
              <w:rPr>
                <w:rFonts w:ascii="Times New Roman" w:hAnsi="Times New Roman"/>
                <w:b w:val="0"/>
                <w:i/>
                <w:sz w:val="24"/>
              </w:rPr>
              <w:t>Laffin v Laffin</w:t>
            </w:r>
            <w:r>
              <w:rPr>
                <w:rFonts w:ascii="Times New Roman" w:hAnsi="Times New Roman"/>
                <w:b w:val="0"/>
                <w:i w:val="0"/>
                <w:sz w:val="24"/>
              </w:rPr>
              <w:t>, 280 Mich App 513 (2008)</w:t>
            </w:r>
          </w:p>
        </w:tc>
        <w:tc>
          <w:tcPr>
            <w:tcW w:type="dxa" w:w="4680"/>
          </w:tcPr>
          <w:p>
            <w:pPr>
              <w:spacing w:line="240" w:lineRule="auto"/>
            </w:pPr>
            <w:r/>
            <w:r>
              <w:rPr>
                <w:rFonts w:ascii="Times New Roman" w:hAnsi="Times New Roman"/>
                <w:b w:val="0"/>
                <w:i w:val="0"/>
                <w:sz w:val="24"/>
              </w:rPr>
              <w:t>25, 27</w:t>
            </w:r>
          </w:p>
        </w:tc>
      </w:tr>
      <w:tr>
        <w:tc>
          <w:tcPr>
            <w:tcW w:type="dxa" w:w="4680"/>
          </w:tcPr>
          <w:p>
            <w:pPr>
              <w:spacing w:line="240" w:lineRule="auto"/>
            </w:pPr>
            <w:r/>
            <w:r>
              <w:rPr>
                <w:rFonts w:ascii="Times New Roman" w:hAnsi="Times New Roman"/>
                <w:b w:val="0"/>
                <w:i/>
                <w:sz w:val="24"/>
              </w:rPr>
              <w:t>Mireles v Waco</w:t>
            </w:r>
            <w:r>
              <w:rPr>
                <w:rFonts w:ascii="Times New Roman" w:hAnsi="Times New Roman"/>
                <w:b w:val="0"/>
                <w:i w:val="0"/>
                <w:sz w:val="24"/>
              </w:rPr>
              <w:t>, 502 US 9 (1991)</w:t>
            </w:r>
          </w:p>
        </w:tc>
        <w:tc>
          <w:tcPr>
            <w:tcW w:type="dxa" w:w="4680"/>
          </w:tcPr>
          <w:p>
            <w:pPr>
              <w:spacing w:line="240" w:lineRule="auto"/>
            </w:pPr>
            <w:r/>
            <w:r>
              <w:rPr>
                <w:rFonts w:ascii="Times New Roman" w:hAnsi="Times New Roman"/>
                <w:b w:val="0"/>
                <w:i w:val="0"/>
                <w:sz w:val="24"/>
              </w:rPr>
              <w:t>34</w:t>
            </w:r>
          </w:p>
        </w:tc>
      </w:tr>
      <w:tr>
        <w:tc>
          <w:tcPr>
            <w:tcW w:type="dxa" w:w="4680"/>
          </w:tcPr>
          <w:p>
            <w:pPr>
              <w:spacing w:line="240" w:lineRule="auto"/>
            </w:pPr>
            <w:r/>
            <w:r>
              <w:rPr>
                <w:rFonts w:ascii="Times New Roman" w:hAnsi="Times New Roman"/>
                <w:b w:val="0"/>
                <w:i/>
                <w:sz w:val="24"/>
              </w:rPr>
              <w:t>People v Stevens</w:t>
            </w:r>
            <w:r>
              <w:rPr>
                <w:rFonts w:ascii="Times New Roman" w:hAnsi="Times New Roman"/>
                <w:b w:val="0"/>
                <w:i w:val="0"/>
                <w:sz w:val="24"/>
              </w:rPr>
              <w:t>, 498 Mich 162 (2015)</w:t>
            </w:r>
          </w:p>
        </w:tc>
        <w:tc>
          <w:tcPr>
            <w:tcW w:type="dxa" w:w="4680"/>
          </w:tcPr>
          <w:p>
            <w:pPr>
              <w:spacing w:line="240" w:lineRule="auto"/>
            </w:pPr>
            <w:r/>
            <w:r>
              <w:rPr>
                <w:rFonts w:ascii="Times New Roman" w:hAnsi="Times New Roman"/>
                <w:b w:val="0"/>
                <w:i w:val="0"/>
                <w:sz w:val="24"/>
              </w:rPr>
              <w:t>32</w:t>
            </w:r>
          </w:p>
        </w:tc>
      </w:tr>
      <w:tr>
        <w:tc>
          <w:tcPr>
            <w:tcW w:type="dxa" w:w="4680"/>
          </w:tcPr>
          <w:p>
            <w:pPr>
              <w:spacing w:line="240" w:lineRule="auto"/>
            </w:pPr>
            <w:r/>
            <w:r>
              <w:rPr>
                <w:rFonts w:ascii="Times New Roman" w:hAnsi="Times New Roman"/>
                <w:b w:val="0"/>
                <w:i/>
                <w:sz w:val="24"/>
              </w:rPr>
              <w:t>Pickering v Pickering</w:t>
            </w:r>
            <w:r>
              <w:rPr>
                <w:rFonts w:ascii="Times New Roman" w:hAnsi="Times New Roman"/>
                <w:b w:val="0"/>
                <w:i w:val="0"/>
                <w:sz w:val="24"/>
              </w:rPr>
              <w:t>, 253 Mich App 694 (2002)</w:t>
            </w:r>
          </w:p>
        </w:tc>
        <w:tc>
          <w:tcPr>
            <w:tcW w:type="dxa" w:w="4680"/>
          </w:tcPr>
          <w:p>
            <w:pPr>
              <w:spacing w:line="240" w:lineRule="auto"/>
            </w:pPr>
            <w:r/>
            <w:r>
              <w:rPr>
                <w:rFonts w:ascii="Times New Roman" w:hAnsi="Times New Roman"/>
                <w:b w:val="0"/>
                <w:i w:val="0"/>
                <w:sz w:val="24"/>
              </w:rPr>
              <w:t>26</w:t>
            </w:r>
          </w:p>
        </w:tc>
      </w:tr>
      <w:tr>
        <w:tc>
          <w:tcPr>
            <w:tcW w:type="dxa" w:w="4680"/>
          </w:tcPr>
          <w:p>
            <w:pPr>
              <w:spacing w:line="240" w:lineRule="auto"/>
            </w:pPr>
            <w:r/>
            <w:r>
              <w:rPr>
                <w:rFonts w:ascii="Times New Roman" w:hAnsi="Times New Roman"/>
                <w:b w:val="0"/>
                <w:i/>
                <w:sz w:val="24"/>
              </w:rPr>
              <w:t>Pierron v Pierron</w:t>
            </w:r>
            <w:r>
              <w:rPr>
                <w:rFonts w:ascii="Times New Roman" w:hAnsi="Times New Roman"/>
                <w:b w:val="0"/>
                <w:i w:val="0"/>
                <w:sz w:val="24"/>
              </w:rPr>
              <w:t>, 486 Mich 81 (2010)</w:t>
            </w:r>
          </w:p>
        </w:tc>
        <w:tc>
          <w:tcPr>
            <w:tcW w:type="dxa" w:w="4680"/>
          </w:tcPr>
          <w:p>
            <w:pPr>
              <w:spacing w:line="240" w:lineRule="auto"/>
            </w:pPr>
            <w:r/>
            <w:r>
              <w:rPr>
                <w:rFonts w:ascii="Times New Roman" w:hAnsi="Times New Roman"/>
                <w:b w:val="0"/>
                <w:i w:val="0"/>
                <w:sz w:val="24"/>
              </w:rPr>
              <w:t>11, 14</w:t>
            </w:r>
          </w:p>
        </w:tc>
      </w:tr>
      <w:tr>
        <w:tc>
          <w:tcPr>
            <w:tcW w:type="dxa" w:w="4680"/>
          </w:tcPr>
          <w:p>
            <w:pPr>
              <w:spacing w:line="240" w:lineRule="auto"/>
            </w:pPr>
            <w:r/>
            <w:r>
              <w:rPr>
                <w:rFonts w:ascii="Times New Roman" w:hAnsi="Times New Roman"/>
                <w:b w:val="0"/>
                <w:i/>
                <w:sz w:val="24"/>
              </w:rPr>
              <w:t>Santosky v Kramer</w:t>
            </w:r>
            <w:r>
              <w:rPr>
                <w:rFonts w:ascii="Times New Roman" w:hAnsi="Times New Roman"/>
                <w:b w:val="0"/>
                <w:i w:val="0"/>
                <w:sz w:val="24"/>
              </w:rPr>
              <w:t>, 455 US 745 (1982)</w:t>
            </w:r>
          </w:p>
        </w:tc>
        <w:tc>
          <w:tcPr>
            <w:tcW w:type="dxa" w:w="4680"/>
          </w:tcPr>
          <w:p>
            <w:pPr>
              <w:spacing w:line="240" w:lineRule="auto"/>
            </w:pPr>
            <w:r/>
            <w:r>
              <w:rPr>
                <w:rFonts w:ascii="Times New Roman" w:hAnsi="Times New Roman"/>
                <w:b w:val="0"/>
                <w:i w:val="0"/>
                <w:sz w:val="24"/>
              </w:rPr>
              <w:t>19, 20, 22, 23</w:t>
            </w:r>
          </w:p>
        </w:tc>
      </w:tr>
      <w:tr>
        <w:tc>
          <w:tcPr>
            <w:tcW w:type="dxa" w:w="4680"/>
          </w:tcPr>
          <w:p>
            <w:pPr>
              <w:spacing w:line="240" w:lineRule="auto"/>
            </w:pPr>
            <w:r/>
            <w:r>
              <w:rPr>
                <w:rFonts w:ascii="Times New Roman" w:hAnsi="Times New Roman"/>
                <w:b w:val="0"/>
                <w:i/>
                <w:sz w:val="24"/>
              </w:rPr>
              <w:t>Shulick v Richards</w:t>
            </w:r>
            <w:r>
              <w:rPr>
                <w:rFonts w:ascii="Times New Roman" w:hAnsi="Times New Roman"/>
                <w:b w:val="0"/>
                <w:i w:val="0"/>
                <w:sz w:val="24"/>
              </w:rPr>
              <w:t>, 273 Mich App 320 (2006)</w:t>
            </w:r>
          </w:p>
        </w:tc>
        <w:tc>
          <w:tcPr>
            <w:tcW w:type="dxa" w:w="4680"/>
          </w:tcPr>
          <w:p>
            <w:pPr>
              <w:spacing w:line="240" w:lineRule="auto"/>
            </w:pPr>
            <w:r/>
            <w:r>
              <w:rPr>
                <w:rFonts w:ascii="Times New Roman" w:hAnsi="Times New Roman"/>
                <w:b w:val="0"/>
                <w:i w:val="0"/>
                <w:sz w:val="24"/>
              </w:rPr>
              <w:t>11, 13</w:t>
            </w:r>
          </w:p>
        </w:tc>
      </w:tr>
      <w:tr>
        <w:tc>
          <w:tcPr>
            <w:tcW w:type="dxa" w:w="4680"/>
          </w:tcPr>
          <w:p>
            <w:pPr>
              <w:spacing w:line="240" w:lineRule="auto"/>
            </w:pPr>
            <w:r/>
            <w:r>
              <w:rPr>
                <w:rFonts w:ascii="Times New Roman" w:hAnsi="Times New Roman"/>
                <w:b w:val="0"/>
                <w:i/>
                <w:sz w:val="24"/>
              </w:rPr>
              <w:t>Troxel v Granville</w:t>
            </w:r>
            <w:r>
              <w:rPr>
                <w:rFonts w:ascii="Times New Roman" w:hAnsi="Times New Roman"/>
                <w:b w:val="0"/>
                <w:i w:val="0"/>
                <w:sz w:val="24"/>
              </w:rPr>
              <w:t>, 530 US 57 (2000)</w:t>
            </w:r>
          </w:p>
        </w:tc>
        <w:tc>
          <w:tcPr>
            <w:tcW w:type="dxa" w:w="4680"/>
          </w:tcPr>
          <w:p>
            <w:pPr>
              <w:spacing w:line="240" w:lineRule="auto"/>
            </w:pPr>
            <w:r/>
            <w:r>
              <w:rPr>
                <w:rFonts w:ascii="Times New Roman" w:hAnsi="Times New Roman"/>
                <w:b w:val="0"/>
                <w:i w:val="0"/>
                <w:sz w:val="24"/>
              </w:rPr>
              <w:t>2, 19, 20, 21, 22, 24</w:t>
            </w:r>
          </w:p>
        </w:tc>
      </w:tr>
      <w:tr>
        <w:tc>
          <w:tcPr>
            <w:tcW w:type="dxa" w:w="4680"/>
          </w:tcPr>
          <w:p>
            <w:pPr>
              <w:spacing w:line="240" w:lineRule="auto"/>
            </w:pPr>
            <w:r/>
            <w:r>
              <w:rPr>
                <w:rFonts w:ascii="Times New Roman" w:hAnsi="Times New Roman"/>
                <w:b w:val="0"/>
                <w:i/>
                <w:sz w:val="24"/>
              </w:rPr>
              <w:t>Vodvarka v Grasher</w:t>
            </w:r>
            <w:r>
              <w:rPr>
                <w:rFonts w:ascii="Times New Roman" w:hAnsi="Times New Roman"/>
                <w:b w:val="0"/>
                <w:i w:val="0"/>
                <w:sz w:val="24"/>
              </w:rPr>
              <w:t>, 259 Mich App 499 (2003)</w:t>
            </w:r>
          </w:p>
        </w:tc>
        <w:tc>
          <w:tcPr>
            <w:tcW w:type="dxa" w:w="4680"/>
          </w:tcPr>
          <w:p>
            <w:pPr>
              <w:spacing w:line="240" w:lineRule="auto"/>
            </w:pPr>
            <w:r/>
            <w:r>
              <w:rPr>
                <w:rFonts w:ascii="Times New Roman" w:hAnsi="Times New Roman"/>
                <w:b w:val="0"/>
                <w:i w:val="0"/>
                <w:sz w:val="24"/>
              </w:rPr>
              <w:t>13, 14, 16</w:t>
            </w:r>
          </w:p>
        </w:tc>
      </w:tr>
    </w:tbl>
    <w:p>
      <w:pPr>
        <w:pStyle w:val="Heading2"/>
      </w:pPr>
      <w:r>
        <w:rPr>
          <w:rFonts w:ascii="Times New Roman" w:hAnsi="Times New Roman"/>
        </w:rPr>
        <w:t>Statutes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Statute</w:t>
            </w:r>
          </w:p>
        </w:tc>
        <w:tc>
          <w:tcPr>
            <w:tcW w:type="dxa" w:w="4680"/>
          </w:tcPr>
          <w:p>
            <w:pPr>
              <w:spacing w:line="240" w:lineRule="auto"/>
            </w:pPr>
            <w:r/>
            <w:r>
              <w:rPr>
                <w:rFonts w:ascii="Times New Roman" w:hAnsi="Times New Roman"/>
                <w:b/>
                <w:sz w:val="24"/>
              </w:rPr>
              <w:t>Pages</w:t>
            </w:r>
          </w:p>
        </w:tc>
      </w:tr>
      <w:tr>
        <w:tc>
          <w:tcPr>
            <w:tcW w:type="dxa" w:w="4680"/>
          </w:tcPr>
          <w:p>
            <w:pPr>
              <w:spacing w:line="240" w:lineRule="auto"/>
            </w:pPr>
            <w:r/>
            <w:r>
              <w:rPr>
                <w:rFonts w:ascii="Times New Roman" w:hAnsi="Times New Roman"/>
                <w:b w:val="0"/>
                <w:i w:val="0"/>
                <w:sz w:val="24"/>
              </w:rPr>
              <w:t>MCL 722.23 (Best Interest Factors)</w:t>
            </w:r>
          </w:p>
        </w:tc>
        <w:tc>
          <w:tcPr>
            <w:tcW w:type="dxa" w:w="4680"/>
          </w:tcPr>
          <w:p>
            <w:pPr>
              <w:spacing w:line="240" w:lineRule="auto"/>
            </w:pPr>
            <w:r/>
            <w:r>
              <w:rPr>
                <w:rFonts w:ascii="Times New Roman" w:hAnsi="Times New Roman"/>
                <w:b w:val="0"/>
                <w:i w:val="0"/>
                <w:sz w:val="24"/>
              </w:rPr>
              <w:t>2, 13, 14, 15, 16, 17, 36, 37</w:t>
            </w:r>
          </w:p>
        </w:tc>
      </w:tr>
      <w:tr>
        <w:tc>
          <w:tcPr>
            <w:tcW w:type="dxa" w:w="4680"/>
          </w:tcPr>
          <w:p>
            <w:pPr>
              <w:spacing w:line="240" w:lineRule="auto"/>
            </w:pPr>
            <w:r/>
            <w:r>
              <w:rPr>
                <w:rFonts w:ascii="Times New Roman" w:hAnsi="Times New Roman"/>
                <w:b w:val="0"/>
                <w:i w:val="0"/>
                <w:sz w:val="24"/>
              </w:rPr>
              <w:t>MCL 722.23(a)–(l)</w:t>
            </w:r>
          </w:p>
        </w:tc>
        <w:tc>
          <w:tcPr>
            <w:tcW w:type="dxa" w:w="4680"/>
          </w:tcPr>
          <w:p>
            <w:pPr>
              <w:spacing w:line="240" w:lineRule="auto"/>
            </w:pPr>
            <w:r/>
            <w:r>
              <w:rPr>
                <w:rFonts w:ascii="Times New Roman" w:hAnsi="Times New Roman"/>
                <w:b w:val="0"/>
                <w:i w:val="0"/>
                <w:sz w:val="24"/>
              </w:rPr>
              <w:t>13–17</w:t>
            </w:r>
          </w:p>
        </w:tc>
      </w:tr>
      <w:tr>
        <w:tc>
          <w:tcPr>
            <w:tcW w:type="dxa" w:w="4680"/>
          </w:tcPr>
          <w:p>
            <w:pPr>
              <w:spacing w:line="240" w:lineRule="auto"/>
            </w:pPr>
            <w:r/>
            <w:r>
              <w:rPr>
                <w:rFonts w:ascii="Times New Roman" w:hAnsi="Times New Roman"/>
                <w:b w:val="0"/>
                <w:i w:val="0"/>
                <w:sz w:val="24"/>
              </w:rPr>
              <w:t>MCL 722.23(j) (Facilitation of Relationship)</w:t>
            </w:r>
          </w:p>
        </w:tc>
        <w:tc>
          <w:tcPr>
            <w:tcW w:type="dxa" w:w="4680"/>
          </w:tcPr>
          <w:p>
            <w:pPr>
              <w:spacing w:line="240" w:lineRule="auto"/>
            </w:pPr>
            <w:r/>
            <w:r>
              <w:rPr>
                <w:rFonts w:ascii="Times New Roman" w:hAnsi="Times New Roman"/>
                <w:b w:val="0"/>
                <w:i w:val="0"/>
                <w:sz w:val="24"/>
              </w:rPr>
              <w:t>36, 37, 38</w:t>
            </w:r>
          </w:p>
        </w:tc>
      </w:tr>
      <w:tr>
        <w:tc>
          <w:tcPr>
            <w:tcW w:type="dxa" w:w="4680"/>
          </w:tcPr>
          <w:p>
            <w:pPr>
              <w:spacing w:line="240" w:lineRule="auto"/>
            </w:pPr>
            <w:r/>
            <w:r>
              <w:rPr>
                <w:rFonts w:ascii="Times New Roman" w:hAnsi="Times New Roman"/>
                <w:b w:val="0"/>
                <w:i w:val="0"/>
                <w:sz w:val="24"/>
              </w:rPr>
              <w:t>MCL 722.27(1)(c) (Change of Circumstances)</w:t>
            </w:r>
          </w:p>
        </w:tc>
        <w:tc>
          <w:tcPr>
            <w:tcW w:type="dxa" w:w="4680"/>
          </w:tcPr>
          <w:p>
            <w:pPr>
              <w:spacing w:line="240" w:lineRule="auto"/>
            </w:pPr>
            <w:r/>
            <w:r>
              <w:rPr>
                <w:rFonts w:ascii="Times New Roman" w:hAnsi="Times New Roman"/>
                <w:b w:val="0"/>
                <w:i w:val="0"/>
                <w:sz w:val="24"/>
              </w:rPr>
              <w:t>13, 14</w:t>
            </w:r>
          </w:p>
        </w:tc>
      </w:tr>
      <w:tr>
        <w:tc>
          <w:tcPr>
            <w:tcW w:type="dxa" w:w="4680"/>
          </w:tcPr>
          <w:p>
            <w:pPr>
              <w:spacing w:line="240" w:lineRule="auto"/>
            </w:pPr>
            <w:r/>
            <w:r>
              <w:rPr>
                <w:rFonts w:ascii="Times New Roman" w:hAnsi="Times New Roman"/>
                <w:b w:val="0"/>
                <w:i w:val="0"/>
                <w:sz w:val="24"/>
              </w:rPr>
              <w:t>MCL 722.27a (Parenting Time)</w:t>
            </w:r>
          </w:p>
        </w:tc>
        <w:tc>
          <w:tcPr>
            <w:tcW w:type="dxa" w:w="4680"/>
          </w:tcPr>
          <w:p>
            <w:pPr>
              <w:spacing w:line="240" w:lineRule="auto"/>
            </w:pPr>
            <w:r/>
            <w:r>
              <w:rPr>
                <w:rFonts w:ascii="Times New Roman" w:hAnsi="Times New Roman"/>
                <w:b w:val="0"/>
                <w:i w:val="0"/>
                <w:sz w:val="24"/>
              </w:rPr>
              <w:t>2, 25, 26, 27, 28</w:t>
            </w:r>
          </w:p>
        </w:tc>
      </w:tr>
      <w:tr>
        <w:tc>
          <w:tcPr>
            <w:tcW w:type="dxa" w:w="4680"/>
          </w:tcPr>
          <w:p>
            <w:pPr>
              <w:spacing w:line="240" w:lineRule="auto"/>
            </w:pPr>
            <w:r/>
            <w:r>
              <w:rPr>
                <w:rFonts w:ascii="Times New Roman" w:hAnsi="Times New Roman"/>
                <w:b w:val="0"/>
                <w:i w:val="0"/>
                <w:sz w:val="24"/>
              </w:rPr>
              <w:t>MCL 722.27a(1) (Parenting Time in Best Interests)</w:t>
            </w:r>
          </w:p>
        </w:tc>
        <w:tc>
          <w:tcPr>
            <w:tcW w:type="dxa" w:w="4680"/>
          </w:tcPr>
          <w:p>
            <w:pPr>
              <w:spacing w:line="240" w:lineRule="auto"/>
            </w:pPr>
            <w:r/>
            <w:r>
              <w:rPr>
                <w:rFonts w:ascii="Times New Roman" w:hAnsi="Times New Roman"/>
                <w:b w:val="0"/>
                <w:i w:val="0"/>
                <w:sz w:val="24"/>
              </w:rPr>
              <w:t>25, 26</w:t>
            </w:r>
          </w:p>
        </w:tc>
      </w:tr>
      <w:tr>
        <w:tc>
          <w:tcPr>
            <w:tcW w:type="dxa" w:w="4680"/>
          </w:tcPr>
          <w:p>
            <w:pPr>
              <w:spacing w:line="240" w:lineRule="auto"/>
            </w:pPr>
            <w:r/>
            <w:r>
              <w:rPr>
                <w:rFonts w:ascii="Times New Roman" w:hAnsi="Times New Roman"/>
                <w:b w:val="0"/>
                <w:i w:val="0"/>
                <w:sz w:val="24"/>
              </w:rPr>
              <w:t>MCL 722.27a(3) (Clear and Convincing Standard)</w:t>
            </w:r>
          </w:p>
        </w:tc>
        <w:tc>
          <w:tcPr>
            <w:tcW w:type="dxa" w:w="4680"/>
          </w:tcPr>
          <w:p>
            <w:pPr>
              <w:spacing w:line="240" w:lineRule="auto"/>
            </w:pPr>
            <w:r/>
            <w:r>
              <w:rPr>
                <w:rFonts w:ascii="Times New Roman" w:hAnsi="Times New Roman"/>
                <w:b w:val="0"/>
                <w:i w:val="0"/>
                <w:sz w:val="24"/>
              </w:rPr>
              <w:t>25, 26</w:t>
            </w:r>
          </w:p>
        </w:tc>
      </w:tr>
      <w:tr>
        <w:tc>
          <w:tcPr>
            <w:tcW w:type="dxa" w:w="4680"/>
          </w:tcPr>
          <w:p>
            <w:pPr>
              <w:spacing w:line="240" w:lineRule="auto"/>
            </w:pPr>
            <w:r/>
            <w:r>
              <w:rPr>
                <w:rFonts w:ascii="Times New Roman" w:hAnsi="Times New Roman"/>
                <w:b w:val="0"/>
                <w:i w:val="0"/>
                <w:sz w:val="24"/>
              </w:rPr>
              <w:t>MCL 722.27a(7) (Makeup Parenting Time)</w:t>
            </w:r>
          </w:p>
        </w:tc>
        <w:tc>
          <w:tcPr>
            <w:tcW w:type="dxa" w:w="4680"/>
          </w:tcPr>
          <w:p>
            <w:pPr>
              <w:spacing w:line="240" w:lineRule="auto"/>
            </w:pPr>
            <w:r/>
            <w:r>
              <w:rPr>
                <w:rFonts w:ascii="Times New Roman" w:hAnsi="Times New Roman"/>
                <w:b w:val="0"/>
                <w:i w:val="0"/>
                <w:sz w:val="24"/>
              </w:rPr>
              <w:t>25, 27, 28</w:t>
            </w:r>
          </w:p>
        </w:tc>
      </w:tr>
      <w:tr>
        <w:tc>
          <w:tcPr>
            <w:tcW w:type="dxa" w:w="4680"/>
          </w:tcPr>
          <w:p>
            <w:pPr>
              <w:spacing w:line="240" w:lineRule="auto"/>
            </w:pPr>
            <w:r/>
            <w:r>
              <w:rPr>
                <w:rFonts w:ascii="Times New Roman" w:hAnsi="Times New Roman"/>
                <w:b w:val="0"/>
                <w:i w:val="0"/>
                <w:sz w:val="24"/>
              </w:rPr>
              <w:t>MCL 722.27a(9)(a)–(e) (Five Statutory Remedies)</w:t>
            </w:r>
          </w:p>
        </w:tc>
        <w:tc>
          <w:tcPr>
            <w:tcW w:type="dxa" w:w="4680"/>
          </w:tcPr>
          <w:p>
            <w:pPr>
              <w:spacing w:line="240" w:lineRule="auto"/>
            </w:pPr>
            <w:r/>
            <w:r>
              <w:rPr>
                <w:rFonts w:ascii="Times New Roman" w:hAnsi="Times New Roman"/>
                <w:b w:val="0"/>
                <w:i w:val="0"/>
                <w:sz w:val="24"/>
              </w:rPr>
              <w:t>25, 27, 28, 29</w:t>
            </w:r>
          </w:p>
        </w:tc>
      </w:tr>
      <w:tr>
        <w:tc>
          <w:tcPr>
            <w:tcW w:type="dxa" w:w="4680"/>
          </w:tcPr>
          <w:p>
            <w:pPr>
              <w:spacing w:line="240" w:lineRule="auto"/>
            </w:pPr>
            <w:r/>
            <w:r>
              <w:rPr>
                <w:rFonts w:ascii="Times New Roman" w:hAnsi="Times New Roman"/>
                <w:b w:val="0"/>
                <w:i w:val="0"/>
                <w:sz w:val="24"/>
              </w:rPr>
              <w:t>MCL 600.2950 (Personal Protection Orders)</w:t>
            </w:r>
          </w:p>
        </w:tc>
        <w:tc>
          <w:tcPr>
            <w:tcW w:type="dxa" w:w="4680"/>
          </w:tcPr>
          <w:p>
            <w:pPr>
              <w:spacing w:line="240" w:lineRule="auto"/>
            </w:pPr>
            <w:r/>
            <w:r>
              <w:rPr>
                <w:rFonts w:ascii="Times New Roman" w:hAnsi="Times New Roman"/>
                <w:b w:val="0"/>
                <w:i w:val="0"/>
                <w:sz w:val="24"/>
              </w:rPr>
              <w:t>7</w:t>
            </w:r>
          </w:p>
        </w:tc>
      </w:tr>
      <w:tr>
        <w:tc>
          <w:tcPr>
            <w:tcW w:type="dxa" w:w="4680"/>
          </w:tcPr>
          <w:p>
            <w:pPr>
              <w:spacing w:line="240" w:lineRule="auto"/>
            </w:pPr>
            <w:r/>
            <w:r>
              <w:rPr>
                <w:rFonts w:ascii="Times New Roman" w:hAnsi="Times New Roman"/>
                <w:b w:val="0"/>
                <w:i w:val="0"/>
                <w:sz w:val="24"/>
              </w:rPr>
              <w:t>US Const Amend XIV (Due Process)</w:t>
            </w:r>
          </w:p>
        </w:tc>
        <w:tc>
          <w:tcPr>
            <w:tcW w:type="dxa" w:w="4680"/>
          </w:tcPr>
          <w:p>
            <w:pPr>
              <w:spacing w:line="240" w:lineRule="auto"/>
            </w:pPr>
            <w:r/>
            <w:r>
              <w:rPr>
                <w:rFonts w:ascii="Times New Roman" w:hAnsi="Times New Roman"/>
                <w:b w:val="0"/>
                <w:i w:val="0"/>
                <w:sz w:val="24"/>
              </w:rPr>
              <w:t>2, 19, 20, 22, 30</w:t>
            </w:r>
          </w:p>
        </w:tc>
      </w:tr>
    </w:tbl>
    <w:p>
      <w:pPr>
        <w:pStyle w:val="Heading2"/>
      </w:pPr>
      <w:r>
        <w:rPr>
          <w:rFonts w:ascii="Times New Roman" w:hAnsi="Times New Roman"/>
        </w:rPr>
        <w:t>Court Rules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Rule</w:t>
            </w:r>
          </w:p>
        </w:tc>
        <w:tc>
          <w:tcPr>
            <w:tcW w:type="dxa" w:w="4680"/>
          </w:tcPr>
          <w:p>
            <w:pPr>
              <w:spacing w:line="240" w:lineRule="auto"/>
            </w:pPr>
            <w:r/>
            <w:r>
              <w:rPr>
                <w:rFonts w:ascii="Times New Roman" w:hAnsi="Times New Roman"/>
                <w:b/>
                <w:sz w:val="24"/>
              </w:rPr>
              <w:t>Pages</w:t>
            </w:r>
          </w:p>
        </w:tc>
      </w:tr>
      <w:tr>
        <w:tc>
          <w:tcPr>
            <w:tcW w:type="dxa" w:w="4680"/>
          </w:tcPr>
          <w:p>
            <w:pPr>
              <w:spacing w:line="240" w:lineRule="auto"/>
            </w:pPr>
            <w:r/>
            <w:r>
              <w:rPr>
                <w:rFonts w:ascii="Times New Roman" w:hAnsi="Times New Roman"/>
                <w:b w:val="0"/>
                <w:i w:val="0"/>
                <w:sz w:val="24"/>
              </w:rPr>
              <w:t>MCR 2.003 (Disqualification of Judge)</w:t>
            </w:r>
          </w:p>
        </w:tc>
        <w:tc>
          <w:tcPr>
            <w:tcW w:type="dxa" w:w="4680"/>
          </w:tcPr>
          <w:p>
            <w:pPr>
              <w:spacing w:line="240" w:lineRule="auto"/>
            </w:pPr>
            <w:r/>
            <w:r>
              <w:rPr>
                <w:rFonts w:ascii="Times New Roman" w:hAnsi="Times New Roman"/>
                <w:b w:val="0"/>
                <w:i w:val="0"/>
                <w:sz w:val="24"/>
              </w:rPr>
              <w:t>30, 31, 32, 33, 39, 40</w:t>
            </w:r>
          </w:p>
        </w:tc>
      </w:tr>
      <w:tr>
        <w:tc>
          <w:tcPr>
            <w:tcW w:type="dxa" w:w="4680"/>
          </w:tcPr>
          <w:p>
            <w:pPr>
              <w:spacing w:line="240" w:lineRule="auto"/>
            </w:pPr>
            <w:r/>
            <w:r>
              <w:rPr>
                <w:rFonts w:ascii="Times New Roman" w:hAnsi="Times New Roman"/>
                <w:b w:val="0"/>
                <w:i w:val="0"/>
                <w:sz w:val="24"/>
              </w:rPr>
              <w:t>MCR 2.003(C)(1)(a) (Bias or Prejudice)</w:t>
            </w:r>
          </w:p>
        </w:tc>
        <w:tc>
          <w:tcPr>
            <w:tcW w:type="dxa" w:w="4680"/>
          </w:tcPr>
          <w:p>
            <w:pPr>
              <w:spacing w:line="240" w:lineRule="auto"/>
            </w:pPr>
            <w:r/>
            <w:r>
              <w:rPr>
                <w:rFonts w:ascii="Times New Roman" w:hAnsi="Times New Roman"/>
                <w:b w:val="0"/>
                <w:i w:val="0"/>
                <w:sz w:val="24"/>
              </w:rPr>
              <w:t>30, 31, 39</w:t>
            </w:r>
          </w:p>
        </w:tc>
      </w:tr>
      <w:tr>
        <w:tc>
          <w:tcPr>
            <w:tcW w:type="dxa" w:w="4680"/>
          </w:tcPr>
          <w:p>
            <w:pPr>
              <w:spacing w:line="240" w:lineRule="auto"/>
            </w:pPr>
            <w:r/>
            <w:r>
              <w:rPr>
                <w:rFonts w:ascii="Times New Roman" w:hAnsi="Times New Roman"/>
                <w:b w:val="0"/>
                <w:i w:val="0"/>
                <w:sz w:val="24"/>
              </w:rPr>
              <w:t>MCR 2.003(C)(1)(b) (Serious Risk of Actual Bias)</w:t>
            </w:r>
          </w:p>
        </w:tc>
        <w:tc>
          <w:tcPr>
            <w:tcW w:type="dxa" w:w="4680"/>
          </w:tcPr>
          <w:p>
            <w:pPr>
              <w:spacing w:line="240" w:lineRule="auto"/>
            </w:pPr>
            <w:r/>
            <w:r>
              <w:rPr>
                <w:rFonts w:ascii="Times New Roman" w:hAnsi="Times New Roman"/>
                <w:b w:val="0"/>
                <w:i w:val="0"/>
                <w:sz w:val="24"/>
              </w:rPr>
              <w:t>30, 31, 39</w:t>
            </w:r>
          </w:p>
        </w:tc>
      </w:tr>
      <w:tr>
        <w:tc>
          <w:tcPr>
            <w:tcW w:type="dxa" w:w="4680"/>
          </w:tcPr>
          <w:p>
            <w:pPr>
              <w:spacing w:line="240" w:lineRule="auto"/>
            </w:pPr>
            <w:r/>
            <w:r>
              <w:rPr>
                <w:rFonts w:ascii="Times New Roman" w:hAnsi="Times New Roman"/>
                <w:b w:val="0"/>
                <w:i w:val="0"/>
                <w:sz w:val="24"/>
              </w:rPr>
              <w:t>MCR 2.003(D)(1) (Timing of Motion)</w:t>
            </w:r>
          </w:p>
        </w:tc>
        <w:tc>
          <w:tcPr>
            <w:tcW w:type="dxa" w:w="4680"/>
          </w:tcPr>
          <w:p>
            <w:pPr>
              <w:spacing w:line="240" w:lineRule="auto"/>
            </w:pPr>
            <w:r/>
            <w:r>
              <w:rPr>
                <w:rFonts w:ascii="Times New Roman" w:hAnsi="Times New Roman"/>
                <w:b w:val="0"/>
                <w:i w:val="0"/>
                <w:sz w:val="24"/>
              </w:rPr>
              <w:t>32</w:t>
            </w:r>
          </w:p>
        </w:tc>
      </w:tr>
      <w:tr>
        <w:tc>
          <w:tcPr>
            <w:tcW w:type="dxa" w:w="4680"/>
          </w:tcPr>
          <w:p>
            <w:pPr>
              <w:spacing w:line="240" w:lineRule="auto"/>
            </w:pPr>
            <w:r/>
            <w:r>
              <w:rPr>
                <w:rFonts w:ascii="Times New Roman" w:hAnsi="Times New Roman"/>
                <w:b w:val="0"/>
                <w:i w:val="0"/>
                <w:sz w:val="24"/>
              </w:rPr>
              <w:t>MCR 2.119 (Motion Practice)</w:t>
            </w:r>
          </w:p>
        </w:tc>
        <w:tc>
          <w:tcPr>
            <w:tcW w:type="dxa" w:w="4680"/>
          </w:tcPr>
          <w:p>
            <w:pPr>
              <w:spacing w:line="240" w:lineRule="auto"/>
            </w:pPr>
            <w:r/>
            <w:r>
              <w:rPr>
                <w:rFonts w:ascii="Times New Roman" w:hAnsi="Times New Roman"/>
                <w:b w:val="0"/>
                <w:i w:val="0"/>
                <w:sz w:val="24"/>
              </w:rPr>
              <w:t>7</w:t>
            </w:r>
          </w:p>
        </w:tc>
      </w:tr>
      <w:tr>
        <w:tc>
          <w:tcPr>
            <w:tcW w:type="dxa" w:w="4680"/>
          </w:tcPr>
          <w:p>
            <w:pPr>
              <w:spacing w:line="240" w:lineRule="auto"/>
            </w:pPr>
            <w:r/>
            <w:r>
              <w:rPr>
                <w:rFonts w:ascii="Times New Roman" w:hAnsi="Times New Roman"/>
                <w:b w:val="0"/>
                <w:i w:val="0"/>
                <w:sz w:val="24"/>
              </w:rPr>
              <w:t>MCR 3.207(B)(1) (Ex Parte Orders — Specific Facts)</w:t>
            </w:r>
          </w:p>
        </w:tc>
        <w:tc>
          <w:tcPr>
            <w:tcW w:type="dxa" w:w="4680"/>
          </w:tcPr>
          <w:p>
            <w:pPr>
              <w:spacing w:line="240" w:lineRule="auto"/>
            </w:pPr>
            <w:r/>
            <w:r>
              <w:rPr>
                <w:rFonts w:ascii="Times New Roman" w:hAnsi="Times New Roman"/>
                <w:b w:val="0"/>
                <w:i w:val="0"/>
                <w:sz w:val="24"/>
              </w:rPr>
              <w:t>7, 25, 26, 30, 31</w:t>
            </w:r>
          </w:p>
        </w:tc>
      </w:tr>
      <w:tr>
        <w:tc>
          <w:tcPr>
            <w:tcW w:type="dxa" w:w="4680"/>
          </w:tcPr>
          <w:p>
            <w:pPr>
              <w:spacing w:line="240" w:lineRule="auto"/>
            </w:pPr>
            <w:r/>
            <w:r>
              <w:rPr>
                <w:rFonts w:ascii="Times New Roman" w:hAnsi="Times New Roman"/>
                <w:b w:val="0"/>
                <w:i w:val="0"/>
                <w:sz w:val="24"/>
              </w:rPr>
              <w:t>MCR 3.210(C) (Hearings Required)</w:t>
            </w:r>
          </w:p>
        </w:tc>
        <w:tc>
          <w:tcPr>
            <w:tcW w:type="dxa" w:w="4680"/>
          </w:tcPr>
          <w:p>
            <w:pPr>
              <w:spacing w:line="240" w:lineRule="auto"/>
            </w:pPr>
            <w:r/>
            <w:r>
              <w:rPr>
                <w:rFonts w:ascii="Times New Roman" w:hAnsi="Times New Roman"/>
                <w:b w:val="0"/>
                <w:i w:val="0"/>
                <w:sz w:val="24"/>
              </w:rPr>
              <w:t>31, 33</w:t>
            </w:r>
          </w:p>
        </w:tc>
      </w:tr>
      <w:tr>
        <w:tc>
          <w:tcPr>
            <w:tcW w:type="dxa" w:w="4680"/>
          </w:tcPr>
          <w:p>
            <w:pPr>
              <w:spacing w:line="240" w:lineRule="auto"/>
            </w:pPr>
            <w:r/>
            <w:r>
              <w:rPr>
                <w:rFonts w:ascii="Times New Roman" w:hAnsi="Times New Roman"/>
                <w:b w:val="0"/>
                <w:i w:val="0"/>
                <w:sz w:val="24"/>
              </w:rPr>
              <w:t>MCR 7.203(A) (Jurisdiction)</w:t>
            </w:r>
          </w:p>
        </w:tc>
        <w:tc>
          <w:tcPr>
            <w:tcW w:type="dxa" w:w="4680"/>
          </w:tcPr>
          <w:p>
            <w:pPr>
              <w:spacing w:line="240" w:lineRule="auto"/>
            </w:pPr>
            <w:r/>
            <w:r>
              <w:rPr>
                <w:rFonts w:ascii="Times New Roman" w:hAnsi="Times New Roman"/>
                <w:b w:val="0"/>
                <w:i w:val="0"/>
                <w:sz w:val="24"/>
              </w:rPr>
              <w:t>1</w:t>
            </w:r>
          </w:p>
        </w:tc>
      </w:tr>
      <w:tr>
        <w:tc>
          <w:tcPr>
            <w:tcW w:type="dxa" w:w="4680"/>
          </w:tcPr>
          <w:p>
            <w:pPr>
              <w:spacing w:line="240" w:lineRule="auto"/>
            </w:pPr>
            <w:r/>
            <w:r>
              <w:rPr>
                <w:rFonts w:ascii="Times New Roman" w:hAnsi="Times New Roman"/>
                <w:b w:val="0"/>
                <w:i w:val="0"/>
                <w:sz w:val="24"/>
              </w:rPr>
              <w:t>MCR 7.204(A) (Filing Appeal of Right)</w:t>
            </w:r>
          </w:p>
        </w:tc>
        <w:tc>
          <w:tcPr>
            <w:tcW w:type="dxa" w:w="4680"/>
          </w:tcPr>
          <w:p>
            <w:pPr>
              <w:spacing w:line="240" w:lineRule="auto"/>
            </w:pPr>
            <w:r/>
            <w:r>
              <w:rPr>
                <w:rFonts w:ascii="Times New Roman" w:hAnsi="Times New Roman"/>
                <w:b w:val="0"/>
                <w:i w:val="0"/>
                <w:sz w:val="24"/>
              </w:rPr>
              <w:t>1</w:t>
            </w:r>
          </w:p>
        </w:tc>
      </w:tr>
      <w:tr>
        <w:tc>
          <w:tcPr>
            <w:tcW w:type="dxa" w:w="4680"/>
          </w:tcPr>
          <w:p>
            <w:pPr>
              <w:spacing w:line="240" w:lineRule="auto"/>
            </w:pPr>
            <w:r/>
            <w:r>
              <w:rPr>
                <w:rFonts w:ascii="Times New Roman" w:hAnsi="Times New Roman"/>
                <w:b w:val="0"/>
                <w:i w:val="0"/>
                <w:sz w:val="24"/>
              </w:rPr>
              <w:t>MCR 7.211(C) (Service of Briefs)</w:t>
            </w:r>
          </w:p>
        </w:tc>
        <w:tc>
          <w:tcPr>
            <w:tcW w:type="dxa" w:w="4680"/>
          </w:tcPr>
          <w:p>
            <w:pPr>
              <w:spacing w:line="240" w:lineRule="auto"/>
            </w:pPr>
            <w:r/>
            <w:r>
              <w:rPr>
                <w:rFonts w:ascii="Times New Roman" w:hAnsi="Times New Roman"/>
                <w:b w:val="0"/>
                <w:i w:val="0"/>
                <w:sz w:val="24"/>
              </w:rPr>
              <w:t>43, 44</w:t>
            </w:r>
          </w:p>
        </w:tc>
      </w:tr>
      <w:tr>
        <w:tc>
          <w:tcPr>
            <w:tcW w:type="dxa" w:w="4680"/>
          </w:tcPr>
          <w:p>
            <w:pPr>
              <w:spacing w:line="240" w:lineRule="auto"/>
            </w:pPr>
            <w:r/>
            <w:r>
              <w:rPr>
                <w:rFonts w:ascii="Times New Roman" w:hAnsi="Times New Roman"/>
                <w:b w:val="0"/>
                <w:i w:val="0"/>
                <w:sz w:val="24"/>
              </w:rPr>
              <w:t>MCR 7.212 (Briefs)</w:t>
            </w:r>
          </w:p>
        </w:tc>
        <w:tc>
          <w:tcPr>
            <w:tcW w:type="dxa" w:w="4680"/>
          </w:tcPr>
          <w:p>
            <w:pPr>
              <w:spacing w:line="240" w:lineRule="auto"/>
            </w:pPr>
            <w:r/>
            <w:r>
              <w:rPr>
                <w:rFonts w:ascii="Times New Roman" w:hAnsi="Times New Roman"/>
                <w:b w:val="0"/>
                <w:i w:val="0"/>
                <w:sz w:val="24"/>
              </w:rPr>
              <w:t>1</w:t>
            </w:r>
          </w:p>
        </w:tc>
      </w:tr>
      <w:tr>
        <w:tc>
          <w:tcPr>
            <w:tcW w:type="dxa" w:w="4680"/>
          </w:tcPr>
          <w:p>
            <w:pPr>
              <w:spacing w:line="240" w:lineRule="auto"/>
            </w:pPr>
            <w:r/>
            <w:r>
              <w:rPr>
                <w:rFonts w:ascii="Times New Roman" w:hAnsi="Times New Roman"/>
                <w:b w:val="0"/>
                <w:i w:val="0"/>
                <w:sz w:val="24"/>
              </w:rPr>
              <w:t>MCR 7.212(C)(8) (Appendix Requirements)</w:t>
            </w:r>
          </w:p>
        </w:tc>
        <w:tc>
          <w:tcPr>
            <w:tcW w:type="dxa" w:w="4680"/>
          </w:tcPr>
          <w:p>
            <w:pPr>
              <w:spacing w:line="240" w:lineRule="auto"/>
            </w:pPr>
            <w:r/>
            <w:r>
              <w:rPr>
                <w:rFonts w:ascii="Times New Roman" w:hAnsi="Times New Roman"/>
                <w:b w:val="0"/>
                <w:i w:val="0"/>
                <w:sz w:val="24"/>
              </w:rPr>
              <w:t>45</w:t>
            </w:r>
          </w:p>
        </w:tc>
      </w:tr>
      <w:tr>
        <w:tc>
          <w:tcPr>
            <w:tcW w:type="dxa" w:w="4680"/>
          </w:tcPr>
          <w:p>
            <w:pPr>
              <w:spacing w:line="240" w:lineRule="auto"/>
            </w:pPr>
            <w:r/>
            <w:r>
              <w:rPr>
                <w:rFonts w:ascii="Times New Roman" w:hAnsi="Times New Roman"/>
                <w:b w:val="0"/>
                <w:i w:val="0"/>
                <w:sz w:val="24"/>
              </w:rPr>
              <w:t>MCR 7.215(C) (Unpublished Opinions)</w:t>
            </w:r>
          </w:p>
        </w:tc>
        <w:tc>
          <w:tcPr>
            <w:tcW w:type="dxa" w:w="4680"/>
          </w:tcPr>
          <w:p>
            <w:pPr>
              <w:spacing w:line="240" w:lineRule="auto"/>
            </w:pPr>
            <w:r/>
            <w:r>
              <w:rPr>
                <w:rFonts w:ascii="Times New Roman" w:hAnsi="Times New Roman"/>
                <w:b w:val="0"/>
                <w:i w:val="0"/>
                <w:sz w:val="24"/>
              </w:rPr>
              <w:t>iii</w:t>
            </w:r>
          </w:p>
        </w:tc>
      </w:tr>
      <w:tr>
        <w:tc>
          <w:tcPr>
            <w:tcW w:type="dxa" w:w="4680"/>
          </w:tcPr>
          <w:p>
            <w:pPr>
              <w:spacing w:line="240" w:lineRule="auto"/>
            </w:pPr>
            <w:r/>
            <w:r>
              <w:rPr>
                <w:rFonts w:ascii="Times New Roman" w:hAnsi="Times New Roman"/>
                <w:b w:val="0"/>
                <w:i w:val="0"/>
                <w:sz w:val="24"/>
              </w:rPr>
              <w:t>MCR 7.216(A)(4) (Amendments to Record)</w:t>
            </w:r>
          </w:p>
        </w:tc>
        <w:tc>
          <w:tcPr>
            <w:tcW w:type="dxa" w:w="4680"/>
          </w:tcPr>
          <w:p>
            <w:pPr>
              <w:spacing w:line="240" w:lineRule="auto"/>
            </w:pPr>
            <w:r/>
            <w:r>
              <w:rPr>
                <w:rFonts w:ascii="Times New Roman" w:hAnsi="Times New Roman"/>
                <w:b w:val="0"/>
                <w:i w:val="0"/>
                <w:sz w:val="24"/>
              </w:rPr>
              <w:t>39, 40</w:t>
            </w:r>
          </w:p>
        </w:tc>
      </w:tr>
      <w:tr>
        <w:tc>
          <w:tcPr>
            <w:tcW w:type="dxa" w:w="4680"/>
          </w:tcPr>
          <w:p>
            <w:pPr>
              <w:spacing w:line="240" w:lineRule="auto"/>
            </w:pPr>
            <w:r/>
            <w:r>
              <w:rPr>
                <w:rFonts w:ascii="Times New Roman" w:hAnsi="Times New Roman"/>
                <w:b w:val="0"/>
                <w:i w:val="0"/>
                <w:sz w:val="24"/>
              </w:rPr>
              <w:t>MCR 7.216(A)(7) (Any Judgment or Order)</w:t>
            </w:r>
          </w:p>
        </w:tc>
        <w:tc>
          <w:tcPr>
            <w:tcW w:type="dxa" w:w="4680"/>
          </w:tcPr>
          <w:p>
            <w:pPr>
              <w:spacing w:line="240" w:lineRule="auto"/>
            </w:pPr>
            <w:r/>
            <w:r>
              <w:rPr>
                <w:rFonts w:ascii="Times New Roman" w:hAnsi="Times New Roman"/>
                <w:b w:val="0"/>
                <w:i w:val="0"/>
                <w:sz w:val="24"/>
              </w:rPr>
              <w:t>39, 40</w:t>
            </w:r>
          </w:p>
        </w:tc>
      </w:tr>
      <w:tr>
        <w:tc>
          <w:tcPr>
            <w:tcW w:type="dxa" w:w="4680"/>
          </w:tcPr>
          <w:p>
            <w:pPr>
              <w:spacing w:line="240" w:lineRule="auto"/>
            </w:pPr>
            <w:r/>
            <w:r>
              <w:rPr>
                <w:rFonts w:ascii="Times New Roman" w:hAnsi="Times New Roman"/>
                <w:b w:val="0"/>
                <w:i w:val="0"/>
                <w:sz w:val="24"/>
              </w:rPr>
              <w:t>MCR 9.104 (Grounds for Discipline)</w:t>
            </w:r>
          </w:p>
        </w:tc>
        <w:tc>
          <w:tcPr>
            <w:tcW w:type="dxa" w:w="4680"/>
          </w:tcPr>
          <w:p>
            <w:pPr>
              <w:spacing w:line="240" w:lineRule="auto"/>
            </w:pPr>
            <w:r/>
            <w:r>
              <w:rPr>
                <w:rFonts w:ascii="Times New Roman" w:hAnsi="Times New Roman"/>
                <w:b w:val="0"/>
                <w:i w:val="0"/>
                <w:sz w:val="24"/>
              </w:rPr>
              <w:t>34</w:t>
            </w:r>
          </w:p>
        </w:tc>
      </w:tr>
    </w:tbl>
    <w:p>
      <w:pPr>
        <w:pStyle w:val="Heading2"/>
      </w:pPr>
      <w:r>
        <w:rPr>
          <w:rFonts w:ascii="Times New Roman" w:hAnsi="Times New Roman"/>
        </w:rPr>
        <w:t>Other Authorities</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Authority</w:t>
            </w:r>
          </w:p>
        </w:tc>
        <w:tc>
          <w:tcPr>
            <w:tcW w:type="dxa" w:w="4680"/>
          </w:tcPr>
          <w:p>
            <w:pPr>
              <w:spacing w:line="240" w:lineRule="auto"/>
            </w:pPr>
            <w:r/>
            <w:r>
              <w:rPr>
                <w:rFonts w:ascii="Times New Roman" w:hAnsi="Times New Roman"/>
                <w:b/>
                <w:sz w:val="24"/>
              </w:rPr>
              <w:t>Pages</w:t>
            </w:r>
          </w:p>
        </w:tc>
      </w:tr>
      <w:tr>
        <w:tc>
          <w:tcPr>
            <w:tcW w:type="dxa" w:w="4680"/>
          </w:tcPr>
          <w:p>
            <w:pPr>
              <w:spacing w:line="240" w:lineRule="auto"/>
            </w:pPr>
            <w:r/>
            <w:r>
              <w:rPr>
                <w:rFonts w:ascii="Times New Roman" w:hAnsi="Times New Roman"/>
                <w:b w:val="0"/>
                <w:i w:val="0"/>
                <w:sz w:val="24"/>
              </w:rPr>
              <w:t>Michigan Code of Judicial Conduct, Canon 2</w:t>
            </w:r>
          </w:p>
        </w:tc>
        <w:tc>
          <w:tcPr>
            <w:tcW w:type="dxa" w:w="4680"/>
          </w:tcPr>
          <w:p>
            <w:pPr>
              <w:spacing w:line="240" w:lineRule="auto"/>
            </w:pPr>
            <w:r/>
            <w:r>
              <w:rPr>
                <w:rFonts w:ascii="Times New Roman" w:hAnsi="Times New Roman"/>
                <w:b w:val="0"/>
                <w:i w:val="0"/>
                <w:sz w:val="24"/>
              </w:rPr>
              <w:t>30, 33, 34, 39</w:t>
            </w:r>
          </w:p>
        </w:tc>
      </w:tr>
      <w:tr>
        <w:tc>
          <w:tcPr>
            <w:tcW w:type="dxa" w:w="4680"/>
          </w:tcPr>
          <w:p>
            <w:pPr>
              <w:spacing w:line="240" w:lineRule="auto"/>
            </w:pPr>
            <w:r/>
            <w:r>
              <w:rPr>
                <w:rFonts w:ascii="Times New Roman" w:hAnsi="Times New Roman"/>
                <w:b w:val="0"/>
                <w:i w:val="0"/>
                <w:sz w:val="24"/>
              </w:rPr>
              <w:t>Michigan Code of Judicial Conduct, Canon 2(B)</w:t>
            </w:r>
          </w:p>
        </w:tc>
        <w:tc>
          <w:tcPr>
            <w:tcW w:type="dxa" w:w="4680"/>
          </w:tcPr>
          <w:p>
            <w:pPr>
              <w:spacing w:line="240" w:lineRule="auto"/>
            </w:pPr>
            <w:r/>
            <w:r>
              <w:rPr>
                <w:rFonts w:ascii="Times New Roman" w:hAnsi="Times New Roman"/>
                <w:b w:val="0"/>
                <w:i w:val="0"/>
                <w:sz w:val="24"/>
              </w:rPr>
              <w:t>33</w:t>
            </w:r>
          </w:p>
        </w:tc>
      </w:tr>
      <w:tr>
        <w:tc>
          <w:tcPr>
            <w:tcW w:type="dxa" w:w="4680"/>
          </w:tcPr>
          <w:p>
            <w:pPr>
              <w:spacing w:line="240" w:lineRule="auto"/>
            </w:pPr>
            <w:r/>
            <w:r>
              <w:rPr>
                <w:rFonts w:ascii="Times New Roman" w:hAnsi="Times New Roman"/>
                <w:b w:val="0"/>
                <w:i w:val="0"/>
                <w:sz w:val="24"/>
              </w:rPr>
              <w:t>Michigan Code of Judicial Conduct, Canon 3(A)(4)</w:t>
            </w:r>
          </w:p>
        </w:tc>
        <w:tc>
          <w:tcPr>
            <w:tcW w:type="dxa" w:w="4680"/>
          </w:tcPr>
          <w:p>
            <w:pPr>
              <w:spacing w:line="240" w:lineRule="auto"/>
            </w:pPr>
            <w:r/>
            <w:r>
              <w:rPr>
                <w:rFonts w:ascii="Times New Roman" w:hAnsi="Times New Roman"/>
                <w:b w:val="0"/>
                <w:i w:val="0"/>
                <w:sz w:val="24"/>
              </w:rPr>
              <w:t>33, 34</w:t>
            </w:r>
          </w:p>
        </w:tc>
      </w:tr>
      <w:tr>
        <w:tc>
          <w:tcPr>
            <w:tcW w:type="dxa" w:w="4680"/>
          </w:tcPr>
          <w:p>
            <w:pPr>
              <w:spacing w:line="240" w:lineRule="auto"/>
            </w:pPr>
            <w:r/>
            <w:r>
              <w:rPr>
                <w:rFonts w:ascii="Times New Roman" w:hAnsi="Times New Roman"/>
                <w:b w:val="0"/>
                <w:i w:val="0"/>
                <w:sz w:val="24"/>
              </w:rPr>
              <w:t>Michigan Code of Judicial Conduct, Canon 3(A)(5)</w:t>
            </w:r>
          </w:p>
        </w:tc>
        <w:tc>
          <w:tcPr>
            <w:tcW w:type="dxa" w:w="4680"/>
          </w:tcPr>
          <w:p>
            <w:pPr>
              <w:spacing w:line="240" w:lineRule="auto"/>
            </w:pPr>
            <w:r/>
            <w:r>
              <w:rPr>
                <w:rFonts w:ascii="Times New Roman" w:hAnsi="Times New Roman"/>
                <w:b w:val="0"/>
                <w:i w:val="0"/>
                <w:sz w:val="24"/>
              </w:rPr>
              <w:t>31, 33, 34</w:t>
            </w:r>
          </w:p>
        </w:tc>
      </w:tr>
      <w:tr>
        <w:tc>
          <w:tcPr>
            <w:tcW w:type="dxa" w:w="4680"/>
          </w:tcPr>
          <w:p>
            <w:pPr>
              <w:spacing w:line="240" w:lineRule="auto"/>
            </w:pPr>
            <w:r/>
            <w:r>
              <w:rPr>
                <w:rFonts w:ascii="Times New Roman" w:hAnsi="Times New Roman"/>
                <w:b w:val="0"/>
                <w:i w:val="0"/>
                <w:sz w:val="24"/>
              </w:rPr>
              <w:t>SCAO Custody and Parenting Time Investigation Manual (2024)</w:t>
            </w:r>
          </w:p>
        </w:tc>
        <w:tc>
          <w:tcPr>
            <w:tcW w:type="dxa" w:w="4680"/>
          </w:tcPr>
          <w:p>
            <w:pPr>
              <w:spacing w:line="240" w:lineRule="auto"/>
            </w:pPr>
            <w:r/>
            <w:r>
              <w:rPr>
                <w:rFonts w:ascii="Times New Roman" w:hAnsi="Times New Roman"/>
                <w:b w:val="0"/>
                <w:i w:val="0"/>
                <w:sz w:val="24"/>
              </w:rPr>
              <w:t>15</w:t>
            </w:r>
          </w:p>
        </w:tc>
      </w:tr>
      <w:tr>
        <w:tc>
          <w:tcPr>
            <w:tcW w:type="dxa" w:w="4680"/>
          </w:tcPr>
          <w:p>
            <w:pPr>
              <w:spacing w:line="240" w:lineRule="auto"/>
            </w:pPr>
            <w:r/>
            <w:r>
              <w:rPr>
                <w:rFonts w:ascii="Times New Roman" w:hAnsi="Times New Roman"/>
                <w:b w:val="0"/>
                <w:i w:val="0"/>
                <w:sz w:val="24"/>
              </w:rPr>
              <w:t>Michigan Parenting Time Guideline (SCAO, 2022)</w:t>
            </w:r>
          </w:p>
        </w:tc>
        <w:tc>
          <w:tcPr>
            <w:tcW w:type="dxa" w:w="4680"/>
          </w:tcPr>
          <w:p>
            <w:pPr>
              <w:spacing w:line="240" w:lineRule="auto"/>
            </w:pPr>
            <w:r/>
            <w:r>
              <w:rPr>
                <w:rFonts w:ascii="Times New Roman" w:hAnsi="Times New Roman"/>
                <w:b w:val="0"/>
                <w:i w:val="0"/>
                <w:sz w:val="24"/>
              </w:rPr>
              <w:t>26</w:t>
            </w:r>
          </w:p>
        </w:tc>
      </w:tr>
    </w:tbl>
    <w:p>
      <w:pPr>
        <w:spacing w:line="480" w:lineRule="auto" w:after="0" w:before="0"/>
      </w:pPr>
      <w:r>
        <w:rPr>
          <w:rFonts w:ascii="Times New Roman" w:hAnsi="Times New Roman"/>
          <w:b w:val="0"/>
          <w:i w:val="0"/>
          <w:sz w:val="24"/>
        </w:rPr>
        <w:t>\newpage</w:t>
      </w:r>
    </w:p>
    <w:p>
      <w:pPr>
        <w:spacing w:line="480" w:lineRule="auto" w:after="0" w:before="0"/>
      </w:pPr>
      <w:r>
        <w:rPr>
          <w:rFonts w:ascii="Times New Roman" w:hAnsi="Times New Roman"/>
          <w:b w:val="0"/>
          <w:i w:val="0"/>
          <w:sz w:val="24"/>
        </w:rPr>
        <w:t>================================================================================ STATEMENT OF JURISDICTION MCR 7.212(C)(4) ================================================================================</w:t>
      </w:r>
    </w:p>
    <w:p>
      <w:pPr>
        <w:spacing w:line="480" w:lineRule="auto" w:after="0" w:before="0"/>
      </w:pPr>
      <w:r>
        <w:rPr>
          <w:rFonts w:ascii="Times New Roman" w:hAnsi="Times New Roman"/>
          <w:b w:val="0"/>
          <w:i w:val="0"/>
          <w:sz w:val="24"/>
        </w:rPr>
        <w:t>This Court has jurisdiction over this appeal pursuant to MCR 7.203(A)(1), which grants the Court of Appeals jurisdiction over appeals of right from final judgments and final orders of the circuit court. MCR 7.203(A)(1).</w:t>
      </w:r>
    </w:p>
    <w:p>
      <w:pPr>
        <w:spacing w:line="480" w:lineRule="auto" w:after="0" w:before="0"/>
      </w:pPr>
      <w:r>
        <w:rPr>
          <w:rFonts w:ascii="Times New Roman" w:hAnsi="Times New Roman"/>
          <w:b w:val="0"/>
          <w:i w:val="0"/>
          <w:sz w:val="24"/>
        </w:rPr>
        <w:t>The trial court — the 14th Circuit Court, Muskegon County, Hon. Jenny L. McNeill presiding — entered a series of final orders in Case No. 2024-001507-DC that determined custody, suspended parenting time, and resolved the substantive rights of the parties. These orders constitute final orders as defined in MCR 7.202(6).</w:t>
      </w:r>
    </w:p>
    <w:p>
      <w:pPr>
        <w:spacing w:line="480" w:lineRule="auto" w:after="0" w:before="0"/>
      </w:pPr>
      <w:r>
        <w:rPr>
          <w:rFonts w:ascii="Times New Roman" w:hAnsi="Times New Roman"/>
          <w:b w:val="0"/>
          <w:i w:val="0"/>
          <w:sz w:val="24"/>
        </w:rPr>
        <w:t>Plaintiff-Appellant Andrew Pigors filed a timely Claim of Appeal on or about June 1, 2025, pursuant to MCR 7.204(A). MCR 7.204(A)(1). This appeal is properly before this Court.</w:t>
      </w:r>
    </w:p>
    <w:p>
      <w:pPr>
        <w:spacing w:line="480" w:lineRule="auto" w:after="0" w:before="0"/>
      </w:pPr>
      <w:r>
        <w:rPr>
          <w:rFonts w:ascii="Times New Roman" w:hAnsi="Times New Roman"/>
          <w:b w:val="0"/>
          <w:i w:val="0"/>
          <w:sz w:val="24"/>
        </w:rPr>
        <w:t>Because this case involves child custody, this brief is filed within the time prescribed by MCR 7.212(A)(1)(a)(i), which provides 28 days after the later of the claim of appeal filing or the transcript filing, subject to extensions by this Court.</w:t>
      </w:r>
    </w:p>
    <w:p>
      <w:r>
        <w:br w:type="page"/>
      </w:r>
    </w:p>
    <w:p>
      <w:pPr>
        <w:spacing w:line="480" w:lineRule="auto" w:after="0" w:before="0"/>
      </w:pPr>
      <w:r>
        <w:rPr>
          <w:rFonts w:ascii="Times New Roman" w:hAnsi="Times New Roman"/>
          <w:b w:val="0"/>
          <w:i w:val="0"/>
          <w:sz w:val="24"/>
        </w:rPr>
        <w:t>\newpage</w:t>
      </w:r>
    </w:p>
    <w:p>
      <w:pPr>
        <w:spacing w:line="480" w:lineRule="auto" w:after="0" w:before="0"/>
      </w:pPr>
      <w:r>
        <w:rPr>
          <w:rFonts w:ascii="Times New Roman" w:hAnsi="Times New Roman"/>
          <w:b w:val="0"/>
          <w:i w:val="0"/>
          <w:sz w:val="24"/>
        </w:rPr>
        <w:t>================================================================================ STATEMENT OF QUESTIONS PRESENTED MCR 7.212(C)(5) ================================================================================</w:t>
      </w:r>
    </w:p>
    <w:p>
      <w:pPr>
        <w:spacing w:line="480" w:lineRule="auto" w:after="0" w:before="0"/>
      </w:pPr>
      <w:r>
        <w:rPr>
          <w:rFonts w:ascii="Times New Roman" w:hAnsi="Times New Roman"/>
          <w:b w:val="0"/>
          <w:i w:val="0"/>
          <w:sz w:val="24"/>
        </w:rPr>
        <w:t>Plaintiff-Appellant states that the trial court erred and that each of the following questions should be answered in the affirmative:</w:t>
      </w:r>
    </w:p>
    <w:p>
      <w:r>
        <w:br w:type="page"/>
      </w:r>
    </w:p>
    <w:p>
      <w:pPr>
        <w:spacing w:line="480" w:lineRule="auto" w:after="0" w:before="0"/>
      </w:pPr>
      <w:r>
        <w:rPr>
          <w:rFonts w:ascii="Times New Roman" w:hAnsi="Times New Roman"/>
          <w:b/>
          <w:i w:val="0"/>
          <w:sz w:val="24"/>
        </w:rPr>
        <w:t>I.</w:t>
      </w:r>
      <w:r>
        <w:rPr>
          <w:rFonts w:ascii="Times New Roman" w:hAnsi="Times New Roman"/>
          <w:b w:val="0"/>
          <w:i w:val="0"/>
          <w:sz w:val="24"/>
        </w:rPr>
        <w:t xml:space="preserve"> Did the trial court abuse its discretion by failing to make specific findings on all twelve best interest factors under MCL 722.23(a)–(l) before modifying custody and suspending parenting time, contrary to the mandatory requirements of </w:t>
      </w:r>
      <w:r>
        <w:rPr>
          <w:rFonts w:ascii="Times New Roman" w:hAnsi="Times New Roman"/>
          <w:b w:val="0"/>
          <w:i/>
          <w:sz w:val="24"/>
        </w:rPr>
        <w:t>Fletcher v Fletcher</w:t>
      </w:r>
      <w:r>
        <w:rPr>
          <w:rFonts w:ascii="Times New Roman" w:hAnsi="Times New Roman"/>
          <w:b w:val="0"/>
          <w:i w:val="0"/>
          <w:sz w:val="24"/>
        </w:rPr>
        <w:t>, 447 Mich 871 (1994)?</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Plaintiff-Appellant answers: Yes.</w:t>
      </w:r>
      <w:r>
        <w:rPr>
          <w:rFonts w:ascii="Times New Roman" w:hAnsi="Times New Roman"/>
          <w:b w:val="0"/>
          <w:i w:val="0"/>
          <w:sz w:val="24"/>
        </w:rPr>
        <w:t xml:space="preserve"> &gt; </w:t>
      </w:r>
      <w:r>
        <w:rPr>
          <w:rFonts w:ascii="Times New Roman" w:hAnsi="Times New Roman"/>
          <w:b/>
          <w:i w:val="0"/>
          <w:sz w:val="24"/>
        </w:rPr>
        <w:t>Trial Court answered: Did not address.</w:t>
      </w:r>
    </w:p>
    <w:p>
      <w:r>
        <w:br w:type="page"/>
      </w:r>
    </w:p>
    <w:p>
      <w:pPr>
        <w:spacing w:line="480" w:lineRule="auto" w:after="0" w:before="0"/>
      </w:pPr>
      <w:r>
        <w:rPr>
          <w:rFonts w:ascii="Times New Roman" w:hAnsi="Times New Roman"/>
          <w:b/>
          <w:i w:val="0"/>
          <w:sz w:val="24"/>
        </w:rPr>
        <w:t>II.</w:t>
      </w:r>
      <w:r>
        <w:rPr>
          <w:rFonts w:ascii="Times New Roman" w:hAnsi="Times New Roman"/>
          <w:b w:val="0"/>
          <w:i w:val="0"/>
          <w:sz w:val="24"/>
        </w:rPr>
        <w:t xml:space="preserve"> Did the trial court violate Plaintiff-Appellant's fundamental constitutional right to the care, custody, and control of his child under the Fourteenth Amendment to the United States Constitution and </w:t>
      </w:r>
      <w:r>
        <w:rPr>
          <w:rFonts w:ascii="Times New Roman" w:hAnsi="Times New Roman"/>
          <w:b w:val="0"/>
          <w:i/>
          <w:sz w:val="24"/>
        </w:rPr>
        <w:t>Troxel v Granville</w:t>
      </w:r>
      <w:r>
        <w:rPr>
          <w:rFonts w:ascii="Times New Roman" w:hAnsi="Times New Roman"/>
          <w:b w:val="0"/>
          <w:i w:val="0"/>
          <w:sz w:val="24"/>
        </w:rPr>
        <w:t>, 530 US 57 (2000), by permitting 329+ days of parent-child separation without adequate factual findings and without applying the clear and convincing evidence standard required before terminating parental contact?</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Plaintiff-Appellant answers: Yes.</w:t>
      </w:r>
      <w:r>
        <w:rPr>
          <w:rFonts w:ascii="Times New Roman" w:hAnsi="Times New Roman"/>
          <w:b w:val="0"/>
          <w:i w:val="0"/>
          <w:sz w:val="24"/>
        </w:rPr>
        <w:t xml:space="preserve"> &gt; </w:t>
      </w:r>
      <w:r>
        <w:rPr>
          <w:rFonts w:ascii="Times New Roman" w:hAnsi="Times New Roman"/>
          <w:b/>
          <w:i w:val="0"/>
          <w:sz w:val="24"/>
        </w:rPr>
        <w:t>Trial Court answered: Did not address.</w:t>
      </w:r>
    </w:p>
    <w:p>
      <w:r>
        <w:br w:type="page"/>
      </w:r>
    </w:p>
    <w:p>
      <w:pPr>
        <w:spacing w:line="480" w:lineRule="auto" w:after="0" w:before="0"/>
      </w:pPr>
      <w:r>
        <w:rPr>
          <w:rFonts w:ascii="Times New Roman" w:hAnsi="Times New Roman"/>
          <w:b/>
          <w:i w:val="0"/>
          <w:sz w:val="24"/>
        </w:rPr>
        <w:t>III.</w:t>
      </w:r>
      <w:r>
        <w:rPr>
          <w:rFonts w:ascii="Times New Roman" w:hAnsi="Times New Roman"/>
          <w:b w:val="0"/>
          <w:i w:val="0"/>
          <w:sz w:val="24"/>
        </w:rPr>
        <w:t xml:space="preserve"> Did the trial court err as a matter of law by failing to enforce parenting time under MCL 722.27a, failing to order makeup parenting time under MCL 722.27a(7), and failing to apply any of the five statutory remedies for parenting time violations under MCL 722.27a(9)(a)–(e), despite documented and continuous denial of Plaintiff-Appellant's court-ordered parenting time since July 29, 2025?</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Plaintiff-Appellant answers: Yes.</w:t>
      </w:r>
      <w:r>
        <w:rPr>
          <w:rFonts w:ascii="Times New Roman" w:hAnsi="Times New Roman"/>
          <w:b w:val="0"/>
          <w:i w:val="0"/>
          <w:sz w:val="24"/>
        </w:rPr>
        <w:t xml:space="preserve"> &gt; </w:t>
      </w:r>
      <w:r>
        <w:rPr>
          <w:rFonts w:ascii="Times New Roman" w:hAnsi="Times New Roman"/>
          <w:b/>
          <w:i w:val="0"/>
          <w:sz w:val="24"/>
        </w:rPr>
        <w:t>Trial Court answered: Did not address.</w:t>
      </w:r>
    </w:p>
    <w:p>
      <w:r>
        <w:br w:type="page"/>
      </w:r>
    </w:p>
    <w:p>
      <w:pPr>
        <w:spacing w:line="480" w:lineRule="auto" w:after="0" w:before="0"/>
      </w:pPr>
      <w:r>
        <w:rPr>
          <w:rFonts w:ascii="Times New Roman" w:hAnsi="Times New Roman"/>
          <w:b/>
          <w:i w:val="0"/>
          <w:sz w:val="24"/>
        </w:rPr>
        <w:t>IV.</w:t>
      </w:r>
      <w:r>
        <w:rPr>
          <w:rFonts w:ascii="Times New Roman" w:hAnsi="Times New Roman"/>
          <w:b w:val="0"/>
          <w:i w:val="0"/>
          <w:sz w:val="24"/>
        </w:rPr>
        <w:t xml:space="preserve"> Did the trial court's pattern of 540 documented benchbook violations, 226 ex parte communication violations, and systematic procedural irregularities — including entering ex parte orders without the specific-facts showing required by MCR 3.207(B)(1) and conducting off-record handling of evidence — deprive Plaintiff-Appellant of his right to due process under the Fourteenth Amendment and require disqualification under MCR 2.003(C)(1)(a)–(b)?</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Plaintiff-Appellant answers: Yes.</w:t>
      </w:r>
      <w:r>
        <w:rPr>
          <w:rFonts w:ascii="Times New Roman" w:hAnsi="Times New Roman"/>
          <w:b w:val="0"/>
          <w:i w:val="0"/>
          <w:sz w:val="24"/>
        </w:rPr>
        <w:t xml:space="preserve"> &gt; </w:t>
      </w:r>
      <w:r>
        <w:rPr>
          <w:rFonts w:ascii="Times New Roman" w:hAnsi="Times New Roman"/>
          <w:b/>
          <w:i w:val="0"/>
          <w:sz w:val="24"/>
        </w:rPr>
        <w:t>Trial Court answered: Did not address.</w:t>
      </w:r>
    </w:p>
    <w:p>
      <w:r>
        <w:br w:type="page"/>
      </w:r>
    </w:p>
    <w:p>
      <w:pPr>
        <w:spacing w:line="480" w:lineRule="auto" w:after="0" w:before="0"/>
      </w:pPr>
      <w:r>
        <w:rPr>
          <w:rFonts w:ascii="Times New Roman" w:hAnsi="Times New Roman"/>
          <w:b/>
          <w:i w:val="0"/>
          <w:sz w:val="24"/>
        </w:rPr>
        <w:t>V.</w:t>
      </w:r>
      <w:r>
        <w:rPr>
          <w:rFonts w:ascii="Times New Roman" w:hAnsi="Times New Roman"/>
          <w:b w:val="0"/>
          <w:i w:val="0"/>
          <w:sz w:val="24"/>
        </w:rPr>
        <w:t xml:space="preserve"> Did the trial court fail to properly evaluate Defendant-Appellee's pattern of parental alienation under MCL 722.23(j), where Defendant-Appellee — a nine-year veteran of the Kent County Prosecutor's Office — systematically withheld the minor child from Plaintiff-Appellant for 329+ consecutive days while the trial court took no corrective action?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Plaintiff-Appellant answers: Yes.</w:t>
      </w:r>
      <w:r>
        <w:rPr>
          <w:rFonts w:ascii="Times New Roman" w:hAnsi="Times New Roman"/>
          <w:b w:val="0"/>
          <w:i w:val="0"/>
          <w:sz w:val="24"/>
        </w:rPr>
        <w:t xml:space="preserve"> &gt; </w:t>
      </w:r>
      <w:r>
        <w:rPr>
          <w:rFonts w:ascii="Times New Roman" w:hAnsi="Times New Roman"/>
          <w:b/>
          <w:i w:val="0"/>
          <w:sz w:val="24"/>
        </w:rPr>
        <w:t>Trial Court answered: Did not address.</w:t>
      </w:r>
    </w:p>
    <w:p>
      <w:r>
        <w:br w:type="page"/>
      </w:r>
    </w:p>
    <w:p>
      <w:pPr>
        <w:spacing w:line="480" w:lineRule="auto" w:after="0" w:before="0"/>
      </w:pPr>
      <w:r>
        <w:rPr>
          <w:rFonts w:ascii="Times New Roman" w:hAnsi="Times New Roman"/>
          <w:b/>
          <w:i w:val="0"/>
          <w:sz w:val="24"/>
        </w:rPr>
        <w:t>VI.</w:t>
      </w:r>
      <w:r>
        <w:rPr>
          <w:rFonts w:ascii="Times New Roman" w:hAnsi="Times New Roman"/>
          <w:b w:val="0"/>
          <w:i w:val="0"/>
          <w:sz w:val="24"/>
        </w:rPr>
        <w:t xml:space="preserve"> Should this case be remanded to the trial court with instructions to reassign to a different judge pursuant to MCR 7.216(A)(4) and MCR 7.216(A)(7), given the documented pattern of bias, ex parte communications, and benchbook violations that renders fair adjudication by the current judge impossible?</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Plaintiff-Appellant answers: Yes.</w:t>
      </w:r>
    </w:p>
    <w:p>
      <w:r>
        <w:br w:type="page"/>
      </w:r>
    </w:p>
    <w:p>
      <w:pPr>
        <w:spacing w:line="480" w:lineRule="auto" w:after="0" w:before="0"/>
      </w:pPr>
      <w:r>
        <w:rPr>
          <w:rFonts w:ascii="Times New Roman" w:hAnsi="Times New Roman"/>
          <w:b w:val="0"/>
          <w:i w:val="0"/>
          <w:sz w:val="24"/>
        </w:rPr>
        <w:t>\newpage</w:t>
      </w:r>
    </w:p>
    <w:p>
      <w:pPr>
        <w:spacing w:line="480" w:lineRule="auto" w:after="0" w:before="0"/>
      </w:pPr>
      <w:r>
        <w:rPr>
          <w:rFonts w:ascii="Times New Roman" w:hAnsi="Times New Roman"/>
          <w:b w:val="0"/>
          <w:i w:val="0"/>
          <w:sz w:val="24"/>
        </w:rPr>
        <w:t>================================================================================ STATEMENT OF FACTS MCR 7.212(C)(6) ================================================================================</w:t>
      </w:r>
    </w:p>
    <w:p>
      <w:pPr>
        <w:pStyle w:val="Heading2"/>
      </w:pPr>
      <w:r>
        <w:rPr>
          <w:rFonts w:ascii="Times New Roman" w:hAnsi="Times New Roman"/>
        </w:rPr>
        <w:t>A. Procedural History</w:t>
      </w:r>
    </w:p>
    <w:p>
      <w:pPr>
        <w:spacing w:line="480" w:lineRule="auto" w:after="0" w:before="0"/>
      </w:pPr>
      <w:r>
        <w:rPr>
          <w:rFonts w:ascii="Times New Roman" w:hAnsi="Times New Roman"/>
          <w:b/>
          <w:sz w:val="24"/>
        </w:rPr>
        <w:t xml:space="preserve">1. </w:t>
      </w:r>
      <w:r>
        <w:rPr>
          <w:rFonts w:ascii="Times New Roman" w:hAnsi="Times New Roman"/>
          <w:b w:val="0"/>
          <w:i w:val="0"/>
          <w:sz w:val="24"/>
        </w:rPr>
        <w:t>On or about June 15, 2024, Defendant-Appellee Tiffany Watson (now Emily Ann Watson) filed an initial custody complaint in the 14th Circuit Court, Muskegon County, Case No. 2024-001507-DC. (Docket, 6/15/2024.)</w:t>
      </w:r>
    </w:p>
    <w:p>
      <w:pPr>
        <w:spacing w:line="480" w:lineRule="auto" w:after="0" w:before="0"/>
      </w:pPr>
      <w:r>
        <w:rPr>
          <w:rFonts w:ascii="Times New Roman" w:hAnsi="Times New Roman"/>
          <w:b/>
          <w:sz w:val="24"/>
        </w:rPr>
        <w:t xml:space="preserve">2. </w:t>
      </w:r>
      <w:r>
        <w:rPr>
          <w:rFonts w:ascii="Times New Roman" w:hAnsi="Times New Roman"/>
          <w:b w:val="0"/>
          <w:i w:val="0"/>
          <w:sz w:val="24"/>
        </w:rPr>
        <w:t>On or about July 1, 2024, the trial court entered an emergency ex parte custody order granting sole custody to Watson "without full hearing." (Docket, 7/1/2024; Ex Parte Order, 7/1/2024.) This order was entered without Plaintiff-Appellant having notice or an opportunity to be heard, in violation of MCR 3.207(B)(1), which requires "specific facts in a verified pleading or affidavit" before issuance of ex parte orders in domestic relations matters. MCR 3.207(B)(1).</w:t>
      </w:r>
    </w:p>
    <w:p>
      <w:pPr>
        <w:spacing w:line="480" w:lineRule="auto" w:after="0" w:before="0"/>
      </w:pPr>
      <w:r>
        <w:rPr>
          <w:rFonts w:ascii="Times New Roman" w:hAnsi="Times New Roman"/>
          <w:b/>
          <w:sz w:val="24"/>
        </w:rPr>
        <w:t xml:space="preserve">3. </w:t>
      </w:r>
      <w:r>
        <w:rPr>
          <w:rFonts w:ascii="Times New Roman" w:hAnsi="Times New Roman"/>
          <w:b w:val="0"/>
          <w:i w:val="0"/>
          <w:sz w:val="24"/>
        </w:rPr>
        <w:t>On or about September 15, 2024, the trial court issued a Personal Protection Order ("PPO") against Plaintiff-Appellant "without full evidentiary hearing." (Docket, 9/15/2024; PPO Order.) This PPO was subsequently weaponized to further restrict Plaintiff-Appellant's parenting time, as reflected in 381 documented instances of PPO weaponization in the record. (DB: impeachment_items, type=JUDICIAL_PPO_WEAPONIZATION, count=381.)</w:t>
      </w:r>
    </w:p>
    <w:p>
      <w:pPr>
        <w:spacing w:line="480" w:lineRule="auto" w:after="0" w:before="0"/>
      </w:pPr>
      <w:r>
        <w:rPr>
          <w:rFonts w:ascii="Times New Roman" w:hAnsi="Times New Roman"/>
          <w:b/>
          <w:sz w:val="24"/>
        </w:rPr>
        <w:t xml:space="preserve">4. </w:t>
      </w:r>
      <w:r>
        <w:rPr>
          <w:rFonts w:ascii="Times New Roman" w:hAnsi="Times New Roman"/>
          <w:b w:val="0"/>
          <w:i w:val="0"/>
          <w:sz w:val="24"/>
        </w:rPr>
        <w:t>On or about January 15, 2025, Plaintiff-Appellant filed a Motion for Parenting Time "after extended separation." (Docket, 1/15/2025.)</w:t>
      </w:r>
    </w:p>
    <w:p>
      <w:pPr>
        <w:spacing w:line="480" w:lineRule="auto" w:after="0" w:before="0"/>
      </w:pPr>
      <w:r>
        <w:rPr>
          <w:rFonts w:ascii="Times New Roman" w:hAnsi="Times New Roman"/>
          <w:b/>
          <w:sz w:val="24"/>
        </w:rPr>
        <w:t xml:space="preserve">5. </w:t>
      </w:r>
      <w:r>
        <w:rPr>
          <w:rFonts w:ascii="Times New Roman" w:hAnsi="Times New Roman"/>
          <w:b w:val="0"/>
          <w:i w:val="0"/>
          <w:sz w:val="24"/>
        </w:rPr>
        <w:t>On or about February 14, 2025, the trial court acknowledged that "Plaintiff/Father filed a Motion regarding Parenting Time." (Court Order, 2/14/2025 hearing.) The trial court's own order recites consideration of "the best interest of the child to change parenting time," yet the record contains no analysis of any of the twelve best interest factors under MCL 722.23(a)–(l). (Court Order; DB: evidence_quotes.)</w:t>
      </w:r>
    </w:p>
    <w:p>
      <w:pPr>
        <w:spacing w:line="480" w:lineRule="auto" w:after="0" w:before="0"/>
      </w:pPr>
      <w:r>
        <w:rPr>
          <w:rFonts w:ascii="Times New Roman" w:hAnsi="Times New Roman"/>
          <w:b/>
          <w:sz w:val="24"/>
        </w:rPr>
        <w:t xml:space="preserve">6. </w:t>
      </w:r>
      <w:r>
        <w:rPr>
          <w:rFonts w:ascii="Times New Roman" w:hAnsi="Times New Roman"/>
          <w:b w:val="0"/>
          <w:i w:val="0"/>
          <w:sz w:val="24"/>
        </w:rPr>
        <w:t>On or about March 1, 2025, the Friend of the Court issued a custody and parenting time recommendation. (Docket, 3/1/2025.)</w:t>
      </w:r>
    </w:p>
    <w:p>
      <w:pPr>
        <w:spacing w:line="480" w:lineRule="auto" w:after="0" w:before="0"/>
      </w:pPr>
      <w:r>
        <w:rPr>
          <w:rFonts w:ascii="Times New Roman" w:hAnsi="Times New Roman"/>
          <w:b/>
          <w:sz w:val="24"/>
        </w:rPr>
        <w:t xml:space="preserve">7. </w:t>
      </w:r>
      <w:r>
        <w:rPr>
          <w:rFonts w:ascii="Times New Roman" w:hAnsi="Times New Roman"/>
          <w:b w:val="0"/>
          <w:i w:val="0"/>
          <w:sz w:val="24"/>
        </w:rPr>
        <w:t>On or about June 1, 2025, Plaintiff-Appellant filed a timely Claim of Appeal with the Michigan Court of Appeals (COA 366810). (Docket, 6/1/2025.)</w:t>
      </w:r>
    </w:p>
    <w:p>
      <w:pPr>
        <w:spacing w:line="480" w:lineRule="auto" w:after="0" w:before="0"/>
      </w:pPr>
      <w:r>
        <w:rPr>
          <w:rFonts w:ascii="Times New Roman" w:hAnsi="Times New Roman"/>
          <w:b/>
          <w:sz w:val="24"/>
        </w:rPr>
        <w:t xml:space="preserve">8. </w:t>
      </w:r>
      <w:r>
        <w:rPr>
          <w:rFonts w:ascii="Times New Roman" w:hAnsi="Times New Roman"/>
          <w:b w:val="0"/>
          <w:i w:val="0"/>
          <w:sz w:val="24"/>
        </w:rPr>
        <w:t>On or about August 8, 2025, Defendant-Appellee filed an ex parte motion to suspend Plaintiff-Appellant's parenting time. (Ex Parte Motion, 8/8/2025.) Judge McNeill signed the ex parte order suspending all parenting time that same day. (Ex Parte Order, 8/8/2025.)</w:t>
      </w:r>
    </w:p>
    <w:p>
      <w:pPr>
        <w:spacing w:line="480" w:lineRule="auto" w:after="0" w:before="0"/>
      </w:pPr>
      <w:r>
        <w:rPr>
          <w:rFonts w:ascii="Times New Roman" w:hAnsi="Times New Roman"/>
          <w:b/>
          <w:sz w:val="24"/>
        </w:rPr>
        <w:t xml:space="preserve">9. </w:t>
      </w:r>
      <w:r>
        <w:rPr>
          <w:rFonts w:ascii="Times New Roman" w:hAnsi="Times New Roman"/>
          <w:b w:val="0"/>
          <w:i w:val="0"/>
          <w:sz w:val="24"/>
        </w:rPr>
        <w:t>Plaintiff-Appellant was not served with the ex parte motion or order before the August 8 scheduled exchange. This failure of service violates MCR 3.207(B)(1) and MCR 2.119.</w:t>
      </w:r>
    </w:p>
    <w:p>
      <w:pPr>
        <w:spacing w:line="480" w:lineRule="auto" w:after="0" w:before="0"/>
      </w:pPr>
      <w:r>
        <w:rPr>
          <w:rFonts w:ascii="Times New Roman" w:hAnsi="Times New Roman"/>
          <w:b/>
          <w:sz w:val="24"/>
        </w:rPr>
        <w:t xml:space="preserve">10. </w:t>
      </w:r>
      <w:r>
        <w:rPr>
          <w:rFonts w:ascii="Times New Roman" w:hAnsi="Times New Roman"/>
          <w:b w:val="0"/>
          <w:i w:val="0"/>
          <w:sz w:val="24"/>
        </w:rPr>
        <w:t>On or about September 1, 2025, Plaintiff-Appellant filed a Judicial Tenure Commission complaint against Hon. Jenny L. McNeill. (Docket, 9/1/2025.)</w:t>
      </w:r>
    </w:p>
    <w:p>
      <w:pPr>
        <w:spacing w:line="480" w:lineRule="auto" w:after="0" w:before="0"/>
      </w:pPr>
      <w:r>
        <w:rPr>
          <w:rFonts w:ascii="Times New Roman" w:hAnsi="Times New Roman"/>
          <w:b/>
          <w:sz w:val="24"/>
        </w:rPr>
        <w:t xml:space="preserve">11. </w:t>
      </w:r>
      <w:r>
        <w:rPr>
          <w:rFonts w:ascii="Times New Roman" w:hAnsi="Times New Roman"/>
          <w:b w:val="0"/>
          <w:i w:val="0"/>
          <w:sz w:val="24"/>
        </w:rPr>
        <w:t>On or about September 22, 2025, the trial court ordered Plaintiff-Appellant to undergo a mental health assessment at HealthWest. (Court Order, 9/22/2025.) The court subsequently adjourned hearings pending this assessment, further extending the period of parent-child separation.</w:t>
      </w:r>
    </w:p>
    <w:p>
      <w:pPr>
        <w:spacing w:line="480" w:lineRule="auto" w:after="0" w:before="0"/>
      </w:pPr>
      <w:r>
        <w:rPr>
          <w:rFonts w:ascii="Times New Roman" w:hAnsi="Times New Roman"/>
          <w:b/>
          <w:sz w:val="24"/>
        </w:rPr>
        <w:t xml:space="preserve">12. </w:t>
      </w:r>
      <w:r>
        <w:rPr>
          <w:rFonts w:ascii="Times New Roman" w:hAnsi="Times New Roman"/>
          <w:b w:val="0"/>
          <w:i w:val="0"/>
          <w:sz w:val="24"/>
        </w:rPr>
        <w:t>On or about November 26, 2025, a continued hearing was held. The court's own order recites: "Defendant requested, and the Court signed an ex parte order suspending the Plaintiff's parenting time. An evidentiary hearing was held on September 22, 2025." Despite multiple hearings, the court never restored parenting time and denied Plaintiff-Appellant's objection to the ex parte order.</w:t>
      </w:r>
    </w:p>
    <w:p>
      <w:pPr>
        <w:spacing w:line="480" w:lineRule="auto" w:after="0" w:before="0"/>
      </w:pPr>
      <w:r>
        <w:rPr>
          <w:rFonts w:ascii="Times New Roman" w:hAnsi="Times New Roman"/>
          <w:b/>
          <w:sz w:val="24"/>
        </w:rPr>
        <w:t xml:space="preserve">13. </w:t>
      </w:r>
      <w:r>
        <w:rPr>
          <w:rFonts w:ascii="Times New Roman" w:hAnsi="Times New Roman"/>
          <w:b w:val="0"/>
          <w:i w:val="0"/>
          <w:sz w:val="24"/>
        </w:rPr>
        <w:t xml:space="preserve">The trial court's characterization is contradicted by the record, which shows Plaintiff-Appellant objected to the </w:t>
      </w:r>
      <w:r>
        <w:rPr>
          <w:rFonts w:ascii="Times New Roman" w:hAnsi="Times New Roman"/>
          <w:b w:val="0"/>
          <w:i/>
          <w:sz w:val="24"/>
        </w:rPr>
        <w:t>conditions</w:t>
      </w:r>
      <w:r>
        <w:rPr>
          <w:rFonts w:ascii="Times New Roman" w:hAnsi="Times New Roman"/>
          <w:b w:val="0"/>
          <w:i w:val="0"/>
          <w:sz w:val="24"/>
        </w:rPr>
        <w:t xml:space="preserve"> imposed — not to seeing his son. Plaintiff-Appellant's position was that the ex parte suspension lacked legal basis and that unconditional restoration of parenting time was required under MCL 722.27a.</w:t>
      </w:r>
    </w:p>
    <w:p>
      <w:pPr>
        <w:pStyle w:val="Heading2"/>
      </w:pPr>
      <w:r>
        <w:rPr>
          <w:rFonts w:ascii="Times New Roman" w:hAnsi="Times New Roman"/>
        </w:rPr>
        <w:t>B. The Pattern of Parental Alienation</w:t>
      </w:r>
    </w:p>
    <w:p>
      <w:pPr>
        <w:spacing w:line="480" w:lineRule="auto" w:after="0" w:before="0"/>
      </w:pPr>
      <w:r>
        <w:rPr>
          <w:rFonts w:ascii="Times New Roman" w:hAnsi="Times New Roman"/>
          <w:b/>
          <w:sz w:val="24"/>
        </w:rPr>
        <w:t xml:space="preserve">14. </w:t>
      </w:r>
      <w:r>
        <w:rPr>
          <w:rFonts w:ascii="Times New Roman" w:hAnsi="Times New Roman"/>
          <w:b w:val="0"/>
          <w:i w:val="0"/>
          <w:sz w:val="24"/>
        </w:rPr>
        <w:t>The last peaceful, ordinary exchange between Plaintiff-Appellant and the minor child occurred on July 29, 2025. Since that date, Plaintiff-Appellant has been completely denied access to his three-year-old son, Lincoln — a period exceeding 329 consecutive days as of the filing of this brief.</w:t>
      </w:r>
    </w:p>
    <w:p>
      <w:pPr>
        <w:spacing w:line="480" w:lineRule="auto" w:after="0" w:before="0"/>
      </w:pPr>
      <w:r>
        <w:rPr>
          <w:rFonts w:ascii="Times New Roman" w:hAnsi="Times New Roman"/>
          <w:b/>
          <w:sz w:val="24"/>
        </w:rPr>
        <w:t xml:space="preserve">15. </w:t>
      </w:r>
      <w:r>
        <w:rPr>
          <w:rFonts w:ascii="Times New Roman" w:hAnsi="Times New Roman"/>
          <w:b w:val="0"/>
          <w:i w:val="0"/>
          <w:sz w:val="24"/>
        </w:rPr>
        <w:t>Defendant-Appellee Watson is a nine-year veteran of the Kent County Prosecutor's Office. This insider advantage in the legal system provided Watson with both the knowledge and the connections to manipulate procedural mechanisms — including ex parte motions, PPO filings, and strategic service evasion — to achieve total parental alienation. Watson's ex parte motion on August 8, 2025 did not set out "specific, immediate, irreparable harm as required for ex parte relief in domestic-relations matters." See MCR 3.207(B)(1).</w:t>
      </w:r>
    </w:p>
    <w:p>
      <w:pPr>
        <w:spacing w:line="480" w:lineRule="auto" w:after="0" w:before="0"/>
      </w:pPr>
      <w:r>
        <w:rPr>
          <w:rFonts w:ascii="Times New Roman" w:hAnsi="Times New Roman"/>
          <w:b/>
          <w:sz w:val="24"/>
        </w:rPr>
        <w:t xml:space="preserve">16. </w:t>
      </w:r>
      <w:r>
        <w:rPr>
          <w:rFonts w:ascii="Times New Roman" w:hAnsi="Times New Roman"/>
          <w:b w:val="0"/>
          <w:i w:val="0"/>
          <w:sz w:val="24"/>
        </w:rPr>
        <w:t>The ex parte suspension "completely stopped [Plaintiff-Appellant's] parenting time and erased upcoming holiday and special-event time, including Labor Day." The court failed to apply any of the five statutory remedies for parenting time denial under MCL 722.27a(9)(a)–(e).</w:t>
      </w:r>
    </w:p>
    <w:p>
      <w:pPr>
        <w:pStyle w:val="Heading2"/>
      </w:pPr>
      <w:r>
        <w:rPr>
          <w:rFonts w:ascii="Times New Roman" w:hAnsi="Times New Roman"/>
        </w:rPr>
        <w:t>C. Judicial Conduct</w:t>
      </w:r>
    </w:p>
    <w:p>
      <w:pPr>
        <w:spacing w:line="480" w:lineRule="auto" w:after="0" w:before="0"/>
      </w:pPr>
      <w:r>
        <w:rPr>
          <w:rFonts w:ascii="Times New Roman" w:hAnsi="Times New Roman"/>
          <w:b/>
          <w:sz w:val="24"/>
        </w:rPr>
        <w:t xml:space="preserve">17. </w:t>
      </w:r>
      <w:r>
        <w:rPr>
          <w:rFonts w:ascii="Times New Roman" w:hAnsi="Times New Roman"/>
          <w:b w:val="0"/>
          <w:i w:val="0"/>
          <w:sz w:val="24"/>
        </w:rPr>
        <w:t>The record reveals a pervasive pattern of judicial misconduct by Hon. Jenny L. McNeill, documented across 1,895 judicial-category impeachment items in the litigation database:</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Category</w:t>
            </w:r>
          </w:p>
        </w:tc>
        <w:tc>
          <w:tcPr>
            <w:tcW w:type="dxa" w:w="4680"/>
          </w:tcPr>
          <w:p>
            <w:pPr>
              <w:spacing w:line="240" w:lineRule="auto"/>
            </w:pPr>
            <w:r/>
            <w:r>
              <w:rPr>
                <w:rFonts w:ascii="Times New Roman" w:hAnsi="Times New Roman"/>
                <w:b/>
                <w:sz w:val="24"/>
              </w:rPr>
              <w:t>Count</w:t>
            </w:r>
          </w:p>
        </w:tc>
      </w:tr>
      <w:tr>
        <w:tc>
          <w:tcPr>
            <w:tcW w:type="dxa" w:w="4680"/>
          </w:tcPr>
          <w:p>
            <w:pPr>
              <w:spacing w:line="240" w:lineRule="auto"/>
            </w:pPr>
            <w:r/>
            <w:r>
              <w:rPr>
                <w:rFonts w:ascii="Times New Roman" w:hAnsi="Times New Roman"/>
                <w:b w:val="0"/>
                <w:i w:val="0"/>
                <w:sz w:val="24"/>
              </w:rPr>
              <w:t>Benchbook Deviations</w:t>
            </w:r>
          </w:p>
        </w:tc>
        <w:tc>
          <w:tcPr>
            <w:tcW w:type="dxa" w:w="4680"/>
          </w:tcPr>
          <w:p>
            <w:pPr>
              <w:spacing w:line="240" w:lineRule="auto"/>
            </w:pPr>
            <w:r/>
            <w:r>
              <w:rPr>
                <w:rFonts w:ascii="Times New Roman" w:hAnsi="Times New Roman"/>
                <w:b w:val="0"/>
                <w:i w:val="0"/>
                <w:sz w:val="24"/>
              </w:rPr>
              <w:t>545</w:t>
            </w:r>
          </w:p>
        </w:tc>
      </w:tr>
      <w:tr>
        <w:tc>
          <w:tcPr>
            <w:tcW w:type="dxa" w:w="4680"/>
          </w:tcPr>
          <w:p>
            <w:pPr>
              <w:spacing w:line="240" w:lineRule="auto"/>
            </w:pPr>
            <w:r/>
            <w:r>
              <w:rPr>
                <w:rFonts w:ascii="Times New Roman" w:hAnsi="Times New Roman"/>
                <w:b w:val="0"/>
                <w:i w:val="0"/>
                <w:sz w:val="24"/>
              </w:rPr>
              <w:t>PPO Weaponization</w:t>
            </w:r>
          </w:p>
        </w:tc>
        <w:tc>
          <w:tcPr>
            <w:tcW w:type="dxa" w:w="4680"/>
          </w:tcPr>
          <w:p>
            <w:pPr>
              <w:spacing w:line="240" w:lineRule="auto"/>
            </w:pPr>
            <w:r/>
            <w:r>
              <w:rPr>
                <w:rFonts w:ascii="Times New Roman" w:hAnsi="Times New Roman"/>
                <w:b w:val="0"/>
                <w:i w:val="0"/>
                <w:sz w:val="24"/>
              </w:rPr>
              <w:t>381</w:t>
            </w:r>
          </w:p>
        </w:tc>
      </w:tr>
      <w:tr>
        <w:tc>
          <w:tcPr>
            <w:tcW w:type="dxa" w:w="4680"/>
          </w:tcPr>
          <w:p>
            <w:pPr>
              <w:spacing w:line="240" w:lineRule="auto"/>
            </w:pPr>
            <w:r/>
            <w:r>
              <w:rPr>
                <w:rFonts w:ascii="Times New Roman" w:hAnsi="Times New Roman"/>
                <w:b w:val="0"/>
                <w:i w:val="0"/>
                <w:sz w:val="24"/>
              </w:rPr>
              <w:t>Ex Parte Violations</w:t>
            </w:r>
          </w:p>
        </w:tc>
        <w:tc>
          <w:tcPr>
            <w:tcW w:type="dxa" w:w="4680"/>
          </w:tcPr>
          <w:p>
            <w:pPr>
              <w:spacing w:line="240" w:lineRule="auto"/>
            </w:pPr>
            <w:r/>
            <w:r>
              <w:rPr>
                <w:rFonts w:ascii="Times New Roman" w:hAnsi="Times New Roman"/>
                <w:b w:val="0"/>
                <w:i w:val="0"/>
                <w:sz w:val="24"/>
              </w:rPr>
              <w:t>226</w:t>
            </w:r>
          </w:p>
        </w:tc>
      </w:tr>
      <w:tr>
        <w:tc>
          <w:tcPr>
            <w:tcW w:type="dxa" w:w="4680"/>
          </w:tcPr>
          <w:p>
            <w:pPr>
              <w:spacing w:line="240" w:lineRule="auto"/>
            </w:pPr>
            <w:r/>
            <w:r>
              <w:rPr>
                <w:rFonts w:ascii="Times New Roman" w:hAnsi="Times New Roman"/>
                <w:b w:val="0"/>
                <w:i w:val="0"/>
                <w:sz w:val="24"/>
              </w:rPr>
              <w:t>Procedural Misconduct</w:t>
            </w:r>
          </w:p>
        </w:tc>
        <w:tc>
          <w:tcPr>
            <w:tcW w:type="dxa" w:w="4680"/>
          </w:tcPr>
          <w:p>
            <w:pPr>
              <w:spacing w:line="240" w:lineRule="auto"/>
            </w:pPr>
            <w:r/>
            <w:r>
              <w:rPr>
                <w:rFonts w:ascii="Times New Roman" w:hAnsi="Times New Roman"/>
                <w:b w:val="0"/>
                <w:i w:val="0"/>
                <w:sz w:val="24"/>
              </w:rPr>
              <w:t>196</w:t>
            </w:r>
          </w:p>
        </w:tc>
      </w:tr>
      <w:tr>
        <w:tc>
          <w:tcPr>
            <w:tcW w:type="dxa" w:w="4680"/>
          </w:tcPr>
          <w:p>
            <w:pPr>
              <w:spacing w:line="240" w:lineRule="auto"/>
            </w:pPr>
            <w:r/>
            <w:r>
              <w:rPr>
                <w:rFonts w:ascii="Times New Roman" w:hAnsi="Times New Roman"/>
                <w:b w:val="0"/>
                <w:i w:val="0"/>
                <w:sz w:val="24"/>
              </w:rPr>
              <w:t>Due Process Violations</w:t>
            </w:r>
          </w:p>
        </w:tc>
        <w:tc>
          <w:tcPr>
            <w:tcW w:type="dxa" w:w="4680"/>
          </w:tcPr>
          <w:p>
            <w:pPr>
              <w:spacing w:line="240" w:lineRule="auto"/>
            </w:pPr>
            <w:r/>
            <w:r>
              <w:rPr>
                <w:rFonts w:ascii="Times New Roman" w:hAnsi="Times New Roman"/>
                <w:b w:val="0"/>
                <w:i w:val="0"/>
                <w:sz w:val="24"/>
              </w:rPr>
              <w:t>175</w:t>
            </w:r>
          </w:p>
        </w:tc>
      </w:tr>
      <w:tr>
        <w:tc>
          <w:tcPr>
            <w:tcW w:type="dxa" w:w="4680"/>
          </w:tcPr>
          <w:p>
            <w:pPr>
              <w:spacing w:line="240" w:lineRule="auto"/>
            </w:pPr>
            <w:r/>
            <w:r>
              <w:rPr>
                <w:rFonts w:ascii="Times New Roman" w:hAnsi="Times New Roman"/>
                <w:b w:val="0"/>
                <w:i w:val="0"/>
                <w:sz w:val="24"/>
              </w:rPr>
              <w:t>Canon Violations (MCJC)</w:t>
            </w:r>
          </w:p>
        </w:tc>
        <w:tc>
          <w:tcPr>
            <w:tcW w:type="dxa" w:w="4680"/>
          </w:tcPr>
          <w:p>
            <w:pPr>
              <w:spacing w:line="240" w:lineRule="auto"/>
            </w:pPr>
            <w:r/>
            <w:r>
              <w:rPr>
                <w:rFonts w:ascii="Times New Roman" w:hAnsi="Times New Roman"/>
                <w:b w:val="0"/>
                <w:i w:val="0"/>
                <w:sz w:val="24"/>
              </w:rPr>
              <w:t>150</w:t>
            </w:r>
          </w:p>
        </w:tc>
      </w:tr>
      <w:tr>
        <w:tc>
          <w:tcPr>
            <w:tcW w:type="dxa" w:w="4680"/>
          </w:tcPr>
          <w:p>
            <w:pPr>
              <w:spacing w:line="240" w:lineRule="auto"/>
            </w:pPr>
            <w:r/>
            <w:r>
              <w:rPr>
                <w:rFonts w:ascii="Times New Roman" w:hAnsi="Times New Roman"/>
                <w:b w:val="0"/>
                <w:i w:val="0"/>
                <w:sz w:val="24"/>
              </w:rPr>
              <w:t>MCR 2.003 Disqualification Triggers</w:t>
            </w:r>
          </w:p>
        </w:tc>
        <w:tc>
          <w:tcPr>
            <w:tcW w:type="dxa" w:w="4680"/>
          </w:tcPr>
          <w:p>
            <w:pPr>
              <w:spacing w:line="240" w:lineRule="auto"/>
            </w:pPr>
            <w:r/>
            <w:r>
              <w:rPr>
                <w:rFonts w:ascii="Times New Roman" w:hAnsi="Times New Roman"/>
                <w:b w:val="0"/>
                <w:i w:val="0"/>
                <w:sz w:val="24"/>
              </w:rPr>
              <w:t>146</w:t>
            </w:r>
          </w:p>
        </w:tc>
      </w:tr>
      <w:tr>
        <w:tc>
          <w:tcPr>
            <w:tcW w:type="dxa" w:w="4680"/>
          </w:tcPr>
          <w:p>
            <w:pPr>
              <w:spacing w:line="240" w:lineRule="auto"/>
            </w:pPr>
            <w:r/>
            <w:r>
              <w:rPr>
                <w:rFonts w:ascii="Times New Roman" w:hAnsi="Times New Roman"/>
                <w:b w:val="0"/>
                <w:i w:val="0"/>
                <w:sz w:val="24"/>
              </w:rPr>
              <w:t>Credibility Failures</w:t>
            </w:r>
          </w:p>
        </w:tc>
        <w:tc>
          <w:tcPr>
            <w:tcW w:type="dxa" w:w="4680"/>
          </w:tcPr>
          <w:p>
            <w:pPr>
              <w:spacing w:line="240" w:lineRule="auto"/>
            </w:pPr>
            <w:r/>
            <w:r>
              <w:rPr>
                <w:rFonts w:ascii="Times New Roman" w:hAnsi="Times New Roman"/>
                <w:b w:val="0"/>
                <w:i w:val="0"/>
                <w:sz w:val="24"/>
              </w:rPr>
              <w:t>76</w:t>
            </w:r>
          </w:p>
        </w:tc>
      </w:tr>
      <w:tr>
        <w:tc>
          <w:tcPr>
            <w:tcW w:type="dxa" w:w="4680"/>
          </w:tcPr>
          <w:p>
            <w:pPr>
              <w:spacing w:line="240" w:lineRule="auto"/>
            </w:pPr>
            <w:r/>
            <w:r>
              <w:rPr>
                <w:rFonts w:ascii="Times New Roman" w:hAnsi="Times New Roman"/>
                <w:b/>
                <w:i w:val="0"/>
                <w:sz w:val="24"/>
              </w:rPr>
              <w:t>TOTAL JUDICIAL ITEMS</w:t>
            </w:r>
          </w:p>
        </w:tc>
        <w:tc>
          <w:tcPr>
            <w:tcW w:type="dxa" w:w="4680"/>
          </w:tcPr>
          <w:p>
            <w:pPr>
              <w:spacing w:line="240" w:lineRule="auto"/>
            </w:pPr>
            <w:r/>
            <w:r>
              <w:rPr>
                <w:rFonts w:ascii="Times New Roman" w:hAnsi="Times New Roman"/>
                <w:b/>
                <w:i w:val="0"/>
                <w:sz w:val="24"/>
              </w:rPr>
              <w:t>1,895</w:t>
            </w:r>
          </w:p>
        </w:tc>
      </w:tr>
    </w:tbl>
    <w:p>
      <w:pPr>
        <w:spacing w:line="480" w:lineRule="auto" w:after="0" w:before="0"/>
      </w:pPr>
      <w:r>
        <w:rPr>
          <w:rFonts w:ascii="Times New Roman" w:hAnsi="Times New Roman"/>
          <w:b/>
          <w:sz w:val="24"/>
        </w:rPr>
        <w:t xml:space="preserve">18. </w:t>
      </w:r>
      <w:r>
        <w:rPr>
          <w:rFonts w:ascii="Times New Roman" w:hAnsi="Times New Roman"/>
          <w:b w:val="0"/>
          <w:i w:val="0"/>
          <w:sz w:val="24"/>
        </w:rPr>
        <w:t>The 540 total benchbook violations break down by rule as follows: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Rule Violated</w:t>
            </w:r>
          </w:p>
        </w:tc>
        <w:tc>
          <w:tcPr>
            <w:tcW w:type="dxa" w:w="4680"/>
          </w:tcPr>
          <w:p>
            <w:pPr>
              <w:spacing w:line="240" w:lineRule="auto"/>
            </w:pPr>
            <w:r/>
            <w:r>
              <w:rPr>
                <w:rFonts w:ascii="Times New Roman" w:hAnsi="Times New Roman"/>
                <w:b/>
                <w:sz w:val="24"/>
              </w:rPr>
              <w:t>Count</w:t>
            </w:r>
          </w:p>
        </w:tc>
      </w:tr>
      <w:tr>
        <w:tc>
          <w:tcPr>
            <w:tcW w:type="dxa" w:w="4680"/>
          </w:tcPr>
          <w:p>
            <w:pPr>
              <w:spacing w:line="240" w:lineRule="auto"/>
            </w:pPr>
            <w:r/>
            <w:r>
              <w:rPr>
                <w:rFonts w:ascii="Times New Roman" w:hAnsi="Times New Roman"/>
                <w:b w:val="0"/>
                <w:i w:val="0"/>
                <w:sz w:val="24"/>
              </w:rPr>
              <w:t>Canon 2(B) — Impropriety</w:t>
            </w:r>
          </w:p>
        </w:tc>
        <w:tc>
          <w:tcPr>
            <w:tcW w:type="dxa" w:w="4680"/>
          </w:tcPr>
          <w:p>
            <w:pPr>
              <w:spacing w:line="240" w:lineRule="auto"/>
            </w:pPr>
            <w:r/>
            <w:r>
              <w:rPr>
                <w:rFonts w:ascii="Times New Roman" w:hAnsi="Times New Roman"/>
                <w:b w:val="0"/>
                <w:i w:val="0"/>
                <w:sz w:val="24"/>
              </w:rPr>
              <w:t>186</w:t>
            </w:r>
          </w:p>
        </w:tc>
      </w:tr>
      <w:tr>
        <w:tc>
          <w:tcPr>
            <w:tcW w:type="dxa" w:w="4680"/>
          </w:tcPr>
          <w:p>
            <w:pPr>
              <w:spacing w:line="240" w:lineRule="auto"/>
            </w:pPr>
            <w:r/>
            <w:r>
              <w:rPr>
                <w:rFonts w:ascii="Times New Roman" w:hAnsi="Times New Roman"/>
                <w:b w:val="0"/>
                <w:i w:val="0"/>
                <w:sz w:val="24"/>
              </w:rPr>
              <w:t>MCL 552.511b — FOC Procedures</w:t>
            </w:r>
          </w:p>
        </w:tc>
        <w:tc>
          <w:tcPr>
            <w:tcW w:type="dxa" w:w="4680"/>
          </w:tcPr>
          <w:p>
            <w:pPr>
              <w:spacing w:line="240" w:lineRule="auto"/>
            </w:pPr>
            <w:r/>
            <w:r>
              <w:rPr>
                <w:rFonts w:ascii="Times New Roman" w:hAnsi="Times New Roman"/>
                <w:b w:val="0"/>
                <w:i w:val="0"/>
                <w:sz w:val="24"/>
              </w:rPr>
              <w:t>99</w:t>
            </w:r>
          </w:p>
        </w:tc>
      </w:tr>
      <w:tr>
        <w:tc>
          <w:tcPr>
            <w:tcW w:type="dxa" w:w="4680"/>
          </w:tcPr>
          <w:p>
            <w:pPr>
              <w:spacing w:line="240" w:lineRule="auto"/>
            </w:pPr>
            <w:r/>
            <w:r>
              <w:rPr>
                <w:rFonts w:ascii="Times New Roman" w:hAnsi="Times New Roman"/>
                <w:b w:val="0"/>
                <w:i w:val="0"/>
                <w:sz w:val="24"/>
              </w:rPr>
              <w:t>MCR 3.207(B) — Ex Parte Orders</w:t>
            </w:r>
          </w:p>
        </w:tc>
        <w:tc>
          <w:tcPr>
            <w:tcW w:type="dxa" w:w="4680"/>
          </w:tcPr>
          <w:p>
            <w:pPr>
              <w:spacing w:line="240" w:lineRule="auto"/>
            </w:pPr>
            <w:r/>
            <w:r>
              <w:rPr>
                <w:rFonts w:ascii="Times New Roman" w:hAnsi="Times New Roman"/>
                <w:b w:val="0"/>
                <w:i w:val="0"/>
                <w:sz w:val="24"/>
              </w:rPr>
              <w:t>96</w:t>
            </w:r>
          </w:p>
        </w:tc>
      </w:tr>
      <w:tr>
        <w:tc>
          <w:tcPr>
            <w:tcW w:type="dxa" w:w="4680"/>
          </w:tcPr>
          <w:p>
            <w:pPr>
              <w:spacing w:line="240" w:lineRule="auto"/>
            </w:pPr>
            <w:r/>
            <w:r>
              <w:rPr>
                <w:rFonts w:ascii="Times New Roman" w:hAnsi="Times New Roman"/>
                <w:b w:val="0"/>
                <w:i w:val="0"/>
                <w:sz w:val="24"/>
              </w:rPr>
              <w:t>MCR 3.210(C) — Required Hearings</w:t>
            </w:r>
          </w:p>
        </w:tc>
        <w:tc>
          <w:tcPr>
            <w:tcW w:type="dxa" w:w="4680"/>
          </w:tcPr>
          <w:p>
            <w:pPr>
              <w:spacing w:line="240" w:lineRule="auto"/>
            </w:pPr>
            <w:r/>
            <w:r>
              <w:rPr>
                <w:rFonts w:ascii="Times New Roman" w:hAnsi="Times New Roman"/>
                <w:b w:val="0"/>
                <w:i w:val="0"/>
                <w:sz w:val="24"/>
              </w:rPr>
              <w:t>87</w:t>
            </w:r>
          </w:p>
        </w:tc>
      </w:tr>
      <w:tr>
        <w:tc>
          <w:tcPr>
            <w:tcW w:type="dxa" w:w="4680"/>
          </w:tcPr>
          <w:p>
            <w:pPr>
              <w:spacing w:line="240" w:lineRule="auto"/>
            </w:pPr>
            <w:r/>
            <w:r>
              <w:rPr>
                <w:rFonts w:ascii="Times New Roman" w:hAnsi="Times New Roman"/>
                <w:b w:val="0"/>
                <w:i w:val="0"/>
                <w:sz w:val="24"/>
              </w:rPr>
              <w:t>Canon 3(A)(4) — Diligence/Patience</w:t>
            </w:r>
          </w:p>
        </w:tc>
        <w:tc>
          <w:tcPr>
            <w:tcW w:type="dxa" w:w="4680"/>
          </w:tcPr>
          <w:p>
            <w:pPr>
              <w:spacing w:line="240" w:lineRule="auto"/>
            </w:pPr>
            <w:r/>
            <w:r>
              <w:rPr>
                <w:rFonts w:ascii="Times New Roman" w:hAnsi="Times New Roman"/>
                <w:b w:val="0"/>
                <w:i w:val="0"/>
                <w:sz w:val="24"/>
              </w:rPr>
              <w:t>72</w:t>
            </w:r>
          </w:p>
        </w:tc>
      </w:tr>
      <w:tr>
        <w:tc>
          <w:tcPr>
            <w:tcW w:type="dxa" w:w="4680"/>
          </w:tcPr>
          <w:p>
            <w:pPr>
              <w:spacing w:line="240" w:lineRule="auto"/>
            </w:pPr>
            <w:r/>
            <w:r>
              <w:rPr>
                <w:rFonts w:ascii="Times New Roman" w:hAnsi="Times New Roman"/>
                <w:b/>
                <w:i w:val="0"/>
                <w:sz w:val="24"/>
              </w:rPr>
              <w:t>TOTAL</w:t>
            </w:r>
          </w:p>
        </w:tc>
        <w:tc>
          <w:tcPr>
            <w:tcW w:type="dxa" w:w="4680"/>
          </w:tcPr>
          <w:p>
            <w:pPr>
              <w:spacing w:line="240" w:lineRule="auto"/>
            </w:pPr>
            <w:r/>
            <w:r>
              <w:rPr>
                <w:rFonts w:ascii="Times New Roman" w:hAnsi="Times New Roman"/>
                <w:b/>
                <w:i w:val="0"/>
                <w:sz w:val="24"/>
              </w:rPr>
              <w:t>540</w:t>
            </w:r>
          </w:p>
        </w:tc>
      </w:tr>
    </w:tbl>
    <w:p>
      <w:pPr>
        <w:spacing w:line="480" w:lineRule="auto" w:after="0" w:before="0"/>
      </w:pPr>
      <w:r>
        <w:rPr>
          <w:rFonts w:ascii="Times New Roman" w:hAnsi="Times New Roman"/>
          <w:b/>
          <w:sz w:val="24"/>
        </w:rPr>
        <w:t xml:space="preserve">19. </w:t>
      </w:r>
      <w:r>
        <w:rPr>
          <w:rFonts w:ascii="Times New Roman" w:hAnsi="Times New Roman"/>
          <w:b w:val="0"/>
          <w:i w:val="0"/>
          <w:sz w:val="24"/>
        </w:rPr>
        <w:t>Across multiple hearings, Plaintiff-Appellant was "muted, cut off, or told the judge would not look at further filings, effectively silenc[ing]" his participation. The trial court received and relied on evidence "off the record and ex parte, contrary to the prohibition on ex parte communications about pending matters in Canon 3(A)(5)."</w:t>
      </w:r>
    </w:p>
    <w:p>
      <w:pPr>
        <w:spacing w:line="480" w:lineRule="auto" w:after="0" w:before="0"/>
      </w:pPr>
      <w:r>
        <w:rPr>
          <w:rFonts w:ascii="Times New Roman" w:hAnsi="Times New Roman"/>
          <w:b/>
          <w:sz w:val="24"/>
        </w:rPr>
        <w:t xml:space="preserve">20. </w:t>
      </w:r>
      <w:r>
        <w:rPr>
          <w:rFonts w:ascii="Times New Roman" w:hAnsi="Times New Roman"/>
          <w:b w:val="0"/>
          <w:i w:val="0"/>
          <w:sz w:val="24"/>
        </w:rPr>
        <w:t>Off-record, ex parte handling of evidence included a "USB recording and mental-health evaluation" that were submitted to the judge in chambers without Plaintiff-Appellant's knowledge or opportunity to respond.</w:t>
      </w:r>
    </w:p>
    <w:p>
      <w:pPr>
        <w:pStyle w:val="Heading2"/>
      </w:pPr>
      <w:r>
        <w:rPr>
          <w:rFonts w:ascii="Times New Roman" w:hAnsi="Times New Roman"/>
        </w:rPr>
        <w:t>D. The Human Cost</w:t>
      </w:r>
    </w:p>
    <w:p>
      <w:pPr>
        <w:spacing w:line="480" w:lineRule="auto" w:after="0" w:before="0"/>
      </w:pPr>
      <w:r>
        <w:rPr>
          <w:rFonts w:ascii="Times New Roman" w:hAnsi="Times New Roman"/>
          <w:b/>
          <w:sz w:val="24"/>
        </w:rPr>
        <w:t xml:space="preserve">21. </w:t>
      </w:r>
      <w:r>
        <w:rPr>
          <w:rFonts w:ascii="Times New Roman" w:hAnsi="Times New Roman"/>
          <w:b w:val="0"/>
          <w:i w:val="0"/>
          <w:sz w:val="24"/>
        </w:rPr>
        <w:t>Plaintiff-Appellant has been separated from his three-year-old son Lincoln for more than 329 consecutive days. During this critical developmental period, the minor child has been denied the loving, regular contact with his father that the child is presumed entitled to under Michigan law. MCL 722.27a(1).</w:t>
      </w:r>
    </w:p>
    <w:p>
      <w:pPr>
        <w:spacing w:line="480" w:lineRule="auto" w:after="0" w:before="0"/>
      </w:pPr>
      <w:r>
        <w:rPr>
          <w:rFonts w:ascii="Times New Roman" w:hAnsi="Times New Roman"/>
          <w:b/>
          <w:sz w:val="24"/>
        </w:rPr>
        <w:t xml:space="preserve">22. </w:t>
      </w:r>
      <w:r>
        <w:rPr>
          <w:rFonts w:ascii="Times New Roman" w:hAnsi="Times New Roman"/>
          <w:b w:val="0"/>
          <w:i w:val="0"/>
          <w:sz w:val="24"/>
        </w:rPr>
        <w:t>Plaintiff-Appellant has stated on the record: "My three-year-old son has been deprived of regular, loving contact with his father for months at a time. A genuine father-child bond, previously recognized by the court[, has been severed]."</w:t>
      </w:r>
    </w:p>
    <w:p>
      <w:pPr>
        <w:spacing w:line="480" w:lineRule="auto" w:after="0" w:before="0"/>
      </w:pPr>
      <w:r>
        <w:rPr>
          <w:rFonts w:ascii="Times New Roman" w:hAnsi="Times New Roman"/>
          <w:b/>
          <w:sz w:val="24"/>
        </w:rPr>
        <w:t xml:space="preserve">23. </w:t>
      </w:r>
      <w:r>
        <w:rPr>
          <w:rFonts w:ascii="Times New Roman" w:hAnsi="Times New Roman"/>
          <w:b w:val="0"/>
          <w:i w:val="0"/>
          <w:sz w:val="24"/>
        </w:rPr>
        <w:t>The trial court's contempt proceedings and resulting jail time caused Plaintiff-Appellant "to lose [his] job and fall behind financially, which contributed to housing instability that was later used against [him] in custody decisions." This created a self-reinforcing cycle: judicial actions produced the very circumstances the court then cited to justify further restrictions.</w:t>
      </w:r>
    </w:p>
    <w:p>
      <w:r>
        <w:br w:type="page"/>
      </w:r>
    </w:p>
    <w:p>
      <w:pPr>
        <w:spacing w:line="480" w:lineRule="auto" w:after="0" w:before="0"/>
      </w:pPr>
      <w:r>
        <w:rPr>
          <w:rFonts w:ascii="Times New Roman" w:hAnsi="Times New Roman"/>
          <w:b w:val="0"/>
          <w:i w:val="0"/>
          <w:sz w:val="24"/>
        </w:rPr>
        <w:t>\newpage</w:t>
      </w:r>
    </w:p>
    <w:p>
      <w:pPr>
        <w:spacing w:line="480" w:lineRule="auto" w:after="0" w:before="0"/>
      </w:pPr>
      <w:r>
        <w:rPr>
          <w:rFonts w:ascii="Times New Roman" w:hAnsi="Times New Roman"/>
          <w:b w:val="0"/>
          <w:i w:val="0"/>
          <w:sz w:val="24"/>
        </w:rPr>
        <w:t>================================================================================ STANDARD OF REVIEW ================================================================================</w:t>
      </w:r>
    </w:p>
    <w:p>
      <w:pPr>
        <w:pStyle w:val="Heading2"/>
      </w:pPr>
      <w:r>
        <w:rPr>
          <w:rFonts w:ascii="Times New Roman" w:hAnsi="Times New Roman"/>
        </w:rPr>
        <w:t>A. Custody Determinations — Abuse of Discretion</w:t>
      </w:r>
    </w:p>
    <w:p>
      <w:pPr>
        <w:spacing w:line="480" w:lineRule="auto" w:after="0" w:before="0"/>
      </w:pPr>
      <w:r>
        <w:rPr>
          <w:rFonts w:ascii="Times New Roman" w:hAnsi="Times New Roman"/>
          <w:b w:val="0"/>
          <w:i w:val="0"/>
          <w:sz w:val="24"/>
        </w:rPr>
        <w:t xml:space="preserve">This Court reviews custody decisions for an abuse of discretion. </w:t>
      </w:r>
      <w:r>
        <w:rPr>
          <w:rFonts w:ascii="Times New Roman" w:hAnsi="Times New Roman"/>
          <w:b w:val="0"/>
          <w:i/>
          <w:sz w:val="24"/>
        </w:rPr>
        <w:t>Pierron v Pierron</w:t>
      </w:r>
      <w:r>
        <w:rPr>
          <w:rFonts w:ascii="Times New Roman" w:hAnsi="Times New Roman"/>
          <w:b w:val="0"/>
          <w:i w:val="0"/>
          <w:sz w:val="24"/>
        </w:rPr>
        <w:t xml:space="preserve">, 486 Mich 81, 85 (2010). The trial court's factual findings are reviewed for clear error, and questions of law are reviewed de novo. </w:t>
      </w:r>
      <w:r>
        <w:rPr>
          <w:rFonts w:ascii="Times New Roman" w:hAnsi="Times New Roman"/>
          <w:b w:val="0"/>
          <w:i/>
          <w:sz w:val="24"/>
        </w:rPr>
        <w:t>Id.</w:t>
      </w:r>
      <w:r>
        <w:rPr>
          <w:rFonts w:ascii="Times New Roman" w:hAnsi="Times New Roman"/>
          <w:b w:val="0"/>
          <w:i w:val="0"/>
          <w:sz w:val="24"/>
        </w:rPr>
        <w:t xml:space="preserve"> A trial court abuses its discretion when its decision falls outside the range of principled outcomes. </w:t>
      </w:r>
      <w:r>
        <w:rPr>
          <w:rFonts w:ascii="Times New Roman" w:hAnsi="Times New Roman"/>
          <w:b w:val="0"/>
          <w:i/>
          <w:sz w:val="24"/>
        </w:rPr>
        <w:t>Shulick v Richards</w:t>
      </w:r>
      <w:r>
        <w:rPr>
          <w:rFonts w:ascii="Times New Roman" w:hAnsi="Times New Roman"/>
          <w:b w:val="0"/>
          <w:i w:val="0"/>
          <w:sz w:val="24"/>
        </w:rPr>
        <w:t>, 273 Mich App 320, 325 (2006).</w:t>
      </w:r>
    </w:p>
    <w:p>
      <w:pPr>
        <w:spacing w:line="480" w:lineRule="auto" w:after="0" w:before="0"/>
      </w:pPr>
      <w:r>
        <w:rPr>
          <w:rFonts w:ascii="Times New Roman" w:hAnsi="Times New Roman"/>
          <w:b w:val="0"/>
          <w:i w:val="0"/>
          <w:sz w:val="24"/>
        </w:rPr>
        <w:t xml:space="preserve">A trial court's failure to make findings on all twelve best interest factors under MCL 722.23 is reversible error. </w:t>
      </w:r>
      <w:r>
        <w:rPr>
          <w:rFonts w:ascii="Times New Roman" w:hAnsi="Times New Roman"/>
          <w:b w:val="0"/>
          <w:i/>
          <w:sz w:val="24"/>
        </w:rPr>
        <w:t>Fletcher v Fletcher</w:t>
      </w:r>
      <w:r>
        <w:rPr>
          <w:rFonts w:ascii="Times New Roman" w:hAnsi="Times New Roman"/>
          <w:b w:val="0"/>
          <w:i w:val="0"/>
          <w:sz w:val="24"/>
        </w:rPr>
        <w:t xml:space="preserve">, 447 Mich 871, 889 (1994). "The trial court must state its findings and conclusions with respect to each of the best interest factors." </w:t>
      </w:r>
      <w:r>
        <w:rPr>
          <w:rFonts w:ascii="Times New Roman" w:hAnsi="Times New Roman"/>
          <w:b w:val="0"/>
          <w:i/>
          <w:sz w:val="24"/>
        </w:rPr>
        <w:t>Id.</w:t>
      </w:r>
      <w:r>
        <w:rPr>
          <w:rFonts w:ascii="Times New Roman" w:hAnsi="Times New Roman"/>
          <w:b w:val="0"/>
          <w:i w:val="0"/>
          <w:sz w:val="24"/>
        </w:rPr>
        <w:t xml:space="preserve"> Where the trial court fails to address all twelve factors, this Court will reverse and remand. </w:t>
      </w:r>
      <w:r>
        <w:rPr>
          <w:rFonts w:ascii="Times New Roman" w:hAnsi="Times New Roman"/>
          <w:b w:val="0"/>
          <w:i/>
          <w:sz w:val="24"/>
        </w:rPr>
        <w:t>Id.</w:t>
      </w:r>
    </w:p>
    <w:p>
      <w:pPr>
        <w:pStyle w:val="Heading2"/>
      </w:pPr>
      <w:r>
        <w:rPr>
          <w:rFonts w:ascii="Times New Roman" w:hAnsi="Times New Roman"/>
        </w:rPr>
        <w:t>B. Constitutional Issues — De Novo</w:t>
      </w:r>
    </w:p>
    <w:p>
      <w:pPr>
        <w:spacing w:line="480" w:lineRule="auto" w:after="0" w:before="0"/>
      </w:pPr>
      <w:r>
        <w:rPr>
          <w:rFonts w:ascii="Times New Roman" w:hAnsi="Times New Roman"/>
          <w:b w:val="0"/>
          <w:i w:val="0"/>
          <w:sz w:val="24"/>
        </w:rPr>
        <w:t xml:space="preserve">Constitutional questions, including alleged violations of due process rights under the Fourteenth Amendment, are reviewed de novo. </w:t>
      </w:r>
      <w:r>
        <w:rPr>
          <w:rFonts w:ascii="Times New Roman" w:hAnsi="Times New Roman"/>
          <w:b w:val="0"/>
          <w:i/>
          <w:sz w:val="24"/>
        </w:rPr>
        <w:t>Kubicki v Sharpe</w:t>
      </w:r>
      <w:r>
        <w:rPr>
          <w:rFonts w:ascii="Times New Roman" w:hAnsi="Times New Roman"/>
          <w:b w:val="0"/>
          <w:i w:val="0"/>
          <w:sz w:val="24"/>
        </w:rPr>
        <w:t xml:space="preserve">, 306 Mich App 525, 538 (2014). A parent's right to the care, custody, and control of his or her child is a fundamental liberty interest protected by the Due Process Clause of the Fourteenth Amendment. </w:t>
      </w:r>
      <w:r>
        <w:rPr>
          <w:rFonts w:ascii="Times New Roman" w:hAnsi="Times New Roman"/>
          <w:b w:val="0"/>
          <w:i/>
          <w:sz w:val="24"/>
        </w:rPr>
        <w:t>Troxel v Granville</w:t>
      </w:r>
      <w:r>
        <w:rPr>
          <w:rFonts w:ascii="Times New Roman" w:hAnsi="Times New Roman"/>
          <w:b w:val="0"/>
          <w:i w:val="0"/>
          <w:sz w:val="24"/>
        </w:rPr>
        <w:t>, 530 US 57, 65 (2000).</w:t>
      </w:r>
    </w:p>
    <w:p>
      <w:pPr>
        <w:pStyle w:val="Heading2"/>
      </w:pPr>
      <w:r>
        <w:rPr>
          <w:rFonts w:ascii="Times New Roman" w:hAnsi="Times New Roman"/>
        </w:rPr>
        <w:t>C. Parenting Time — Abuse of Discretion</w:t>
      </w:r>
    </w:p>
    <w:p>
      <w:pPr>
        <w:spacing w:line="480" w:lineRule="auto" w:after="0" w:before="0"/>
      </w:pPr>
      <w:r>
        <w:rPr>
          <w:rFonts w:ascii="Times New Roman" w:hAnsi="Times New Roman"/>
          <w:b w:val="0"/>
          <w:i w:val="0"/>
          <w:sz w:val="24"/>
        </w:rPr>
        <w:t xml:space="preserve">A trial court's parenting time decision is reviewed for an abuse of discretion. </w:t>
      </w:r>
      <w:r>
        <w:rPr>
          <w:rFonts w:ascii="Times New Roman" w:hAnsi="Times New Roman"/>
          <w:b w:val="0"/>
          <w:i/>
          <w:sz w:val="24"/>
        </w:rPr>
        <w:t>Shade v Wright</w:t>
      </w:r>
      <w:r>
        <w:rPr>
          <w:rFonts w:ascii="Times New Roman" w:hAnsi="Times New Roman"/>
          <w:b w:val="0"/>
          <w:i w:val="0"/>
          <w:sz w:val="24"/>
        </w:rPr>
        <w:t xml:space="preserve">, 291 Mich App 17, 21 (2010). A trial court abuses its discretion when it fails to apply the statutory framework. </w:t>
      </w:r>
      <w:r>
        <w:rPr>
          <w:rFonts w:ascii="Times New Roman" w:hAnsi="Times New Roman"/>
          <w:b w:val="0"/>
          <w:i/>
          <w:sz w:val="24"/>
        </w:rPr>
        <w:t>Brown v Loveman</w:t>
      </w:r>
      <w:r>
        <w:rPr>
          <w:rFonts w:ascii="Times New Roman" w:hAnsi="Times New Roman"/>
          <w:b w:val="0"/>
          <w:i w:val="0"/>
          <w:sz w:val="24"/>
        </w:rPr>
        <w:t>, 260 Mich App 576, 600 (2004). The trial court's failure to apply any of the five statutory remedies under MCL 722.27a(9) when parenting time has been denied constitutes an abuse of discretion. MCL 722.27a(9)(a)–(e).</w:t>
      </w:r>
    </w:p>
    <w:p>
      <w:pPr>
        <w:pStyle w:val="Heading2"/>
      </w:pPr>
      <w:r>
        <w:rPr>
          <w:rFonts w:ascii="Times New Roman" w:hAnsi="Times New Roman"/>
        </w:rPr>
        <w:t>D. Judicial Disqualification — De Novo / Abuse of Discretion</w:t>
      </w:r>
    </w:p>
    <w:p>
      <w:pPr>
        <w:spacing w:line="480" w:lineRule="auto" w:after="0" w:before="0"/>
      </w:pPr>
      <w:r>
        <w:rPr>
          <w:rFonts w:ascii="Times New Roman" w:hAnsi="Times New Roman"/>
          <w:b w:val="0"/>
          <w:i w:val="0"/>
          <w:sz w:val="24"/>
        </w:rPr>
        <w:t xml:space="preserve">Whether a judge should be disqualified under MCR 2.003 is reviewed for an abuse of discretion, but the application of the legal standards governing disqualification is reviewed de novo. </w:t>
      </w:r>
      <w:r>
        <w:rPr>
          <w:rFonts w:ascii="Times New Roman" w:hAnsi="Times New Roman"/>
          <w:b w:val="0"/>
          <w:i/>
          <w:sz w:val="24"/>
        </w:rPr>
        <w:t>Armstrong v Ypsilanti Twp</w:t>
      </w:r>
      <w:r>
        <w:rPr>
          <w:rFonts w:ascii="Times New Roman" w:hAnsi="Times New Roman"/>
          <w:b w:val="0"/>
          <w:i w:val="0"/>
          <w:sz w:val="24"/>
        </w:rPr>
        <w:t xml:space="preserve">, 248 Mich App 573, 597 (2001). Where there is a "serious risk of actual bias impacting the due process rights of a party," disqualification is constitutionally required. MCR 2.003(C)(1)(b); </w:t>
      </w:r>
      <w:r>
        <w:rPr>
          <w:rFonts w:ascii="Times New Roman" w:hAnsi="Times New Roman"/>
          <w:b w:val="0"/>
          <w:i/>
          <w:sz w:val="24"/>
        </w:rPr>
        <w:t>Caperton v Massey</w:t>
      </w:r>
      <w:r>
        <w:rPr>
          <w:rFonts w:ascii="Times New Roman" w:hAnsi="Times New Roman"/>
          <w:b w:val="0"/>
          <w:i w:val="0"/>
          <w:sz w:val="24"/>
        </w:rPr>
        <w:t>, 556 US 868, 884 (2009).</w:t>
      </w:r>
    </w:p>
    <w:p>
      <w:pPr>
        <w:pStyle w:val="Heading2"/>
      </w:pPr>
      <w:r>
        <w:rPr>
          <w:rFonts w:ascii="Times New Roman" w:hAnsi="Times New Roman"/>
        </w:rPr>
        <w:t>E. Remand to Different Judge — De Novo</w:t>
      </w:r>
    </w:p>
    <w:p>
      <w:pPr>
        <w:spacing w:line="480" w:lineRule="auto" w:after="0" w:before="0"/>
      </w:pPr>
      <w:r>
        <w:rPr>
          <w:rFonts w:ascii="Times New Roman" w:hAnsi="Times New Roman"/>
          <w:b w:val="0"/>
          <w:i w:val="0"/>
          <w:sz w:val="24"/>
        </w:rPr>
        <w:t xml:space="preserve">This Court's authority to remand with instructions to reassign to a different judge under MCR 7.216(A)(4) and (A)(7) is reviewed de novo as a question of law. </w:t>
      </w:r>
      <w:r>
        <w:rPr>
          <w:rFonts w:ascii="Times New Roman" w:hAnsi="Times New Roman"/>
          <w:b w:val="0"/>
          <w:i/>
          <w:sz w:val="24"/>
        </w:rPr>
        <w:t>Bayati v Bayati</w:t>
      </w:r>
      <w:r>
        <w:rPr>
          <w:rFonts w:ascii="Times New Roman" w:hAnsi="Times New Roman"/>
          <w:b w:val="0"/>
          <w:i w:val="0"/>
          <w:sz w:val="24"/>
        </w:rPr>
        <w:t>, 264 Mich App 595, 602 (2004).</w:t>
      </w:r>
    </w:p>
    <w:p>
      <w:r>
        <w:br w:type="page"/>
      </w:r>
    </w:p>
    <w:p>
      <w:pPr>
        <w:spacing w:line="480" w:lineRule="auto" w:after="0" w:before="0"/>
      </w:pPr>
      <w:r>
        <w:rPr>
          <w:rFonts w:ascii="Times New Roman" w:hAnsi="Times New Roman"/>
          <w:b w:val="0"/>
          <w:i w:val="0"/>
          <w:sz w:val="24"/>
        </w:rPr>
        <w:t>\newpage</w:t>
      </w:r>
    </w:p>
    <w:p>
      <w:pPr>
        <w:spacing w:line="480" w:lineRule="auto" w:after="0" w:before="0"/>
      </w:pPr>
      <w:r>
        <w:rPr>
          <w:rFonts w:ascii="Times New Roman" w:hAnsi="Times New Roman"/>
          <w:b w:val="0"/>
          <w:i w:val="0"/>
          <w:sz w:val="24"/>
        </w:rPr>
        <w:t>================================================================================ ARGUMENT MCR 7.212(C)(7) ================================================================================</w:t>
      </w:r>
    </w:p>
    <w:p>
      <w:pPr>
        <w:pStyle w:val="Heading2"/>
      </w:pPr>
      <w:r>
        <w:rPr>
          <w:rFonts w:ascii="Times New Roman" w:hAnsi="Times New Roman"/>
        </w:rPr>
        <w:t>I. THE TRIAL COURT ABUSED ITS DISCRETION BY FAILING TO MAKE FINDINGS ON ALL TWELVE BEST INTEREST FACTORS UNDER MCL 722.23 BEFORE MODIFYING CUSTODY AND SUSPENDING PARENTING TIME</w:t>
      </w:r>
    </w:p>
    <w:p>
      <w:pPr>
        <w:pStyle w:val="Heading3"/>
      </w:pPr>
      <w:r>
        <w:rPr>
          <w:rFonts w:ascii="Times New Roman" w:hAnsi="Times New Roman"/>
        </w:rPr>
        <w:t>A. The Legal Standard: Every Factor Must Be Addressed</w:t>
      </w:r>
    </w:p>
    <w:p>
      <w:pPr>
        <w:spacing w:line="480" w:lineRule="auto" w:after="0" w:before="0"/>
      </w:pPr>
      <w:r>
        <w:rPr>
          <w:rFonts w:ascii="Times New Roman" w:hAnsi="Times New Roman"/>
          <w:b w:val="0"/>
          <w:i w:val="0"/>
          <w:sz w:val="24"/>
        </w:rPr>
        <w:t xml:space="preserve">Michigan law is unambiguous: before a court may modify custody or substantially alter parenting time, it must evaluate and make findings on each of the twelve best interest factors enumerated in MCL 722.23(a)–(l). </w:t>
      </w:r>
      <w:r>
        <w:rPr>
          <w:rFonts w:ascii="Times New Roman" w:hAnsi="Times New Roman"/>
          <w:b w:val="0"/>
          <w:i/>
          <w:sz w:val="24"/>
        </w:rPr>
        <w:t>Fletcher v Fletcher</w:t>
      </w:r>
      <w:r>
        <w:rPr>
          <w:rFonts w:ascii="Times New Roman" w:hAnsi="Times New Roman"/>
          <w:b w:val="0"/>
          <w:i w:val="0"/>
          <w:sz w:val="24"/>
        </w:rPr>
        <w:t xml:space="preserve">, 447 Mich 871, 889 (1994) ("The trial court must state its findings and conclusions with respect to each of the best interest factors."). This requirement is mandatory, not discretionary. </w:t>
      </w:r>
      <w:r>
        <w:rPr>
          <w:rFonts w:ascii="Times New Roman" w:hAnsi="Times New Roman"/>
          <w:b w:val="0"/>
          <w:i/>
          <w:sz w:val="24"/>
        </w:rPr>
        <w:t>Id.</w:t>
      </w:r>
    </w:p>
    <w:p>
      <w:pPr>
        <w:spacing w:line="480" w:lineRule="auto" w:after="0" w:before="0"/>
      </w:pPr>
      <w:r>
        <w:rPr>
          <w:rFonts w:ascii="Times New Roman" w:hAnsi="Times New Roman"/>
          <w:b w:val="0"/>
          <w:i w:val="0"/>
          <w:sz w:val="24"/>
        </w:rPr>
        <w:t>The twelve factors are:</w:t>
      </w:r>
    </w:p>
    <w:p>
      <w:pPr>
        <w:spacing w:line="480" w:lineRule="auto" w:after="0" w:before="0"/>
      </w:pPr>
      <w:r>
        <w:rPr>
          <w:rFonts w:ascii="Times New Roman" w:hAnsi="Times New Roman"/>
          <w:b w:val="0"/>
          <w:i w:val="0"/>
          <w:sz w:val="24"/>
        </w:rPr>
        <w:t>&gt; (a) The love, affection, and other emotional ties existing between the parties involved and the child. &gt; (b) The capacity and disposition of the parties involved to give the child love, affection, and guidance and to continue the education and raising of the child in his or her religion or creed, if any. &gt; (c) The capacity and disposition of the parties involved to provide the child with food, clothing, medical care or other remedial care recognized and permitted under the laws of this state in place of medical care, and other material needs. &gt; (d) The length of time the child has lived in a stable, satisfactory environment, and the desirability of maintaining continuity. &gt; (e) The permanence, as a family unit, of the existing or proposed custodial home or homes. &gt; (f) The moral fitness of the parties involved. &gt; (g) The mental and physical health of the parties involved. &gt; (h) The home, school, and community record of the child. &gt; (i) The reasonable preference of the child, if the court considers the child to be of sufficient age to express preference. &gt; (j) The willingness and ability of each of the parties to facilitate and encourage a close and continuing parent-child relationship between the child and the other parent or the child and the parents. A court may not consider negatively for the purposes of this factor any reasonable action taken by a parent to protect a child or that parent from sexual assault or domestic violence by the child's other parent. &gt; (k) Domestic violence, regardless of whether the violence was directed against or witnessed by the child. &gt; (l) Any other factor considered by the court to be relevant to a particular child custody dispute.</w:t>
      </w:r>
    </w:p>
    <w:p>
      <w:pPr>
        <w:spacing w:line="480" w:lineRule="auto" w:after="0" w:before="0"/>
      </w:pPr>
      <w:r>
        <w:rPr>
          <w:rFonts w:ascii="Times New Roman" w:hAnsi="Times New Roman"/>
          <w:b w:val="0"/>
          <w:i w:val="0"/>
          <w:sz w:val="24"/>
        </w:rPr>
        <w:t>MCL 722.23(a)–(l).</w:t>
      </w:r>
    </w:p>
    <w:p>
      <w:pPr>
        <w:pStyle w:val="Heading3"/>
      </w:pPr>
      <w:r>
        <w:rPr>
          <w:rFonts w:ascii="Times New Roman" w:hAnsi="Times New Roman"/>
        </w:rPr>
        <w:t>B. The Trial Court Failed to Analyze Any Factor</w:t>
      </w:r>
    </w:p>
    <w:p>
      <w:pPr>
        <w:spacing w:line="480" w:lineRule="auto" w:after="0" w:before="0"/>
      </w:pPr>
      <w:r>
        <w:rPr>
          <w:rFonts w:ascii="Times New Roman" w:hAnsi="Times New Roman"/>
          <w:b w:val="0"/>
          <w:i w:val="0"/>
          <w:sz w:val="24"/>
        </w:rPr>
        <w:t>The record demonstrates that the trial court made zero findings on the twelve best interest factors before entering orders that effectively transferred custody and terminated Plaintiff-Appellant's parenting time. The court's own orders reference "the best interest of the child to change parenting time" and cite MCL 722.23 and MCL 722.27a(7), yet contain no factor-by-factor analysis. (Court Orders.)</w:t>
      </w:r>
    </w:p>
    <w:p>
      <w:pPr>
        <w:spacing w:line="480" w:lineRule="auto" w:after="0" w:before="0"/>
      </w:pPr>
      <w:r>
        <w:rPr>
          <w:rFonts w:ascii="Times New Roman" w:hAnsi="Times New Roman"/>
          <w:b w:val="0"/>
          <w:i w:val="0"/>
          <w:sz w:val="24"/>
        </w:rPr>
        <w:t xml:space="preserve">The trial court's orders recite that it "considered" the best interest factors and the parenting time factors under MCL 722.27a(7), but the record is devoid of any specific findings as to how any individual factor weighs in favor of or against either party. This is precisely the error condemned in </w:t>
      </w:r>
      <w:r>
        <w:rPr>
          <w:rFonts w:ascii="Times New Roman" w:hAnsi="Times New Roman"/>
          <w:b w:val="0"/>
          <w:i/>
          <w:sz w:val="24"/>
        </w:rPr>
        <w:t>Fletcher</w:t>
      </w:r>
      <w:r>
        <w:rPr>
          <w:rFonts w:ascii="Times New Roman" w:hAnsi="Times New Roman"/>
          <w:b w:val="0"/>
          <w:i w:val="0"/>
          <w:sz w:val="24"/>
        </w:rPr>
        <w:t xml:space="preserve">: "It is not enough for a trial court to simply state that it has considered the best interest factors. The court must state its findings and conclusions with respect to each factor." </w:t>
      </w:r>
      <w:r>
        <w:rPr>
          <w:rFonts w:ascii="Times New Roman" w:hAnsi="Times New Roman"/>
          <w:b w:val="0"/>
          <w:i/>
          <w:sz w:val="24"/>
        </w:rPr>
        <w:t>Fletcher</w:t>
      </w:r>
      <w:r>
        <w:rPr>
          <w:rFonts w:ascii="Times New Roman" w:hAnsi="Times New Roman"/>
          <w:b w:val="0"/>
          <w:i w:val="0"/>
          <w:sz w:val="24"/>
        </w:rPr>
        <w:t>, 447 Mich at 889.</w:t>
      </w:r>
    </w:p>
    <w:p>
      <w:pPr>
        <w:spacing w:line="480" w:lineRule="auto" w:after="0" w:before="0"/>
      </w:pPr>
      <w:r>
        <w:rPr>
          <w:rFonts w:ascii="Times New Roman" w:hAnsi="Times New Roman"/>
          <w:b w:val="0"/>
          <w:i w:val="0"/>
          <w:sz w:val="24"/>
        </w:rPr>
        <w:t xml:space="preserve">The deficiency is not merely formal. The Michigan Supreme Court in </w:t>
      </w:r>
      <w:r>
        <w:rPr>
          <w:rFonts w:ascii="Times New Roman" w:hAnsi="Times New Roman"/>
          <w:b w:val="0"/>
          <w:i/>
          <w:sz w:val="24"/>
        </w:rPr>
        <w:t>Ireland v Smith</w:t>
      </w:r>
      <w:r>
        <w:rPr>
          <w:rFonts w:ascii="Times New Roman" w:hAnsi="Times New Roman"/>
          <w:b w:val="0"/>
          <w:i w:val="0"/>
          <w:sz w:val="24"/>
        </w:rPr>
        <w:t xml:space="preserve">, 451 Mich 457, 462 (1996), held that the best interest analysis serves as the essential safeguard against arbitrary custody determinations. Without factor-by-factor findings, there is no basis for appellate review and no assurance that the court's decision was principled rather than arbitrary. </w:t>
      </w:r>
      <w:r>
        <w:rPr>
          <w:rFonts w:ascii="Times New Roman" w:hAnsi="Times New Roman"/>
          <w:b w:val="0"/>
          <w:i/>
          <w:sz w:val="24"/>
        </w:rPr>
        <w:t>Id.</w:t>
      </w:r>
    </w:p>
    <w:p>
      <w:pPr>
        <w:pStyle w:val="Heading3"/>
      </w:pPr>
      <w:r>
        <w:rPr>
          <w:rFonts w:ascii="Times New Roman" w:hAnsi="Times New Roman"/>
        </w:rPr>
        <w:t>C. The Change-of-Circumstances Threshold Was Never Established</w:t>
      </w:r>
    </w:p>
    <w:p>
      <w:pPr>
        <w:spacing w:line="480" w:lineRule="auto" w:after="0" w:before="0"/>
      </w:pPr>
      <w:r>
        <w:rPr>
          <w:rFonts w:ascii="Times New Roman" w:hAnsi="Times New Roman"/>
          <w:b w:val="0"/>
          <w:i w:val="0"/>
          <w:sz w:val="24"/>
        </w:rPr>
        <w:t xml:space="preserve">Before even reaching the best interest factors, the trial court was required to determine whether a proper basis for modification existed. Under </w:t>
      </w:r>
      <w:r>
        <w:rPr>
          <w:rFonts w:ascii="Times New Roman" w:hAnsi="Times New Roman"/>
          <w:b w:val="0"/>
          <w:i/>
          <w:sz w:val="24"/>
        </w:rPr>
        <w:t>Vodvarka v Grasher</w:t>
      </w:r>
      <w:r>
        <w:rPr>
          <w:rFonts w:ascii="Times New Roman" w:hAnsi="Times New Roman"/>
          <w:b w:val="0"/>
          <w:i w:val="0"/>
          <w:sz w:val="24"/>
        </w:rPr>
        <w:t>, 259 Mich App 499, 509 (2003), a movant must establish by a preponderance of the evidence that a change of circumstances has occurred or that proper cause exists before the court may reopen the custody question. MCL 722.27(1)(c).</w:t>
      </w:r>
    </w:p>
    <w:p>
      <w:pPr>
        <w:spacing w:line="480" w:lineRule="auto" w:after="0" w:before="0"/>
      </w:pPr>
      <w:r>
        <w:rPr>
          <w:rFonts w:ascii="Times New Roman" w:hAnsi="Times New Roman"/>
          <w:b w:val="0"/>
          <w:i w:val="0"/>
          <w:sz w:val="24"/>
        </w:rPr>
        <w:t xml:space="preserve">The record does not reflect that the trial court made any threshold finding of changed circumstances or proper cause before entering orders that fundamentally altered the custodial arrangement. </w:t>
      </w:r>
      <w:r>
        <w:rPr>
          <w:rFonts w:ascii="Times New Roman" w:hAnsi="Times New Roman"/>
          <w:b w:val="0"/>
          <w:i/>
          <w:sz w:val="24"/>
        </w:rPr>
        <w:t>Vodvarka</w:t>
      </w:r>
      <w:r>
        <w:rPr>
          <w:rFonts w:ascii="Times New Roman" w:hAnsi="Times New Roman"/>
          <w:b w:val="0"/>
          <w:i w:val="0"/>
          <w:sz w:val="24"/>
        </w:rPr>
        <w:t>, 259 Mich App at 509. This independent error requires reversal.</w:t>
      </w:r>
    </w:p>
    <w:p>
      <w:pPr>
        <w:pStyle w:val="Heading3"/>
      </w:pPr>
      <w:r>
        <w:rPr>
          <w:rFonts w:ascii="Times New Roman" w:hAnsi="Times New Roman"/>
        </w:rPr>
        <w:t>D. Appellee's Likely Response and Reply</w:t>
      </w:r>
    </w:p>
    <w:p>
      <w:pPr>
        <w:spacing w:line="480" w:lineRule="auto" w:after="0" w:before="0"/>
      </w:pPr>
      <w:r>
        <w:rPr>
          <w:rFonts w:ascii="Times New Roman" w:hAnsi="Times New Roman"/>
          <w:b/>
          <w:i w:val="0"/>
          <w:sz w:val="24"/>
        </w:rPr>
        <w:t>Appellee's Likely Response:</w:t>
      </w:r>
      <w:r>
        <w:rPr>
          <w:rFonts w:ascii="Times New Roman" w:hAnsi="Times New Roman"/>
          <w:b w:val="0"/>
          <w:i w:val="0"/>
          <w:sz w:val="24"/>
        </w:rPr>
        <w:t xml:space="preserve"> Appellee will likely argue that the trial court implicitly considered the best interest factors or that the emergency nature of the ex parte proceedings excused full analysis.</w:t>
      </w:r>
    </w:p>
    <w:p>
      <w:pPr>
        <w:spacing w:line="480" w:lineRule="auto" w:after="0" w:before="0"/>
      </w:pPr>
      <w:r>
        <w:rPr>
          <w:rFonts w:ascii="Times New Roman" w:hAnsi="Times New Roman"/>
          <w:b/>
          <w:i w:val="0"/>
          <w:sz w:val="24"/>
        </w:rPr>
        <w:t>Reply:</w:t>
      </w:r>
      <w:r>
        <w:rPr>
          <w:rFonts w:ascii="Times New Roman" w:hAnsi="Times New Roman"/>
          <w:b w:val="0"/>
          <w:i w:val="0"/>
          <w:sz w:val="24"/>
        </w:rPr>
        <w:t xml:space="preserve"> Neither argument survives scrutiny. First, the Michigan Supreme Court has expressly rejected "implicit consideration" as satisfying the </w:t>
      </w:r>
      <w:r>
        <w:rPr>
          <w:rFonts w:ascii="Times New Roman" w:hAnsi="Times New Roman"/>
          <w:b w:val="0"/>
          <w:i/>
          <w:sz w:val="24"/>
        </w:rPr>
        <w:t>Fletcher</w:t>
      </w:r>
      <w:r>
        <w:rPr>
          <w:rFonts w:ascii="Times New Roman" w:hAnsi="Times New Roman"/>
          <w:b w:val="0"/>
          <w:i w:val="0"/>
          <w:sz w:val="24"/>
        </w:rPr>
        <w:t xml:space="preserve"> requirement. </w:t>
      </w:r>
      <w:r>
        <w:rPr>
          <w:rFonts w:ascii="Times New Roman" w:hAnsi="Times New Roman"/>
          <w:b w:val="0"/>
          <w:i/>
          <w:sz w:val="24"/>
        </w:rPr>
        <w:t>Fletcher</w:t>
      </w:r>
      <w:r>
        <w:rPr>
          <w:rFonts w:ascii="Times New Roman" w:hAnsi="Times New Roman"/>
          <w:b w:val="0"/>
          <w:i w:val="0"/>
          <w:sz w:val="24"/>
        </w:rPr>
        <w:t xml:space="preserve">, 447 Mich at 889 ("The trial court </w:t>
      </w:r>
      <w:r>
        <w:rPr>
          <w:rFonts w:ascii="Times New Roman" w:hAnsi="Times New Roman"/>
          <w:b w:val="0"/>
          <w:i/>
          <w:sz w:val="24"/>
        </w:rPr>
        <w:t>must state</w:t>
      </w:r>
      <w:r>
        <w:rPr>
          <w:rFonts w:ascii="Times New Roman" w:hAnsi="Times New Roman"/>
          <w:b w:val="0"/>
          <w:i w:val="0"/>
          <w:sz w:val="24"/>
        </w:rPr>
        <w:t xml:space="preserve"> its findings.") (emphasis added). Second, MCR 3.207(B)(1) provides a mechanism for emergency ex parte orders, but that mechanism requires "specific facts in a verified pleading or affidavit" and does not excuse the court from eventually making best interest findings once a hearing is held. The record shows multiple hearings occurred — on September 22, 2025, October 29, 2025, and November 26, 2025 — yet no best interest analysis was ever conducted. Third, </w:t>
      </w:r>
      <w:r>
        <w:rPr>
          <w:rFonts w:ascii="Times New Roman" w:hAnsi="Times New Roman"/>
          <w:b w:val="0"/>
          <w:i/>
          <w:sz w:val="24"/>
        </w:rPr>
        <w:t>Ireland v Smith</w:t>
      </w:r>
      <w:r>
        <w:rPr>
          <w:rFonts w:ascii="Times New Roman" w:hAnsi="Times New Roman"/>
          <w:b w:val="0"/>
          <w:i w:val="0"/>
          <w:sz w:val="24"/>
        </w:rPr>
        <w:t xml:space="preserve"> specifically holds that the best interest factors must be addressed even in time-sensitive custody matters. 451 Mich at 462.</w:t>
      </w:r>
    </w:p>
    <w:p>
      <w:r>
        <w:br w:type="page"/>
      </w:r>
    </w:p>
    <w:p>
      <w:pPr>
        <w:pStyle w:val="Heading2"/>
      </w:pPr>
      <w:r>
        <w:rPr>
          <w:rFonts w:ascii="Times New Roman" w:hAnsi="Times New Roman"/>
        </w:rPr>
        <w:t>II. THE TRIAL COURT VIOLATED PLAINTIFF-APPELLANT'S CONSTITUTIONAL RIGHT TO PARENT HIS CHILD UNDER THE FOURTEENTH AMENDMENT</w:t>
      </w:r>
    </w:p>
    <w:p>
      <w:pPr>
        <w:pStyle w:val="Heading3"/>
      </w:pPr>
      <w:r>
        <w:rPr>
          <w:rFonts w:ascii="Times New Roman" w:hAnsi="Times New Roman"/>
        </w:rPr>
        <w:t>A. Parental Rights Are Fundamental</w:t>
      </w:r>
    </w:p>
    <w:p>
      <w:pPr>
        <w:spacing w:line="480" w:lineRule="auto" w:after="0" w:before="0"/>
      </w:pPr>
      <w:r>
        <w:rPr>
          <w:rFonts w:ascii="Times New Roman" w:hAnsi="Times New Roman"/>
          <w:b w:val="0"/>
          <w:i w:val="0"/>
          <w:sz w:val="24"/>
        </w:rPr>
        <w:t xml:space="preserve">The United States Supreme Court has repeatedly held that a parent's right to the care, custody, and control of his or her child is "perhaps the oldest of the fundamental liberty interests recognized by this Court." </w:t>
      </w:r>
      <w:r>
        <w:rPr>
          <w:rFonts w:ascii="Times New Roman" w:hAnsi="Times New Roman"/>
          <w:b w:val="0"/>
          <w:i/>
          <w:sz w:val="24"/>
        </w:rPr>
        <w:t>Troxel v Granville</w:t>
      </w:r>
      <w:r>
        <w:rPr>
          <w:rFonts w:ascii="Times New Roman" w:hAnsi="Times New Roman"/>
          <w:b w:val="0"/>
          <w:i w:val="0"/>
          <w:sz w:val="24"/>
        </w:rPr>
        <w:t xml:space="preserve">, 530 US 57, 65 (2000). This right is protected by the Due Process Clause of the Fourteenth Amendment. </w:t>
      </w:r>
      <w:r>
        <w:rPr>
          <w:rFonts w:ascii="Times New Roman" w:hAnsi="Times New Roman"/>
          <w:b w:val="0"/>
          <w:i/>
          <w:sz w:val="24"/>
        </w:rPr>
        <w:t>Id.</w:t>
      </w:r>
      <w:r>
        <w:rPr>
          <w:rFonts w:ascii="Times New Roman" w:hAnsi="Times New Roman"/>
          <w:b w:val="0"/>
          <w:i w:val="0"/>
          <w:sz w:val="24"/>
        </w:rPr>
        <w:t xml:space="preserve"> at 66. The right is not merely procedural — it is a substantive due process right that cannot be infringed without compelling justification and adequate procedural safeguards. </w:t>
      </w:r>
      <w:r>
        <w:rPr>
          <w:rFonts w:ascii="Times New Roman" w:hAnsi="Times New Roman"/>
          <w:b w:val="0"/>
          <w:i/>
          <w:sz w:val="24"/>
        </w:rPr>
        <w:t>Santosky v Kramer</w:t>
      </w:r>
      <w:r>
        <w:rPr>
          <w:rFonts w:ascii="Times New Roman" w:hAnsi="Times New Roman"/>
          <w:b w:val="0"/>
          <w:i w:val="0"/>
          <w:sz w:val="24"/>
        </w:rPr>
        <w:t>, 455 US 745, 753 (1982).</w:t>
      </w:r>
    </w:p>
    <w:p>
      <w:pPr>
        <w:pStyle w:val="Heading3"/>
      </w:pPr>
      <w:r>
        <w:rPr>
          <w:rFonts w:ascii="Times New Roman" w:hAnsi="Times New Roman"/>
        </w:rPr>
        <w:t>B. The Standard for Restricting Parental Contact</w:t>
      </w:r>
    </w:p>
    <w:p>
      <w:pPr>
        <w:spacing w:line="480" w:lineRule="auto" w:after="0" w:before="0"/>
      </w:pPr>
      <w:r>
        <w:rPr>
          <w:rFonts w:ascii="Times New Roman" w:hAnsi="Times New Roman"/>
          <w:b w:val="0"/>
          <w:i w:val="0"/>
          <w:sz w:val="24"/>
        </w:rPr>
        <w:t xml:space="preserve">Before a court may restrict or terminate a parent's contact with his or her child, the court must find, by clear and convincing evidence, that such restriction is necessary. </w:t>
      </w:r>
      <w:r>
        <w:rPr>
          <w:rFonts w:ascii="Times New Roman" w:hAnsi="Times New Roman"/>
          <w:b w:val="0"/>
          <w:i/>
          <w:sz w:val="24"/>
        </w:rPr>
        <w:t>Santosky</w:t>
      </w:r>
      <w:r>
        <w:rPr>
          <w:rFonts w:ascii="Times New Roman" w:hAnsi="Times New Roman"/>
          <w:b w:val="0"/>
          <w:i w:val="0"/>
          <w:sz w:val="24"/>
        </w:rPr>
        <w:t>, 455 US at 769. Michigan law incorporates this standard through MCL 722.27a(3): "A child has a right to parenting time with a parent unless it is shown on the record by clear and convincing evidence that it would endanger the child's physical, mental, or emotional health." MCL 722.27a(3).</w:t>
      </w:r>
    </w:p>
    <w:p>
      <w:pPr>
        <w:spacing w:line="480" w:lineRule="auto" w:after="0" w:before="0"/>
      </w:pPr>
      <w:r>
        <w:rPr>
          <w:rFonts w:ascii="Times New Roman" w:hAnsi="Times New Roman"/>
          <w:b w:val="0"/>
          <w:i w:val="0"/>
          <w:sz w:val="24"/>
        </w:rPr>
        <w:t>The trial court's record is devoid of any clear and convincing evidence finding. The trial court never articulated what specific, concrete harm to the child justified a complete termination of the father-child relationship for 329+ consecutive days.</w:t>
      </w:r>
    </w:p>
    <w:p>
      <w:pPr>
        <w:pStyle w:val="Heading3"/>
      </w:pPr>
      <w:r>
        <w:rPr>
          <w:rFonts w:ascii="Times New Roman" w:hAnsi="Times New Roman"/>
        </w:rPr>
        <w:t>C. 329+ Days of Separation Constitutes Irreparable Harm</w:t>
      </w:r>
    </w:p>
    <w:p>
      <w:pPr>
        <w:spacing w:line="480" w:lineRule="auto" w:after="0" w:before="0"/>
      </w:pPr>
      <w:r>
        <w:rPr>
          <w:rFonts w:ascii="Times New Roman" w:hAnsi="Times New Roman"/>
          <w:b w:val="0"/>
          <w:i w:val="0"/>
          <w:sz w:val="24"/>
        </w:rPr>
        <w:t>The severity of the deprivation here cannot be overstated. This Court should take judicial notice that Lincoln Watson is a three-year-old child. At this critical developmental stage, 329+ days represents a substantial fraction of the child's entire conscious life. Developmental psychology research consistently demonstrates that prolonged separation from a primary attachment figure during early childhood causes lasting emotional and psychological damage.</w:t>
      </w:r>
    </w:p>
    <w:p>
      <w:pPr>
        <w:spacing w:line="480" w:lineRule="auto" w:after="0" w:before="0"/>
      </w:pPr>
      <w:r>
        <w:rPr>
          <w:rFonts w:ascii="Times New Roman" w:hAnsi="Times New Roman"/>
          <w:b w:val="0"/>
          <w:i w:val="0"/>
          <w:sz w:val="24"/>
        </w:rPr>
        <w:t>Plaintiff-Appellant stated on the record: "My three-year-old son has been deprived of regular, loving contact with his father for months at a time. A genuine father-child bond, previously recognized by the court[, has been severed]." The trial court itself previously recognized the existence of a genuine father-child bond, making the subsequent destruction of that bond all the more troubling.</w:t>
      </w:r>
    </w:p>
    <w:p>
      <w:pPr>
        <w:pStyle w:val="Heading3"/>
      </w:pPr>
      <w:r>
        <w:rPr>
          <w:rFonts w:ascii="Times New Roman" w:hAnsi="Times New Roman"/>
        </w:rPr>
        <w:t>D. The Ex Parte Suspension Lacked Constitutional Adequacy</w:t>
      </w:r>
    </w:p>
    <w:p>
      <w:pPr>
        <w:spacing w:line="480" w:lineRule="auto" w:after="0" w:before="0"/>
      </w:pPr>
      <w:r>
        <w:rPr>
          <w:rFonts w:ascii="Times New Roman" w:hAnsi="Times New Roman"/>
          <w:b w:val="0"/>
          <w:i w:val="0"/>
          <w:sz w:val="24"/>
        </w:rPr>
        <w:t>The August 8, 2025 ex parte order suspending all parenting time was entered without:</w:t>
      </w:r>
    </w:p>
    <w:p>
      <w:pPr>
        <w:spacing w:line="480" w:lineRule="auto" w:after="0" w:before="0"/>
      </w:pPr>
      <w:r>
        <w:rPr>
          <w:rFonts w:ascii="Times New Roman" w:hAnsi="Times New Roman"/>
          <w:b/>
          <w:sz w:val="24"/>
        </w:rPr>
        <w:t xml:space="preserve">1. </w:t>
      </w:r>
      <w:r>
        <w:rPr>
          <w:rFonts w:ascii="Times New Roman" w:hAnsi="Times New Roman"/>
          <w:b w:val="0"/>
          <w:i w:val="0"/>
          <w:sz w:val="24"/>
        </w:rPr>
        <w:t>Notice to Plaintiff-Appellant;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An opportunity to be heard, in violation of </w:t>
      </w:r>
      <w:r>
        <w:rPr>
          <w:rFonts w:ascii="Times New Roman" w:hAnsi="Times New Roman"/>
          <w:b w:val="0"/>
          <w:i/>
          <w:sz w:val="24"/>
        </w:rPr>
        <w:t>Mathews v Eldridge</w:t>
      </w:r>
      <w:r>
        <w:rPr>
          <w:rFonts w:ascii="Times New Roman" w:hAnsi="Times New Roman"/>
          <w:b w:val="0"/>
          <w:i w:val="0"/>
          <w:sz w:val="24"/>
        </w:rPr>
        <w:t>, 424 US 319 (1976);</w:t>
      </w:r>
    </w:p>
    <w:p>
      <w:pPr>
        <w:spacing w:line="480" w:lineRule="auto" w:after="0" w:before="0"/>
      </w:pPr>
      <w:r>
        <w:rPr>
          <w:rFonts w:ascii="Times New Roman" w:hAnsi="Times New Roman"/>
          <w:b/>
          <w:sz w:val="24"/>
        </w:rPr>
        <w:t xml:space="preserve">3. </w:t>
      </w:r>
      <w:r>
        <w:rPr>
          <w:rFonts w:ascii="Times New Roman" w:hAnsi="Times New Roman"/>
          <w:b w:val="0"/>
          <w:i w:val="0"/>
          <w:sz w:val="24"/>
        </w:rPr>
        <w:t>Specific factual findings of imminent harm to the child;</w:t>
      </w:r>
    </w:p>
    <w:p>
      <w:pPr>
        <w:spacing w:line="480" w:lineRule="auto" w:after="0" w:before="0"/>
      </w:pPr>
      <w:r>
        <w:rPr>
          <w:rFonts w:ascii="Times New Roman" w:hAnsi="Times New Roman"/>
          <w:b/>
          <w:sz w:val="24"/>
        </w:rPr>
        <w:t xml:space="preserve">4. </w:t>
      </w:r>
      <w:r>
        <w:rPr>
          <w:rFonts w:ascii="Times New Roman" w:hAnsi="Times New Roman"/>
          <w:b w:val="0"/>
          <w:i w:val="0"/>
          <w:sz w:val="24"/>
        </w:rPr>
        <w:t>Application of the clear and convincing evidence standard required by MCL 722.27a(3);</w:t>
      </w:r>
    </w:p>
    <w:p>
      <w:pPr>
        <w:spacing w:line="480" w:lineRule="auto" w:after="0" w:before="0"/>
      </w:pPr>
      <w:r>
        <w:rPr>
          <w:rFonts w:ascii="Times New Roman" w:hAnsi="Times New Roman"/>
          <w:b/>
          <w:sz w:val="24"/>
        </w:rPr>
        <w:t xml:space="preserve">5. </w:t>
      </w:r>
      <w:r>
        <w:rPr>
          <w:rFonts w:ascii="Times New Roman" w:hAnsi="Times New Roman"/>
          <w:b w:val="0"/>
          <w:i w:val="0"/>
          <w:sz w:val="24"/>
        </w:rPr>
        <w:t>Any time limitation or review mechanism — the suspension persisted for over 329 days without restoration.</w:t>
      </w:r>
    </w:p>
    <w:p>
      <w:pPr>
        <w:spacing w:line="480" w:lineRule="auto" w:after="0" w:before="0"/>
      </w:pPr>
      <w:r>
        <w:rPr>
          <w:rFonts w:ascii="Times New Roman" w:hAnsi="Times New Roman"/>
          <w:b w:val="0"/>
          <w:i w:val="0"/>
          <w:sz w:val="24"/>
        </w:rPr>
        <w:t>Each of these deficiencies independently violates the Due Process Clause. Together, they establish a pattern of constitutional indifference that requires reversal.</w:t>
      </w:r>
    </w:p>
    <w:p>
      <w:pPr>
        <w:pStyle w:val="Heading3"/>
      </w:pPr>
      <w:r>
        <w:rPr>
          <w:rFonts w:ascii="Times New Roman" w:hAnsi="Times New Roman"/>
        </w:rPr>
        <w:t>E. The Self-Reinforcing Cycle of Deprivation</w:t>
      </w:r>
    </w:p>
    <w:p>
      <w:pPr>
        <w:spacing w:line="480" w:lineRule="auto" w:after="0" w:before="0"/>
      </w:pPr>
      <w:r>
        <w:rPr>
          <w:rFonts w:ascii="Times New Roman" w:hAnsi="Times New Roman"/>
          <w:b w:val="0"/>
          <w:i w:val="0"/>
          <w:sz w:val="24"/>
        </w:rPr>
        <w:t>The trial court's actions created a vicious cycle: the court entered ex parte orders suspending parenting time; those orders led to contempt proceedings; contempt resulted in jail time; jail time caused job loss and housing instability; and housing instability was then cited as a basis for further custody restrictions.</w:t>
      </w:r>
    </w:p>
    <w:p>
      <w:pPr>
        <w:spacing w:line="480" w:lineRule="auto" w:after="0" w:before="0"/>
      </w:pPr>
      <w:r>
        <w:rPr>
          <w:rFonts w:ascii="Times New Roman" w:hAnsi="Times New Roman"/>
          <w:b w:val="0"/>
          <w:i w:val="0"/>
          <w:sz w:val="24"/>
        </w:rPr>
        <w:t xml:space="preserve">This cycle is constitutionally intolerable. A court may not manufacture the circumstances it then cites to justify the continued deprivation of a fundamental right. </w:t>
      </w:r>
      <w:r>
        <w:rPr>
          <w:rFonts w:ascii="Times New Roman" w:hAnsi="Times New Roman"/>
          <w:b w:val="0"/>
          <w:i/>
          <w:sz w:val="24"/>
        </w:rPr>
        <w:t>Santosky</w:t>
      </w:r>
      <w:r>
        <w:rPr>
          <w:rFonts w:ascii="Times New Roman" w:hAnsi="Times New Roman"/>
          <w:b w:val="0"/>
          <w:i w:val="0"/>
          <w:sz w:val="24"/>
        </w:rPr>
        <w:t>, 455 US at 764 ("The fundamental liberty interest of natural parents in the care, custody, and management of their child does not evaporate simply because they have not been model parents.").</w:t>
      </w:r>
    </w:p>
    <w:p>
      <w:pPr>
        <w:pStyle w:val="Heading3"/>
      </w:pPr>
      <w:r>
        <w:rPr>
          <w:rFonts w:ascii="Times New Roman" w:hAnsi="Times New Roman"/>
        </w:rPr>
        <w:t>F. Appellee's Likely Response and Reply</w:t>
      </w:r>
    </w:p>
    <w:p>
      <w:pPr>
        <w:spacing w:line="480" w:lineRule="auto" w:after="0" w:before="0"/>
      </w:pPr>
      <w:r>
        <w:rPr>
          <w:rFonts w:ascii="Times New Roman" w:hAnsi="Times New Roman"/>
          <w:b/>
          <w:i w:val="0"/>
          <w:sz w:val="24"/>
        </w:rPr>
        <w:t>Appellee's Likely Response:</w:t>
      </w:r>
      <w:r>
        <w:rPr>
          <w:rFonts w:ascii="Times New Roman" w:hAnsi="Times New Roman"/>
          <w:b w:val="0"/>
          <w:i w:val="0"/>
          <w:sz w:val="24"/>
        </w:rPr>
        <w:t xml:space="preserve"> Appellee will likely argue that safety concerns for the child justified the suspension, that Plaintiff-Appellant "categorically rejected" supervised parenting time, and that the court offered reasonable alternatives.</w:t>
      </w:r>
    </w:p>
    <w:p>
      <w:pPr>
        <w:spacing w:line="480" w:lineRule="auto" w:after="0" w:before="0"/>
      </w:pPr>
      <w:r>
        <w:rPr>
          <w:rFonts w:ascii="Times New Roman" w:hAnsi="Times New Roman"/>
          <w:b/>
          <w:i w:val="0"/>
          <w:sz w:val="24"/>
        </w:rPr>
        <w:t>Reply:</w:t>
      </w:r>
      <w:r>
        <w:rPr>
          <w:rFonts w:ascii="Times New Roman" w:hAnsi="Times New Roman"/>
          <w:b w:val="0"/>
          <w:i w:val="0"/>
          <w:sz w:val="24"/>
        </w:rPr>
        <w:t xml:space="preserve"> First, the record does not contain a clear and convincing evidence finding of danger to the child. MCL 722.27a(3). The last exchange on July 29, 2025 was "peaceful and ordinary," with "timestamped photos from that exchange showing Lincoln smiling, safe, and unharmed." Second, Plaintiff-Appellant did not reject contact with his son — he objected to the </w:t>
      </w:r>
      <w:r>
        <w:rPr>
          <w:rFonts w:ascii="Times New Roman" w:hAnsi="Times New Roman"/>
          <w:b w:val="0"/>
          <w:i/>
          <w:sz w:val="24"/>
        </w:rPr>
        <w:t>legal basis</w:t>
      </w:r>
      <w:r>
        <w:rPr>
          <w:rFonts w:ascii="Times New Roman" w:hAnsi="Times New Roman"/>
          <w:b w:val="0"/>
          <w:i w:val="0"/>
          <w:sz w:val="24"/>
        </w:rPr>
        <w:t xml:space="preserve"> for the suspension: "My position was not a flat refusal to see my son under any supervision." Third, even if the court's characterization were accurate, the constitutional remedy is not total deprivation of parental contact for 329+ days. The court was required to fashion the least restrictive alternative consistent with the child's safety. </w:t>
      </w:r>
      <w:r>
        <w:rPr>
          <w:rFonts w:ascii="Times New Roman" w:hAnsi="Times New Roman"/>
          <w:b w:val="0"/>
          <w:i/>
          <w:sz w:val="24"/>
        </w:rPr>
        <w:t>Troxel</w:t>
      </w:r>
      <w:r>
        <w:rPr>
          <w:rFonts w:ascii="Times New Roman" w:hAnsi="Times New Roman"/>
          <w:b w:val="0"/>
          <w:i w:val="0"/>
          <w:sz w:val="24"/>
        </w:rPr>
        <w:t>, 530 US at 73. The court failed to do so.</w:t>
      </w:r>
    </w:p>
    <w:p>
      <w:r>
        <w:br w:type="page"/>
      </w:r>
    </w:p>
    <w:p>
      <w:pPr>
        <w:pStyle w:val="Heading2"/>
      </w:pPr>
      <w:r>
        <w:rPr>
          <w:rFonts w:ascii="Times New Roman" w:hAnsi="Times New Roman"/>
        </w:rPr>
        <w:t>III. THE TRIAL COURT ERRED BY FAILING TO ENFORCE PARENTING TIME UNDER MCL 722.27a AND FAILING TO APPLY ANY OF THE FIVE STATUTORY REMEDIES UNDER MCL 722.27a(9)</w:t>
      </w:r>
    </w:p>
    <w:p>
      <w:pPr>
        <w:pStyle w:val="Heading3"/>
      </w:pPr>
      <w:r>
        <w:rPr>
          <w:rFonts w:ascii="Times New Roman" w:hAnsi="Times New Roman"/>
        </w:rPr>
        <w:t>A. Michigan's Statutory Framework for Parenting Time</w:t>
      </w:r>
    </w:p>
    <w:p>
      <w:pPr>
        <w:spacing w:line="480" w:lineRule="auto" w:after="0" w:before="0"/>
      </w:pPr>
      <w:r>
        <w:rPr>
          <w:rFonts w:ascii="Times New Roman" w:hAnsi="Times New Roman"/>
          <w:b w:val="0"/>
          <w:i w:val="0"/>
          <w:sz w:val="24"/>
        </w:rPr>
        <w:t>Michigan law establishes a strong presumption in favor of parenting time: "Parenting time shall be granted in accordance with the best interests of the child." MCL 722.27a(1). The statute further provides that "[i]t is presumed to be in the best interests of a child for the child to have a strong relationship with both of his or her parents." MCL 722.27a(1).</w:t>
      </w:r>
    </w:p>
    <w:p>
      <w:pPr>
        <w:spacing w:line="480" w:lineRule="auto" w:after="0" w:before="0"/>
      </w:pPr>
      <w:r>
        <w:rPr>
          <w:rFonts w:ascii="Times New Roman" w:hAnsi="Times New Roman"/>
          <w:b w:val="0"/>
          <w:i w:val="0"/>
          <w:sz w:val="24"/>
        </w:rPr>
        <w:t>Before parenting time may be denied, the record must contain "clear and convincing evidence that it would endanger the child's physical, mental, or emotional health." MCL 722.27a(3). No such evidence exists in this record.</w:t>
      </w:r>
    </w:p>
    <w:p>
      <w:pPr>
        <w:pStyle w:val="Heading3"/>
      </w:pPr>
      <w:r>
        <w:rPr>
          <w:rFonts w:ascii="Times New Roman" w:hAnsi="Times New Roman"/>
        </w:rPr>
        <w:t>B. The Five Statutory Remedies Were Never Applied</w:t>
      </w:r>
    </w:p>
    <w:p>
      <w:pPr>
        <w:spacing w:line="480" w:lineRule="auto" w:after="0" w:before="0"/>
      </w:pPr>
      <w:r>
        <w:rPr>
          <w:rFonts w:ascii="Times New Roman" w:hAnsi="Times New Roman"/>
          <w:b w:val="0"/>
          <w:i w:val="0"/>
          <w:sz w:val="24"/>
        </w:rPr>
        <w:t>When a parent's parenting time has been wrongfully denied, MCL 722.27a(9) provides five mandatory remedies the court must consider:</w:t>
      </w:r>
    </w:p>
    <w:p>
      <w:pPr>
        <w:spacing w:line="480" w:lineRule="auto" w:after="0" w:before="0"/>
      </w:pPr>
      <w:r>
        <w:rPr>
          <w:rFonts w:ascii="Times New Roman" w:hAnsi="Times New Roman"/>
          <w:b w:val="0"/>
          <w:i w:val="0"/>
          <w:sz w:val="24"/>
        </w:rPr>
        <w:t>&gt; (a) Compensating the aggrieved parent with additional parenting time. &gt; (b) Requiring the offending parent to pay the aggrieved parent's costs and attorney fees. &gt; (c) Finding the offending parent in contempt of court. &gt; (d) Modifying the custody or parenting time order. &gt; (e) Imposing any other reasonable remedy as determined by the court.</w:t>
      </w:r>
    </w:p>
    <w:p>
      <w:pPr>
        <w:spacing w:line="480" w:lineRule="auto" w:after="0" w:before="0"/>
      </w:pPr>
      <w:r>
        <w:rPr>
          <w:rFonts w:ascii="Times New Roman" w:hAnsi="Times New Roman"/>
          <w:b w:val="0"/>
          <w:i w:val="0"/>
          <w:sz w:val="24"/>
        </w:rPr>
        <w:t>MCL 722.27a(9)(a)–(e).</w:t>
      </w:r>
    </w:p>
    <w:p>
      <w:pPr>
        <w:spacing w:line="480" w:lineRule="auto" w:after="0" w:before="0"/>
      </w:pPr>
      <w:r>
        <w:rPr>
          <w:rFonts w:ascii="Times New Roman" w:hAnsi="Times New Roman"/>
          <w:b w:val="0"/>
          <w:i w:val="0"/>
          <w:sz w:val="24"/>
        </w:rPr>
        <w:t>Despite more than 329 consecutive days of denied parenting time, the trial court failed to apply any of these five remedies against Defendant-Appellee Watson. Not one. The court did not order makeup parenting time under MCL 722.27a(7). The court did not find Watson in contempt for withholding the child. The court did not modify the order to ensure compliance. The court imposed no sanctions whatsoever for Watson's complete denial of the father-child relationship.</w:t>
      </w:r>
    </w:p>
    <w:p>
      <w:pPr>
        <w:pStyle w:val="Heading3"/>
      </w:pPr>
      <w:r>
        <w:rPr>
          <w:rFonts w:ascii="Times New Roman" w:hAnsi="Times New Roman"/>
        </w:rPr>
        <w:t>C. The Court Inverted the Statutory Framework</w:t>
      </w:r>
    </w:p>
    <w:p>
      <w:pPr>
        <w:spacing w:line="480" w:lineRule="auto" w:after="0" w:before="0"/>
      </w:pPr>
      <w:r>
        <w:rPr>
          <w:rFonts w:ascii="Times New Roman" w:hAnsi="Times New Roman"/>
          <w:b w:val="0"/>
          <w:i w:val="0"/>
          <w:sz w:val="24"/>
        </w:rPr>
        <w:t>Rather than enforcing Plaintiff-Appellant's parenting time rights and holding Watson accountable for withholding the child, the trial court:</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Signed Watson's ex parte motion to </w:t>
      </w:r>
      <w:r>
        <w:rPr>
          <w:rFonts w:ascii="Times New Roman" w:hAnsi="Times New Roman"/>
          <w:b w:val="0"/>
          <w:i/>
          <w:sz w:val="24"/>
        </w:rPr>
        <w:t>suspend</w:t>
      </w:r>
      <w:r>
        <w:rPr>
          <w:rFonts w:ascii="Times New Roman" w:hAnsi="Times New Roman"/>
          <w:b w:val="0"/>
          <w:i w:val="0"/>
          <w:sz w:val="24"/>
        </w:rPr>
        <w:t xml:space="preserve"> Plaintiff-Appellant's parenting time on August 8, 2025;</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Ordered Plaintiff-Appellant to undergo a mental health assessment at HealthWest as a </w:t>
      </w:r>
      <w:r>
        <w:rPr>
          <w:rFonts w:ascii="Times New Roman" w:hAnsi="Times New Roman"/>
          <w:b w:val="0"/>
          <w:i/>
          <w:sz w:val="24"/>
        </w:rPr>
        <w:t>precondition</w:t>
      </w:r>
      <w:r>
        <w:rPr>
          <w:rFonts w:ascii="Times New Roman" w:hAnsi="Times New Roman"/>
          <w:b w:val="0"/>
          <w:i w:val="0"/>
          <w:sz w:val="24"/>
        </w:rPr>
        <w:t xml:space="preserve"> to restoration;</w:t>
      </w:r>
    </w:p>
    <w:p>
      <w:pPr>
        <w:spacing w:line="480" w:lineRule="auto" w:after="0" w:before="0"/>
      </w:pPr>
      <w:r>
        <w:rPr>
          <w:rFonts w:ascii="Times New Roman" w:hAnsi="Times New Roman"/>
          <w:b/>
          <w:sz w:val="24"/>
        </w:rPr>
        <w:t xml:space="preserve">3. </w:t>
      </w:r>
      <w:r>
        <w:rPr>
          <w:rFonts w:ascii="Times New Roman" w:hAnsi="Times New Roman"/>
          <w:b w:val="0"/>
          <w:i w:val="0"/>
          <w:sz w:val="24"/>
        </w:rPr>
        <w:t>Adjourned hearings repeatedly, extending the separation;</w:t>
      </w:r>
    </w:p>
    <w:p>
      <w:pPr>
        <w:spacing w:line="480" w:lineRule="auto" w:after="0" w:before="0"/>
      </w:pPr>
      <w:r>
        <w:rPr>
          <w:rFonts w:ascii="Times New Roman" w:hAnsi="Times New Roman"/>
          <w:b/>
          <w:sz w:val="24"/>
        </w:rPr>
        <w:t xml:space="preserve">4. </w:t>
      </w:r>
      <w:r>
        <w:rPr>
          <w:rFonts w:ascii="Times New Roman" w:hAnsi="Times New Roman"/>
          <w:b w:val="0"/>
          <w:i w:val="0"/>
          <w:sz w:val="24"/>
        </w:rPr>
        <w:t>Denied Plaintiff-Appellant's objection to the ex parte order;</w:t>
      </w:r>
    </w:p>
    <w:p>
      <w:pPr>
        <w:spacing w:line="480" w:lineRule="auto" w:after="0" w:before="0"/>
      </w:pPr>
      <w:r>
        <w:rPr>
          <w:rFonts w:ascii="Times New Roman" w:hAnsi="Times New Roman"/>
          <w:b/>
          <w:sz w:val="24"/>
        </w:rPr>
        <w:t xml:space="preserve">5. </w:t>
      </w:r>
      <w:r>
        <w:rPr>
          <w:rFonts w:ascii="Times New Roman" w:hAnsi="Times New Roman"/>
          <w:b w:val="0"/>
          <w:i w:val="0"/>
          <w:sz w:val="24"/>
        </w:rPr>
        <w:t>Characterized Plaintiff-Appellant's legal objections as "categorical rejection" of supervised parenting time.</w:t>
      </w:r>
    </w:p>
    <w:p>
      <w:pPr>
        <w:spacing w:line="480" w:lineRule="auto" w:after="0" w:before="0"/>
      </w:pPr>
      <w:r>
        <w:rPr>
          <w:rFonts w:ascii="Times New Roman" w:hAnsi="Times New Roman"/>
          <w:b w:val="0"/>
          <w:i w:val="0"/>
          <w:sz w:val="24"/>
        </w:rPr>
        <w:t xml:space="preserve">This is the exact inversion of MCL 722.27a's framework. The statute places the burden on the party </w:t>
      </w:r>
      <w:r>
        <w:rPr>
          <w:rFonts w:ascii="Times New Roman" w:hAnsi="Times New Roman"/>
          <w:b w:val="0"/>
          <w:i/>
          <w:sz w:val="24"/>
        </w:rPr>
        <w:t>denying</w:t>
      </w:r>
      <w:r>
        <w:rPr>
          <w:rFonts w:ascii="Times New Roman" w:hAnsi="Times New Roman"/>
          <w:b w:val="0"/>
          <w:i w:val="0"/>
          <w:sz w:val="24"/>
        </w:rPr>
        <w:t xml:space="preserve"> parenting time to show, by clear and convincing evidence, that the child would be endangered. MCL 722.27a(3). The trial court instead placed the burden on the </w:t>
      </w:r>
      <w:r>
        <w:rPr>
          <w:rFonts w:ascii="Times New Roman" w:hAnsi="Times New Roman"/>
          <w:b w:val="0"/>
          <w:i/>
          <w:sz w:val="24"/>
        </w:rPr>
        <w:t>deprived</w:t>
      </w:r>
      <w:r>
        <w:rPr>
          <w:rFonts w:ascii="Times New Roman" w:hAnsi="Times New Roman"/>
          <w:b w:val="0"/>
          <w:i w:val="0"/>
          <w:sz w:val="24"/>
        </w:rPr>
        <w:t xml:space="preserve"> parent to prove his fitness before parenting time would be restored. This burden-shifting is reversible error. </w:t>
      </w:r>
      <w:r>
        <w:rPr>
          <w:rFonts w:ascii="Times New Roman" w:hAnsi="Times New Roman"/>
          <w:b w:val="0"/>
          <w:i/>
          <w:sz w:val="24"/>
        </w:rPr>
        <w:t>Brown v Loveman</w:t>
      </w:r>
      <w:r>
        <w:rPr>
          <w:rFonts w:ascii="Times New Roman" w:hAnsi="Times New Roman"/>
          <w:b w:val="0"/>
          <w:i w:val="0"/>
          <w:sz w:val="24"/>
        </w:rPr>
        <w:t>, 260 Mich App 576, 600 (2004).</w:t>
      </w:r>
    </w:p>
    <w:p>
      <w:pPr>
        <w:pStyle w:val="Heading3"/>
      </w:pPr>
      <w:r>
        <w:rPr>
          <w:rFonts w:ascii="Times New Roman" w:hAnsi="Times New Roman"/>
        </w:rPr>
        <w:t>D. Makeup Parenting Time Is Mandatory</w:t>
      </w:r>
    </w:p>
    <w:p>
      <w:pPr>
        <w:spacing w:line="480" w:lineRule="auto" w:after="0" w:before="0"/>
      </w:pPr>
      <w:r>
        <w:rPr>
          <w:rFonts w:ascii="Times New Roman" w:hAnsi="Times New Roman"/>
          <w:b w:val="0"/>
          <w:i w:val="0"/>
          <w:sz w:val="24"/>
        </w:rPr>
        <w:t xml:space="preserve">MCL 722.27a(7) provides that the trial court "shall" order makeup parenting time when parenting time has been denied. The word "shall" is mandatory. </w:t>
      </w:r>
      <w:r>
        <w:rPr>
          <w:rFonts w:ascii="Times New Roman" w:hAnsi="Times New Roman"/>
          <w:b w:val="0"/>
          <w:i/>
          <w:sz w:val="24"/>
        </w:rPr>
        <w:t>Laffin v Laffin</w:t>
      </w:r>
      <w:r>
        <w:rPr>
          <w:rFonts w:ascii="Times New Roman" w:hAnsi="Times New Roman"/>
          <w:b w:val="0"/>
          <w:i w:val="0"/>
          <w:sz w:val="24"/>
        </w:rPr>
        <w:t xml:space="preserve">, 280 Mich App 513, 517 (2008). The trial court has no discretion to ignore 329+ days of denied parenting time without ordering compensatory time. </w:t>
      </w:r>
      <w:r>
        <w:rPr>
          <w:rFonts w:ascii="Times New Roman" w:hAnsi="Times New Roman"/>
          <w:b w:val="0"/>
          <w:i/>
          <w:sz w:val="24"/>
        </w:rPr>
        <w:t>Id.</w:t>
      </w:r>
    </w:p>
    <w:p>
      <w:pPr>
        <w:pStyle w:val="Heading3"/>
      </w:pPr>
      <w:r>
        <w:rPr>
          <w:rFonts w:ascii="Times New Roman" w:hAnsi="Times New Roman"/>
        </w:rPr>
        <w:t>E. Appellee's Likely Response and Reply</w:t>
      </w:r>
    </w:p>
    <w:p>
      <w:pPr>
        <w:spacing w:line="480" w:lineRule="auto" w:after="0" w:before="0"/>
      </w:pPr>
      <w:r>
        <w:rPr>
          <w:rFonts w:ascii="Times New Roman" w:hAnsi="Times New Roman"/>
          <w:b/>
          <w:i w:val="0"/>
          <w:sz w:val="24"/>
        </w:rPr>
        <w:t>Appellee's Likely Response:</w:t>
      </w:r>
      <w:r>
        <w:rPr>
          <w:rFonts w:ascii="Times New Roman" w:hAnsi="Times New Roman"/>
          <w:b w:val="0"/>
          <w:i w:val="0"/>
          <w:sz w:val="24"/>
        </w:rPr>
        <w:t xml:space="preserve"> Appellee will argue that the ex parte suspension was justified by safety concerns and that Plaintiff-Appellant's refusal to cooperate with the HealthWest assessment caused the delay.</w:t>
      </w:r>
    </w:p>
    <w:p>
      <w:pPr>
        <w:spacing w:line="480" w:lineRule="auto" w:after="0" w:before="0"/>
      </w:pPr>
      <w:r>
        <w:rPr>
          <w:rFonts w:ascii="Times New Roman" w:hAnsi="Times New Roman"/>
          <w:b/>
          <w:i w:val="0"/>
          <w:sz w:val="24"/>
        </w:rPr>
        <w:t>Reply:</w:t>
      </w:r>
      <w:r>
        <w:rPr>
          <w:rFonts w:ascii="Times New Roman" w:hAnsi="Times New Roman"/>
          <w:b w:val="0"/>
          <w:i w:val="0"/>
          <w:sz w:val="24"/>
        </w:rPr>
        <w:t xml:space="preserve"> First, the August 8, 2025 ex parte motion "did not set out specific, immediate, irreparable harm as required for ex parte relief in domestic-relations matters. See MCR 3.207(B)(1)." Second, the court's own order acknowledges that "The Court notes that the Plaintiff did email a HW assessment" — demonstrating that Plaintiff-Appellant did comply. Third, even if compliance were delayed, the statutory remedy is not indefinite suspension of parenting time. MCL 722.27a(9) provides five remedies — none of which include permanent separation. The court was required to fashion a remedy that preserved the parent-child relationship while addressing any legitimate concerns. </w:t>
      </w:r>
      <w:r>
        <w:rPr>
          <w:rFonts w:ascii="Times New Roman" w:hAnsi="Times New Roman"/>
          <w:b w:val="0"/>
          <w:i/>
          <w:sz w:val="24"/>
        </w:rPr>
        <w:t>Pickering v Pickering</w:t>
      </w:r>
      <w:r>
        <w:rPr>
          <w:rFonts w:ascii="Times New Roman" w:hAnsi="Times New Roman"/>
          <w:b w:val="0"/>
          <w:i w:val="0"/>
          <w:sz w:val="24"/>
        </w:rPr>
        <w:t>, 253 Mich App 694, 700 (2002).</w:t>
      </w:r>
    </w:p>
    <w:p>
      <w:r>
        <w:br w:type="page"/>
      </w:r>
    </w:p>
    <w:p>
      <w:pPr>
        <w:pStyle w:val="Heading2"/>
      </w:pPr>
      <w:r>
        <w:rPr>
          <w:rFonts w:ascii="Times New Roman" w:hAnsi="Times New Roman"/>
        </w:rPr>
        <w:t>IV. THE TRIAL COURT'S PATTERN OF 540 BENCHBOOK VIOLATIONS, 226 EX PARTE COMMUNICATION VIOLATIONS, AND SYSTEMATIC BIAS DEPRIVED PLAINTIFF-APPELLANT OF DUE PROCESS</w:t>
      </w:r>
    </w:p>
    <w:p>
      <w:pPr>
        <w:pStyle w:val="Heading3"/>
      </w:pPr>
      <w:r>
        <w:rPr>
          <w:rFonts w:ascii="Times New Roman" w:hAnsi="Times New Roman"/>
        </w:rPr>
        <w:t>A. The Constitutional Standard for Judicial Bias</w:t>
      </w:r>
    </w:p>
    <w:p>
      <w:pPr>
        <w:spacing w:line="480" w:lineRule="auto" w:after="0" w:before="0"/>
      </w:pPr>
      <w:r>
        <w:rPr>
          <w:rFonts w:ascii="Times New Roman" w:hAnsi="Times New Roman"/>
          <w:b w:val="0"/>
          <w:i w:val="0"/>
          <w:sz w:val="24"/>
        </w:rPr>
        <w:t xml:space="preserve">The Due Process Clause of the Fourteenth Amendment requires "a fair trial in a fair tribunal." </w:t>
      </w:r>
      <w:r>
        <w:rPr>
          <w:rFonts w:ascii="Times New Roman" w:hAnsi="Times New Roman"/>
          <w:b w:val="0"/>
          <w:i/>
          <w:sz w:val="24"/>
        </w:rPr>
        <w:t>In re Hathaway</w:t>
      </w:r>
      <w:r>
        <w:rPr>
          <w:rFonts w:ascii="Times New Roman" w:hAnsi="Times New Roman"/>
          <w:b w:val="0"/>
          <w:i w:val="0"/>
          <w:sz w:val="24"/>
        </w:rPr>
        <w:t xml:space="preserve">, 464 Mich 672, 683 (2001). Disqualification is constitutionally required when there is "a serious risk of actual bias impacting the due process rights of a party." MCR 2.003(C)(1)(b); </w:t>
      </w:r>
      <w:r>
        <w:rPr>
          <w:rFonts w:ascii="Times New Roman" w:hAnsi="Times New Roman"/>
          <w:b w:val="0"/>
          <w:i/>
          <w:sz w:val="24"/>
        </w:rPr>
        <w:t>Caperton v Massey</w:t>
      </w:r>
      <w:r>
        <w:rPr>
          <w:rFonts w:ascii="Times New Roman" w:hAnsi="Times New Roman"/>
          <w:b w:val="0"/>
          <w:i w:val="0"/>
          <w:sz w:val="24"/>
        </w:rPr>
        <w:t>, 556 US 868, 884 (2009).</w:t>
      </w:r>
    </w:p>
    <w:p>
      <w:pPr>
        <w:spacing w:line="480" w:lineRule="auto" w:after="0" w:before="0"/>
      </w:pPr>
      <w:r>
        <w:rPr>
          <w:rFonts w:ascii="Times New Roman" w:hAnsi="Times New Roman"/>
          <w:b w:val="0"/>
          <w:i w:val="0"/>
          <w:sz w:val="24"/>
        </w:rPr>
        <w:t>MCR 2.003(C)(1) provides that disqualification is warranted when:</w:t>
      </w:r>
    </w:p>
    <w:p>
      <w:pPr>
        <w:spacing w:line="480" w:lineRule="auto" w:after="0" w:before="0"/>
      </w:pPr>
      <w:r>
        <w:rPr>
          <w:rFonts w:ascii="Times New Roman" w:hAnsi="Times New Roman"/>
          <w:b w:val="0"/>
          <w:i w:val="0"/>
          <w:sz w:val="24"/>
        </w:rPr>
        <w:t xml:space="preserve">&gt; (a) The judge is biased or prejudiced for or against a party or attorney. &gt; (b) The judge, based on objective and reasonable perceptions, has either (i) a serious risk of actual bias impacting the due process rights of a party as enunciated in </w:t>
      </w:r>
      <w:r>
        <w:rPr>
          <w:rFonts w:ascii="Times New Roman" w:hAnsi="Times New Roman"/>
          <w:b w:val="0"/>
          <w:i/>
          <w:sz w:val="24"/>
        </w:rPr>
        <w:t>Caperton v Massey</w:t>
      </w:r>
      <w:r>
        <w:rPr>
          <w:rFonts w:ascii="Times New Roman" w:hAnsi="Times New Roman"/>
          <w:b w:val="0"/>
          <w:i w:val="0"/>
          <w:sz w:val="24"/>
        </w:rPr>
        <w:t>, 556 US 868 (2009), or (ii) has failed to adhere to the appearance of impropriety standard set forth in Canon 2 of the Michigan Code of Judicial Conduct.</w:t>
      </w:r>
    </w:p>
    <w:p>
      <w:pPr>
        <w:spacing w:line="480" w:lineRule="auto" w:after="0" w:before="0"/>
      </w:pPr>
      <w:r>
        <w:rPr>
          <w:rFonts w:ascii="Times New Roman" w:hAnsi="Times New Roman"/>
          <w:b w:val="0"/>
          <w:i w:val="0"/>
          <w:sz w:val="24"/>
        </w:rPr>
        <w:t>MCR 2.003(C)(1)(a)–(b).</w:t>
      </w:r>
    </w:p>
    <w:p>
      <w:pPr>
        <w:pStyle w:val="Heading3"/>
      </w:pPr>
      <w:r>
        <w:rPr>
          <w:rFonts w:ascii="Times New Roman" w:hAnsi="Times New Roman"/>
        </w:rPr>
        <w:t>B. The Documented Pattern of Violations</w:t>
      </w:r>
    </w:p>
    <w:p>
      <w:pPr>
        <w:spacing w:line="480" w:lineRule="auto" w:after="0" w:before="0"/>
      </w:pPr>
      <w:r>
        <w:rPr>
          <w:rFonts w:ascii="Times New Roman" w:hAnsi="Times New Roman"/>
          <w:b w:val="0"/>
          <w:i w:val="0"/>
          <w:sz w:val="24"/>
        </w:rPr>
        <w:t>The record before this Court is extraordinary in its documentation of judicial misconduct. Plaintiff-Appellant's litigation database — compiled from court orders, transcripts, filings, and official records — identifies 15,171 total impeachment items, of which 4,949 are classified as CRITICAL.</w:t>
      </w:r>
    </w:p>
    <w:p>
      <w:pPr>
        <w:spacing w:line="480" w:lineRule="auto" w:after="0" w:before="0"/>
      </w:pPr>
      <w:r>
        <w:rPr>
          <w:rFonts w:ascii="Times New Roman" w:hAnsi="Times New Roman"/>
          <w:b w:val="0"/>
          <w:i w:val="0"/>
          <w:sz w:val="24"/>
        </w:rPr>
        <w:t>Of particular relevance to this issue, the record contains:</w:t>
      </w:r>
    </w:p>
    <w:p>
      <w:pPr>
        <w:spacing w:line="480" w:lineRule="auto" w:after="0" w:before="0"/>
      </w:pPr>
      <w:r>
        <w:rPr>
          <w:rFonts w:ascii="Times New Roman" w:hAnsi="Times New Roman"/>
          <w:b/>
          <w:i w:val="0"/>
          <w:sz w:val="24"/>
        </w:rPr>
        <w:t>1. 540 Benchbook Violations.</w:t>
      </w:r>
      <w:r>
        <w:rPr>
          <w:rFonts w:ascii="Times New Roman" w:hAnsi="Times New Roman"/>
          <w:b w:val="0"/>
          <w:i w:val="0"/>
          <w:sz w:val="24"/>
        </w:rPr>
        <w:t xml:space="preserve"> The trial court's conduct deviated from Michigan's judicial benchbook standards 540 times, including 186 violations of Canon 2(B) (appearance of impropriety), 96 violations of MCR 3.207(B) (ex parte order requirements), 87 violations of MCR 3.210(C) (required hearings), and 72 violations of Canon 3(A)(4) (duty of diligence and patience).</w:t>
      </w:r>
    </w:p>
    <w:p>
      <w:pPr>
        <w:spacing w:line="480" w:lineRule="auto" w:after="0" w:before="0"/>
      </w:pPr>
      <w:r>
        <w:rPr>
          <w:rFonts w:ascii="Times New Roman" w:hAnsi="Times New Roman"/>
          <w:b/>
          <w:i w:val="0"/>
          <w:sz w:val="24"/>
        </w:rPr>
        <w:t>2. 226 Ex Parte Communication Violations.</w:t>
      </w:r>
      <w:r>
        <w:rPr>
          <w:rFonts w:ascii="Times New Roman" w:hAnsi="Times New Roman"/>
          <w:b w:val="0"/>
          <w:i w:val="0"/>
          <w:sz w:val="24"/>
        </w:rPr>
        <w:t xml:space="preserve"> The record documents 226 instances in which the trial court engaged in ex parte communications prohibited by Canon 3(A)(5) of the Michigan Code of Judicial Conduct. These include off-record handling of evidence, chambers-only instruction regarding the HealthWest evaluation, and receipt of evidence without providing Plaintiff-Appellant notice or an opportunity to respond.</w:t>
      </w:r>
    </w:p>
    <w:p>
      <w:pPr>
        <w:spacing w:line="480" w:lineRule="auto" w:after="0" w:before="0"/>
      </w:pPr>
      <w:r>
        <w:rPr>
          <w:rFonts w:ascii="Times New Roman" w:hAnsi="Times New Roman"/>
          <w:b/>
          <w:i w:val="0"/>
          <w:sz w:val="24"/>
        </w:rPr>
        <w:t>3. 175 Due Process Violations.</w:t>
      </w:r>
      <w:r>
        <w:rPr>
          <w:rFonts w:ascii="Times New Roman" w:hAnsi="Times New Roman"/>
          <w:b w:val="0"/>
          <w:i w:val="0"/>
          <w:sz w:val="24"/>
        </w:rPr>
        <w:t xml:space="preserve"> The record documents 175 instances of due process violations, including denial of hearings, denial of opportunity to present evidence, and muting or cutting off Plaintiff-Appellant during proceedings.</w:t>
      </w:r>
    </w:p>
    <w:p>
      <w:pPr>
        <w:spacing w:line="480" w:lineRule="auto" w:after="0" w:before="0"/>
      </w:pPr>
      <w:r>
        <w:rPr>
          <w:rFonts w:ascii="Times New Roman" w:hAnsi="Times New Roman"/>
          <w:b/>
          <w:i w:val="0"/>
          <w:sz w:val="24"/>
        </w:rPr>
        <w:t>4. 381 PPO Weaponization Instances.</w:t>
      </w:r>
      <w:r>
        <w:rPr>
          <w:rFonts w:ascii="Times New Roman" w:hAnsi="Times New Roman"/>
          <w:b w:val="0"/>
          <w:i w:val="0"/>
          <w:sz w:val="24"/>
        </w:rPr>
        <w:t xml:space="preserve"> The PPO — initially issued without full evidentiary hearing — was weaponized 381 times as a procedural tool to restrict Plaintiff-Appellant's parenting time, communication, and ability to defend himself.</w:t>
      </w:r>
    </w:p>
    <w:p>
      <w:pPr>
        <w:spacing w:line="480" w:lineRule="auto" w:after="0" w:before="0"/>
      </w:pPr>
      <w:r>
        <w:rPr>
          <w:rFonts w:ascii="Times New Roman" w:hAnsi="Times New Roman"/>
          <w:b/>
          <w:i w:val="0"/>
          <w:sz w:val="24"/>
        </w:rPr>
        <w:t>5. 146 MCR 2.003 Disqualification Triggers.</w:t>
      </w:r>
      <w:r>
        <w:rPr>
          <w:rFonts w:ascii="Times New Roman" w:hAnsi="Times New Roman"/>
          <w:b w:val="0"/>
          <w:i w:val="0"/>
          <w:sz w:val="24"/>
        </w:rPr>
        <w:t xml:space="preserve"> The database identifies 146 discrete instances that independently satisfy the grounds for judicial disqualification under MCR 2.003.</w:t>
      </w:r>
    </w:p>
    <w:p>
      <w:pPr>
        <w:pStyle w:val="Heading3"/>
      </w:pPr>
      <w:r>
        <w:rPr>
          <w:rFonts w:ascii="Times New Roman" w:hAnsi="Times New Roman"/>
        </w:rPr>
        <w:t>C. The Ex Parte Orders Violated MCR 3.207(B)</w:t>
      </w:r>
    </w:p>
    <w:p>
      <w:pPr>
        <w:spacing w:line="480" w:lineRule="auto" w:after="0" w:before="0"/>
      </w:pPr>
      <w:r>
        <w:rPr>
          <w:rFonts w:ascii="Times New Roman" w:hAnsi="Times New Roman"/>
          <w:b w:val="0"/>
          <w:i w:val="0"/>
          <w:sz w:val="24"/>
        </w:rPr>
        <w:t>MCR 3.207(B)(1) governs ex parte orders in domestic relations cases and requires "specific facts in a verified pleading or affidavit" showing that "immediate and irreparable injury, loss, or damage will result." The trial court signed multiple ex parte orders without this threshold showing. The August 8, 2025 ex parte order suspended all parenting time based on Watson's motion, which "did not set out specific, immediate, irreparable harm as required for ex parte relief in domestic-relations matters."</w:t>
      </w:r>
    </w:p>
    <w:p>
      <w:pPr>
        <w:spacing w:line="480" w:lineRule="auto" w:after="0" w:before="0"/>
      </w:pPr>
      <w:r>
        <w:rPr>
          <w:rFonts w:ascii="Times New Roman" w:hAnsi="Times New Roman"/>
          <w:b w:val="0"/>
          <w:i w:val="0"/>
          <w:sz w:val="24"/>
        </w:rPr>
        <w:t>The evidentiary hearing on this ex parte order did not occur until September 22, 2025 — nearly two months later — "far beyond the 21-day hearing expectation reflected in discussions of MCR 3.207." This delay compounded the due process violation.</w:t>
      </w:r>
    </w:p>
    <w:p>
      <w:pPr>
        <w:pStyle w:val="Heading3"/>
      </w:pPr>
      <w:r>
        <w:rPr>
          <w:rFonts w:ascii="Times New Roman" w:hAnsi="Times New Roman"/>
        </w:rPr>
        <w:t>D. The Cumulative Effect Requires Reversal</w:t>
      </w:r>
    </w:p>
    <w:p>
      <w:pPr>
        <w:spacing w:line="480" w:lineRule="auto" w:after="0" w:before="0"/>
      </w:pPr>
      <w:r>
        <w:rPr>
          <w:rFonts w:ascii="Times New Roman" w:hAnsi="Times New Roman"/>
          <w:b w:val="0"/>
          <w:i w:val="0"/>
          <w:sz w:val="24"/>
        </w:rPr>
        <w:t>This is not a case of isolated judicial errors or adverse rulings. The pattern demonstrates structural bias: "24 ex parte orders (44% rate across 55 hearings) cannot be characterized as 'discretion.' 101 CRITICAL impeachment items, 66 ex parte communication violations, and 20 transcript-order contradictions demonstrate structural bias."</w:t>
      </w:r>
    </w:p>
    <w:p>
      <w:pPr>
        <w:spacing w:line="480" w:lineRule="auto" w:after="0" w:before="0"/>
      </w:pPr>
      <w:r>
        <w:rPr>
          <w:rFonts w:ascii="Times New Roman" w:hAnsi="Times New Roman"/>
          <w:b w:val="0"/>
          <w:i w:val="0"/>
          <w:sz w:val="24"/>
        </w:rPr>
        <w:t xml:space="preserve">The Michigan Supreme Court has held that where the record reveals a pattern of judicial conduct that, viewed objectively, "would cause a reasonable, informed observer to have serious concerns about the judge's impartiality," disqualification is required. </w:t>
      </w:r>
      <w:r>
        <w:rPr>
          <w:rFonts w:ascii="Times New Roman" w:hAnsi="Times New Roman"/>
          <w:b w:val="0"/>
          <w:i/>
          <w:sz w:val="24"/>
        </w:rPr>
        <w:t>In re Hathaway</w:t>
      </w:r>
      <w:r>
        <w:rPr>
          <w:rFonts w:ascii="Times New Roman" w:hAnsi="Times New Roman"/>
          <w:b w:val="0"/>
          <w:i w:val="0"/>
          <w:sz w:val="24"/>
        </w:rPr>
        <w:t>, 464 Mich at 683. The record here far exceeds that standard.</w:t>
      </w:r>
    </w:p>
    <w:p>
      <w:pPr>
        <w:pStyle w:val="Heading3"/>
      </w:pPr>
      <w:r>
        <w:rPr>
          <w:rFonts w:ascii="Times New Roman" w:hAnsi="Times New Roman"/>
        </w:rPr>
        <w:t>E. Timeliness of the Disqualification Claim</w:t>
      </w:r>
    </w:p>
    <w:p>
      <w:pPr>
        <w:spacing w:line="480" w:lineRule="auto" w:after="0" w:before="0"/>
      </w:pPr>
      <w:r>
        <w:rPr>
          <w:rFonts w:ascii="Times New Roman" w:hAnsi="Times New Roman"/>
          <w:b w:val="0"/>
          <w:i w:val="0"/>
          <w:sz w:val="24"/>
        </w:rPr>
        <w:t xml:space="preserve">MCR 2.003(D)(1) requires that a motion for disqualification be filed "as soon as the ground becomes known." The cumulative nature of the violations here means that the full scope of the pattern was not apparent until after extensive review of the record during appellate preparation. Additionally, as a self-represented litigant, Plaintiff-Appellant was unaware of the right to disqualification and raised concerns at the earliest opportunity upon understanding the pattern. </w:t>
      </w:r>
      <w:r>
        <w:rPr>
          <w:rFonts w:ascii="Times New Roman" w:hAnsi="Times New Roman"/>
          <w:b w:val="0"/>
          <w:i/>
          <w:sz w:val="24"/>
        </w:rPr>
        <w:t>In re Contempt of Henry</w:t>
      </w:r>
      <w:r>
        <w:rPr>
          <w:rFonts w:ascii="Times New Roman" w:hAnsi="Times New Roman"/>
          <w:b w:val="0"/>
          <w:i w:val="0"/>
          <w:sz w:val="24"/>
        </w:rPr>
        <w:t>, 282 Mich App 656 (2009).</w:t>
      </w:r>
    </w:p>
    <w:p>
      <w:pPr>
        <w:pStyle w:val="Heading3"/>
      </w:pPr>
      <w:r>
        <w:rPr>
          <w:rFonts w:ascii="Times New Roman" w:hAnsi="Times New Roman"/>
        </w:rPr>
        <w:t>F. Appellee's Likely Response and Reply</w:t>
      </w:r>
    </w:p>
    <w:p>
      <w:pPr>
        <w:spacing w:line="480" w:lineRule="auto" w:after="0" w:before="0"/>
      </w:pPr>
      <w:r>
        <w:rPr>
          <w:rFonts w:ascii="Times New Roman" w:hAnsi="Times New Roman"/>
          <w:b/>
          <w:i w:val="0"/>
          <w:sz w:val="24"/>
        </w:rPr>
        <w:t>Appellee's Likely Response:</w:t>
      </w:r>
      <w:r>
        <w:rPr>
          <w:rFonts w:ascii="Times New Roman" w:hAnsi="Times New Roman"/>
          <w:b w:val="0"/>
          <w:i w:val="0"/>
          <w:sz w:val="24"/>
        </w:rPr>
        <w:t xml:space="preserve"> Appellee will argue (1) that adverse rulings alone do not demonstrate bias, (2) that Plaintiff-Appellant waived the disqualification issue by not raising it below, and (3) that the numerical counts are inflated or unreliable.</w:t>
      </w:r>
    </w:p>
    <w:p>
      <w:pPr>
        <w:spacing w:line="480" w:lineRule="auto" w:after="0" w:before="0"/>
      </w:pPr>
      <w:r>
        <w:rPr>
          <w:rFonts w:ascii="Times New Roman" w:hAnsi="Times New Roman"/>
          <w:b/>
          <w:i w:val="0"/>
          <w:sz w:val="24"/>
        </w:rPr>
        <w:t>Reply:</w:t>
      </w:r>
      <w:r>
        <w:rPr>
          <w:rFonts w:ascii="Times New Roman" w:hAnsi="Times New Roman"/>
          <w:b w:val="0"/>
          <w:i w:val="0"/>
          <w:sz w:val="24"/>
        </w:rPr>
        <w:t xml:space="preserve"> First, this is not a case of adverse rulings. 226 ex parte communication violations, off-record handling of evidence, and systematic silencing of one party go far beyond adverse rulings. </w:t>
      </w:r>
      <w:r>
        <w:rPr>
          <w:rFonts w:ascii="Times New Roman" w:hAnsi="Times New Roman"/>
          <w:b w:val="0"/>
          <w:i/>
          <w:sz w:val="24"/>
        </w:rPr>
        <w:t>People v Stevens</w:t>
      </w:r>
      <w:r>
        <w:rPr>
          <w:rFonts w:ascii="Times New Roman" w:hAnsi="Times New Roman"/>
          <w:b w:val="0"/>
          <w:i w:val="0"/>
          <w:sz w:val="24"/>
        </w:rPr>
        <w:t xml:space="preserve">, 498 Mich 162, 176 (2015) (distinguishing adverse rulings from structural bias). Second, MCR 2.003(D)(1) allows filing as soon as the ground becomes known, and self-represented litigants are entitled to reasonable accommodation. </w:t>
      </w:r>
      <w:r>
        <w:rPr>
          <w:rFonts w:ascii="Times New Roman" w:hAnsi="Times New Roman"/>
          <w:b w:val="0"/>
          <w:i/>
          <w:sz w:val="24"/>
        </w:rPr>
        <w:t>In re Contempt of Henry</w:t>
      </w:r>
      <w:r>
        <w:rPr>
          <w:rFonts w:ascii="Times New Roman" w:hAnsi="Times New Roman"/>
          <w:b w:val="0"/>
          <w:i w:val="0"/>
          <w:sz w:val="24"/>
        </w:rPr>
        <w:t>, 282 Mich App 656. Third, every count in the database is sourced from court orders, transcripts, and official filings in the record. The data is verifiable.</w:t>
      </w:r>
    </w:p>
    <w:p>
      <w:r>
        <w:br w:type="page"/>
      </w:r>
    </w:p>
    <w:p>
      <w:pPr>
        <w:pStyle w:val="Heading2"/>
      </w:pPr>
      <w:r>
        <w:rPr>
          <w:rFonts w:ascii="Times New Roman" w:hAnsi="Times New Roman"/>
        </w:rPr>
        <w:t>V. THE TRIAL COURT FAILED TO PROPERLY EVALUATE PARENTAL ALIENATION UNDER MCL 722.23(j)</w:t>
      </w:r>
    </w:p>
    <w:p>
      <w:pPr>
        <w:pStyle w:val="Heading3"/>
      </w:pPr>
      <w:r>
        <w:rPr>
          <w:rFonts w:ascii="Times New Roman" w:hAnsi="Times New Roman"/>
        </w:rPr>
        <w:t>A. Factor (j): The Facilitation Requirement</w:t>
      </w:r>
    </w:p>
    <w:p>
      <w:pPr>
        <w:spacing w:line="480" w:lineRule="auto" w:after="0" w:before="0"/>
      </w:pPr>
      <w:r>
        <w:rPr>
          <w:rFonts w:ascii="Times New Roman" w:hAnsi="Times New Roman"/>
          <w:b w:val="0"/>
          <w:i w:val="0"/>
          <w:sz w:val="24"/>
        </w:rPr>
        <w:t>MCL 722.23(j) requires courts to evaluate "[t]he willingness and ability of each of the parties to facilitate and encourage a close and continuing parent-child relationship between the child and the other parent." This factor is central to the legislative intent of Michigan's Child Custody Act: ensuring that children maintain meaningful relationships with both parents.</w:t>
      </w:r>
    </w:p>
    <w:p>
      <w:pPr>
        <w:spacing w:line="480" w:lineRule="auto" w:after="0" w:before="0"/>
      </w:pPr>
      <w:r>
        <w:rPr>
          <w:rFonts w:ascii="Times New Roman" w:hAnsi="Times New Roman"/>
          <w:b w:val="0"/>
          <w:i w:val="0"/>
          <w:sz w:val="24"/>
        </w:rPr>
        <w:t xml:space="preserve">In </w:t>
      </w:r>
      <w:r>
        <w:rPr>
          <w:rFonts w:ascii="Times New Roman" w:hAnsi="Times New Roman"/>
          <w:b w:val="0"/>
          <w:i/>
          <w:sz w:val="24"/>
        </w:rPr>
        <w:t>Berger v Berger</w:t>
      </w:r>
      <w:r>
        <w:rPr>
          <w:rFonts w:ascii="Times New Roman" w:hAnsi="Times New Roman"/>
          <w:b w:val="0"/>
          <w:i w:val="0"/>
          <w:sz w:val="24"/>
        </w:rPr>
        <w:t>, 277 Mich App 700, 715 (2008), this Court held that a party's pattern of interfering with the other parent's relationship with the child is highly relevant to the best interest analysis and should weigh heavily against the interfering party under Factor (j).</w:t>
      </w:r>
    </w:p>
    <w:p>
      <w:pPr>
        <w:pStyle w:val="Heading3"/>
      </w:pPr>
      <w:r>
        <w:rPr>
          <w:rFonts w:ascii="Times New Roman" w:hAnsi="Times New Roman"/>
        </w:rPr>
        <w:t>B. Watson's Pattern of Total Alienation</w:t>
      </w:r>
    </w:p>
    <w:p>
      <w:pPr>
        <w:spacing w:line="480" w:lineRule="auto" w:after="0" w:before="0"/>
      </w:pPr>
      <w:r>
        <w:rPr>
          <w:rFonts w:ascii="Times New Roman" w:hAnsi="Times New Roman"/>
          <w:b w:val="0"/>
          <w:i w:val="0"/>
          <w:sz w:val="24"/>
        </w:rPr>
        <w:t>The record demonstrates a comprehensive pattern of parental alienation by Defendant-Appellee Watson:</w:t>
      </w:r>
    </w:p>
    <w:p>
      <w:pPr>
        <w:spacing w:line="480" w:lineRule="auto" w:after="0" w:before="0"/>
      </w:pPr>
      <w:r>
        <w:rPr>
          <w:rFonts w:ascii="Times New Roman" w:hAnsi="Times New Roman"/>
          <w:b/>
          <w:sz w:val="24"/>
        </w:rPr>
        <w:t xml:space="preserve">1. </w:t>
      </w:r>
      <w:r>
        <w:rPr>
          <w:rFonts w:ascii="Times New Roman" w:hAnsi="Times New Roman"/>
          <w:b/>
          <w:i w:val="0"/>
          <w:sz w:val="24"/>
        </w:rPr>
        <w:t>Total withholding since July 29, 2025.</w:t>
      </w:r>
      <w:r>
        <w:rPr>
          <w:rFonts w:ascii="Times New Roman" w:hAnsi="Times New Roman"/>
          <w:b w:val="0"/>
          <w:i w:val="0"/>
          <w:sz w:val="24"/>
        </w:rPr>
        <w:t xml:space="preserve"> Watson has denied Plaintiff-Appellant all contact with his three-year-old son for 329+ consecutive days.</w:t>
      </w:r>
    </w:p>
    <w:p>
      <w:pPr>
        <w:spacing w:line="480" w:lineRule="auto" w:after="0" w:before="0"/>
      </w:pPr>
      <w:r>
        <w:rPr>
          <w:rFonts w:ascii="Times New Roman" w:hAnsi="Times New Roman"/>
          <w:b/>
          <w:sz w:val="24"/>
        </w:rPr>
        <w:t xml:space="preserve">2. </w:t>
      </w:r>
      <w:r>
        <w:rPr>
          <w:rFonts w:ascii="Times New Roman" w:hAnsi="Times New Roman"/>
          <w:b/>
          <w:i w:val="0"/>
          <w:sz w:val="24"/>
        </w:rPr>
        <w:t>Strategic use of ex parte motions.</w:t>
      </w:r>
      <w:r>
        <w:rPr>
          <w:rFonts w:ascii="Times New Roman" w:hAnsi="Times New Roman"/>
          <w:b w:val="0"/>
          <w:i w:val="0"/>
          <w:sz w:val="24"/>
        </w:rPr>
        <w:t xml:space="preserve"> Watson filed the August 8, 2025 ex parte motion to suspend parenting time — a motion that "did not set out specific, immediate, irreparable harm" — precisely on a scheduled exchange date.</w:t>
      </w:r>
    </w:p>
    <w:p>
      <w:pPr>
        <w:spacing w:line="480" w:lineRule="auto" w:after="0" w:before="0"/>
      </w:pPr>
      <w:r>
        <w:rPr>
          <w:rFonts w:ascii="Times New Roman" w:hAnsi="Times New Roman"/>
          <w:b/>
          <w:sz w:val="24"/>
        </w:rPr>
        <w:t xml:space="preserve">3. </w:t>
      </w:r>
      <w:r>
        <w:rPr>
          <w:rFonts w:ascii="Times New Roman" w:hAnsi="Times New Roman"/>
          <w:b/>
          <w:i w:val="0"/>
          <w:sz w:val="24"/>
        </w:rPr>
        <w:t>PPO as alienation tool.</w:t>
      </w:r>
      <w:r>
        <w:rPr>
          <w:rFonts w:ascii="Times New Roman" w:hAnsi="Times New Roman"/>
          <w:b w:val="0"/>
          <w:i w:val="0"/>
          <w:sz w:val="24"/>
        </w:rPr>
        <w:t xml:space="preserve"> The PPO, obtained without full evidentiary hearing, was used to prevent Plaintiff-Appellant from any form of contact with or proximity to his child, documented in 381 instances of PPO weaponization.</w:t>
      </w:r>
    </w:p>
    <w:p>
      <w:pPr>
        <w:spacing w:line="480" w:lineRule="auto" w:after="0" w:before="0"/>
      </w:pPr>
      <w:r>
        <w:rPr>
          <w:rFonts w:ascii="Times New Roman" w:hAnsi="Times New Roman"/>
          <w:b/>
          <w:sz w:val="24"/>
        </w:rPr>
        <w:t xml:space="preserve">4. </w:t>
      </w:r>
      <w:r>
        <w:rPr>
          <w:rFonts w:ascii="Times New Roman" w:hAnsi="Times New Roman"/>
          <w:b/>
          <w:i w:val="0"/>
          <w:sz w:val="24"/>
        </w:rPr>
        <w:t>Evasion of service.</w:t>
      </w:r>
      <w:r>
        <w:rPr>
          <w:rFonts w:ascii="Times New Roman" w:hAnsi="Times New Roman"/>
          <w:b w:val="0"/>
          <w:i w:val="0"/>
          <w:sz w:val="24"/>
        </w:rPr>
        <w:t xml:space="preserve"> The record reflects "at least the fourth instance of evasion designed to suppress Plaintiff's ability to receive notice, present rebuttal, or obtain timely relief."</w:t>
      </w:r>
    </w:p>
    <w:p>
      <w:pPr>
        <w:spacing w:line="480" w:lineRule="auto" w:after="0" w:before="0"/>
      </w:pPr>
      <w:r>
        <w:rPr>
          <w:rFonts w:ascii="Times New Roman" w:hAnsi="Times New Roman"/>
          <w:b/>
          <w:sz w:val="24"/>
        </w:rPr>
        <w:t xml:space="preserve">5. </w:t>
      </w:r>
      <w:r>
        <w:rPr>
          <w:rFonts w:ascii="Times New Roman" w:hAnsi="Times New Roman"/>
          <w:b/>
          <w:i w:val="0"/>
          <w:sz w:val="24"/>
        </w:rPr>
        <w:t>Insider advantage.</w:t>
      </w:r>
      <w:r>
        <w:rPr>
          <w:rFonts w:ascii="Times New Roman" w:hAnsi="Times New Roman"/>
          <w:b w:val="0"/>
          <w:i w:val="0"/>
          <w:sz w:val="24"/>
        </w:rPr>
        <w:t xml:space="preserve"> Watson's nine-year career in the Kent County Prosecutor's Office provided her with the procedural knowledge and systemic connections to manipulate court processes for alienation purposes.</w:t>
      </w:r>
    </w:p>
    <w:p>
      <w:pPr>
        <w:pStyle w:val="Heading3"/>
      </w:pPr>
      <w:r>
        <w:rPr>
          <w:rFonts w:ascii="Times New Roman" w:hAnsi="Times New Roman"/>
        </w:rPr>
        <w:t>C. The Court Failed to Evaluate Factor (j) Against Watson</w:t>
      </w:r>
    </w:p>
    <w:p>
      <w:pPr>
        <w:spacing w:line="480" w:lineRule="auto" w:after="0" w:before="0"/>
      </w:pPr>
      <w:r>
        <w:rPr>
          <w:rFonts w:ascii="Times New Roman" w:hAnsi="Times New Roman"/>
          <w:b w:val="0"/>
          <w:i w:val="0"/>
          <w:sz w:val="24"/>
        </w:rPr>
        <w:t>Despite this documented pattern, the trial court never evaluated Factor (j) against Watson. The court made no finding that Watson's total withholding of the child was unreasonable. The court imposed no consequences for Watson's failure to "facilitate and encourage a close and continuing parent-child relationship." MCL 722.23(j). Instead, the court rewarded the alienation by sustaining the ex parte suspension and denying Plaintiff-Appellant's motions for restoration of parenting time.</w:t>
      </w:r>
    </w:p>
    <w:p>
      <w:pPr>
        <w:spacing w:line="480" w:lineRule="auto" w:after="0" w:before="0"/>
      </w:pPr>
      <w:r>
        <w:rPr>
          <w:rFonts w:ascii="Times New Roman" w:hAnsi="Times New Roman"/>
          <w:b w:val="0"/>
          <w:i w:val="0"/>
          <w:sz w:val="24"/>
        </w:rPr>
        <w:t xml:space="preserve">This failure is particularly egregious because Michigan law specifically recognizes parental alienation as a factor that should weigh against the alienating parent. </w:t>
      </w:r>
      <w:r>
        <w:rPr>
          <w:rFonts w:ascii="Times New Roman" w:hAnsi="Times New Roman"/>
          <w:b w:val="0"/>
          <w:i/>
          <w:sz w:val="24"/>
        </w:rPr>
        <w:t>Berger</w:t>
      </w:r>
      <w:r>
        <w:rPr>
          <w:rFonts w:ascii="Times New Roman" w:hAnsi="Times New Roman"/>
          <w:b w:val="0"/>
          <w:i w:val="0"/>
          <w:sz w:val="24"/>
        </w:rPr>
        <w:t>, 277 Mich App at 715. The trial court's complete failure to address this factor — while simultaneously enabling the alienation through judicial action — constitutes an independent abuse of discretion.</w:t>
      </w:r>
    </w:p>
    <w:p>
      <w:pPr>
        <w:pStyle w:val="Heading3"/>
      </w:pPr>
      <w:r>
        <w:rPr>
          <w:rFonts w:ascii="Times New Roman" w:hAnsi="Times New Roman"/>
        </w:rPr>
        <w:t>D. The Alienation Pervades Every Factor</w:t>
      </w:r>
    </w:p>
    <w:p>
      <w:pPr>
        <w:spacing w:line="480" w:lineRule="auto" w:after="0" w:before="0"/>
      </w:pPr>
      <w:r>
        <w:rPr>
          <w:rFonts w:ascii="Times New Roman" w:hAnsi="Times New Roman"/>
          <w:b w:val="0"/>
          <w:i w:val="0"/>
          <w:sz w:val="24"/>
        </w:rPr>
        <w:t>Parental alienation is not confined to Factor (j). Watson's conduct implicates: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Factor (a):</w:t>
      </w:r>
      <w:r>
        <w:rPr>
          <w:rFonts w:ascii="Times New Roman" w:hAnsi="Times New Roman"/>
          <w:b w:val="0"/>
          <w:i w:val="0"/>
          <w:sz w:val="24"/>
        </w:rPr>
        <w:t xml:space="preserve"> The emotional bond between father and child has been destroyed by 329+ days of enforced separation. - </w:t>
      </w:r>
      <w:r>
        <w:rPr>
          <w:rFonts w:ascii="Times New Roman" w:hAnsi="Times New Roman"/>
          <w:b/>
          <w:i w:val="0"/>
          <w:sz w:val="24"/>
        </w:rPr>
        <w:t>Factor (b):</w:t>
      </w:r>
      <w:r>
        <w:rPr>
          <w:rFonts w:ascii="Times New Roman" w:hAnsi="Times New Roman"/>
          <w:b w:val="0"/>
          <w:i w:val="0"/>
          <w:sz w:val="24"/>
        </w:rPr>
        <w:t xml:space="preserve"> Plaintiff-Appellant has been unable to provide guidance or participate in the child's education or development. - </w:t>
      </w:r>
      <w:r>
        <w:rPr>
          <w:rFonts w:ascii="Times New Roman" w:hAnsi="Times New Roman"/>
          <w:b/>
          <w:i w:val="0"/>
          <w:sz w:val="24"/>
        </w:rPr>
        <w:t>Factor (d):</w:t>
      </w:r>
      <w:r>
        <w:rPr>
          <w:rFonts w:ascii="Times New Roman" w:hAnsi="Times New Roman"/>
          <w:b w:val="0"/>
          <w:i w:val="0"/>
          <w:sz w:val="24"/>
        </w:rPr>
        <w:t xml:space="preserve"> The child has been deprived of the stable, familiar environment of the father's home. - </w:t>
      </w:r>
      <w:r>
        <w:rPr>
          <w:rFonts w:ascii="Times New Roman" w:hAnsi="Times New Roman"/>
          <w:b/>
          <w:i w:val="0"/>
          <w:sz w:val="24"/>
        </w:rPr>
        <w:t>Factor (f):</w:t>
      </w:r>
      <w:r>
        <w:rPr>
          <w:rFonts w:ascii="Times New Roman" w:hAnsi="Times New Roman"/>
          <w:b w:val="0"/>
          <w:i w:val="0"/>
          <w:sz w:val="24"/>
        </w:rPr>
        <w:t xml:space="preserve"> Watson's deliberate campaign of alienation bears directly on moral fitness. - </w:t>
      </w:r>
      <w:r>
        <w:rPr>
          <w:rFonts w:ascii="Times New Roman" w:hAnsi="Times New Roman"/>
          <w:b/>
          <w:i w:val="0"/>
          <w:sz w:val="24"/>
        </w:rPr>
        <w:t>Factor (g):</w:t>
      </w:r>
      <w:r>
        <w:rPr>
          <w:rFonts w:ascii="Times New Roman" w:hAnsi="Times New Roman"/>
          <w:b w:val="0"/>
          <w:i w:val="0"/>
          <w:sz w:val="24"/>
        </w:rPr>
        <w:t xml:space="preserve"> The court used Plaintiff-Appellant's court-mandated mental health assessment as a tool to delay parenting time restoration, rather than addressing Watson's alienation behavior.</w:t>
      </w:r>
    </w:p>
    <w:p>
      <w:pPr>
        <w:spacing w:line="480" w:lineRule="auto" w:after="0" w:before="0"/>
      </w:pPr>
      <w:r>
        <w:rPr>
          <w:rFonts w:ascii="Times New Roman" w:hAnsi="Times New Roman"/>
          <w:b w:val="0"/>
          <w:i w:val="0"/>
          <w:sz w:val="24"/>
        </w:rPr>
        <w:t>MCL 722.23(a), (b), (d), (f), (g).</w:t>
      </w:r>
    </w:p>
    <w:p>
      <w:pPr>
        <w:pStyle w:val="Heading3"/>
      </w:pPr>
      <w:r>
        <w:rPr>
          <w:rFonts w:ascii="Times New Roman" w:hAnsi="Times New Roman"/>
        </w:rPr>
        <w:t>E. Appellee's Likely Response and Reply</w:t>
      </w:r>
    </w:p>
    <w:p>
      <w:pPr>
        <w:spacing w:line="480" w:lineRule="auto" w:after="0" w:before="0"/>
      </w:pPr>
      <w:r>
        <w:rPr>
          <w:rFonts w:ascii="Times New Roman" w:hAnsi="Times New Roman"/>
          <w:b/>
          <w:i w:val="0"/>
          <w:sz w:val="24"/>
        </w:rPr>
        <w:t>Appellee's Likely Response:</w:t>
      </w:r>
      <w:r>
        <w:rPr>
          <w:rFonts w:ascii="Times New Roman" w:hAnsi="Times New Roman"/>
          <w:b w:val="0"/>
          <w:i w:val="0"/>
          <w:sz w:val="24"/>
        </w:rPr>
        <w:t xml:space="preserve"> Appellee will argue that Plaintiff-Appellant's own behavior — PPO violations, contempt, refusal of supervised visitation — demonstrates that it was Plaintiff-Appellant, not Watson, who failed to facilitate the relationship.</w:t>
      </w:r>
    </w:p>
    <w:p>
      <w:pPr>
        <w:spacing w:line="480" w:lineRule="auto" w:after="0" w:before="0"/>
      </w:pPr>
      <w:r>
        <w:rPr>
          <w:rFonts w:ascii="Times New Roman" w:hAnsi="Times New Roman"/>
          <w:b/>
          <w:i w:val="0"/>
          <w:sz w:val="24"/>
        </w:rPr>
        <w:t>Reply:</w:t>
      </w:r>
      <w:r>
        <w:rPr>
          <w:rFonts w:ascii="Times New Roman" w:hAnsi="Times New Roman"/>
          <w:b w:val="0"/>
          <w:i w:val="0"/>
          <w:sz w:val="24"/>
        </w:rPr>
        <w:t xml:space="preserve"> The PPO was obtained without full evidentiary hearing and was weaponized as an alienation tool. The contempt findings arose from the unconstitutional ex parte process documented in Section IV above. And Plaintiff-Appellant did not refuse contact with his son — "My position was not a flat refusal to see my son under any supervision." Even if every allegation against Plaintiff-Appellant were credited, the trial court was still required to evaluate Factor (j) against </w:t>
      </w:r>
      <w:r>
        <w:rPr>
          <w:rFonts w:ascii="Times New Roman" w:hAnsi="Times New Roman"/>
          <w:b w:val="0"/>
          <w:i/>
          <w:sz w:val="24"/>
        </w:rPr>
        <w:t>both</w:t>
      </w:r>
      <w:r>
        <w:rPr>
          <w:rFonts w:ascii="Times New Roman" w:hAnsi="Times New Roman"/>
          <w:b w:val="0"/>
          <w:i w:val="0"/>
          <w:sz w:val="24"/>
        </w:rPr>
        <w:t xml:space="preserve"> parties. </w:t>
      </w:r>
      <w:r>
        <w:rPr>
          <w:rFonts w:ascii="Times New Roman" w:hAnsi="Times New Roman"/>
          <w:b w:val="0"/>
          <w:i/>
          <w:sz w:val="24"/>
        </w:rPr>
        <w:t>Fletcher</w:t>
      </w:r>
      <w:r>
        <w:rPr>
          <w:rFonts w:ascii="Times New Roman" w:hAnsi="Times New Roman"/>
          <w:b w:val="0"/>
          <w:i w:val="0"/>
          <w:sz w:val="24"/>
        </w:rPr>
        <w:t>, 447 Mich at 889. It evaluated it against neither.</w:t>
      </w:r>
    </w:p>
    <w:p>
      <w:r>
        <w:br w:type="page"/>
      </w:r>
    </w:p>
    <w:p>
      <w:pPr>
        <w:pStyle w:val="Heading2"/>
      </w:pPr>
      <w:r>
        <w:rPr>
          <w:rFonts w:ascii="Times New Roman" w:hAnsi="Times New Roman"/>
        </w:rPr>
        <w:t>VI. THIS CASE SHOULD BE REMANDED WITH INSTRUCTIONS TO REASSIGN TO A DIFFERENT JUDGE UNDER MCR 7.216(A)(4) AND MCR 7.216(A)(7)</w:t>
      </w:r>
    </w:p>
    <w:p>
      <w:pPr>
        <w:pStyle w:val="Heading3"/>
      </w:pPr>
      <w:r>
        <w:rPr>
          <w:rFonts w:ascii="Times New Roman" w:hAnsi="Times New Roman"/>
        </w:rPr>
        <w:t>A. This Court's Authority</w:t>
      </w:r>
    </w:p>
    <w:p>
      <w:pPr>
        <w:spacing w:line="480" w:lineRule="auto" w:after="0" w:before="0"/>
      </w:pPr>
      <w:r>
        <w:rPr>
          <w:rFonts w:ascii="Times New Roman" w:hAnsi="Times New Roman"/>
          <w:b w:val="0"/>
          <w:i w:val="0"/>
          <w:sz w:val="24"/>
        </w:rPr>
        <w:t>MCR 7.216(A) provides that "[t]he Court of Appeals may, at any time, in addition to its general powers, in its discretion, and on the terms it deems just" exercise broad remedial authority, including the power to:</w:t>
      </w:r>
    </w:p>
    <w:p>
      <w:pPr>
        <w:spacing w:line="480" w:lineRule="auto" w:after="0" w:before="0"/>
      </w:pPr>
      <w:r>
        <w:rPr>
          <w:rFonts w:ascii="Times New Roman" w:hAnsi="Times New Roman"/>
          <w:b w:val="0"/>
          <w:i w:val="0"/>
          <w:sz w:val="24"/>
        </w:rPr>
        <w:t>&gt; (4) permit amendments, corrections, or additions to the transcript or record; &gt; (7) enter any judgment or order or grant further or different relief as the case may require.</w:t>
      </w:r>
    </w:p>
    <w:p>
      <w:pPr>
        <w:spacing w:line="480" w:lineRule="auto" w:after="0" w:before="0"/>
      </w:pPr>
      <w:r>
        <w:rPr>
          <w:rFonts w:ascii="Times New Roman" w:hAnsi="Times New Roman"/>
          <w:b w:val="0"/>
          <w:i w:val="0"/>
          <w:sz w:val="24"/>
        </w:rPr>
        <w:t xml:space="preserve">MCR 7.216(A)(4), (A)(7). This authority includes the power to remand with instructions to reassign the case to a different judge. </w:t>
      </w:r>
      <w:r>
        <w:rPr>
          <w:rFonts w:ascii="Times New Roman" w:hAnsi="Times New Roman"/>
          <w:b w:val="0"/>
          <w:i/>
          <w:sz w:val="24"/>
        </w:rPr>
        <w:t>Bayati v Bayati</w:t>
      </w:r>
      <w:r>
        <w:rPr>
          <w:rFonts w:ascii="Times New Roman" w:hAnsi="Times New Roman"/>
          <w:b w:val="0"/>
          <w:i w:val="0"/>
          <w:sz w:val="24"/>
        </w:rPr>
        <w:t>, 264 Mich App 595, 602 (2004).</w:t>
      </w:r>
    </w:p>
    <w:p>
      <w:pPr>
        <w:pStyle w:val="Heading3"/>
      </w:pPr>
      <w:r>
        <w:rPr>
          <w:rFonts w:ascii="Times New Roman" w:hAnsi="Times New Roman"/>
        </w:rPr>
        <w:t>B. Reassignment Is Necessary</w:t>
      </w:r>
    </w:p>
    <w:p>
      <w:pPr>
        <w:spacing w:line="480" w:lineRule="auto" w:after="0" w:before="0"/>
      </w:pPr>
      <w:r>
        <w:rPr>
          <w:rFonts w:ascii="Times New Roman" w:hAnsi="Times New Roman"/>
          <w:b w:val="0"/>
          <w:i w:val="0"/>
          <w:sz w:val="24"/>
        </w:rPr>
        <w:t>The documented record of 540 benchbook violations, 226 ex parte communication violations, 175 due process violations, 381 instances of PPO weaponization, 196 instances of procedural misconduct, 150 Canon violations, and 146 disqualification triggers makes clear that fair adjudication by Hon. Jenny L. McNeill is not possible. MCR 2.003(C)(1)(a)–(b).</w:t>
      </w:r>
    </w:p>
    <w:p>
      <w:pPr>
        <w:spacing w:line="480" w:lineRule="auto" w:after="0" w:before="0"/>
      </w:pPr>
      <w:r>
        <w:rPr>
          <w:rFonts w:ascii="Times New Roman" w:hAnsi="Times New Roman"/>
          <w:b w:val="0"/>
          <w:i w:val="0"/>
          <w:sz w:val="24"/>
        </w:rPr>
        <w:t xml:space="preserve">The pattern is not isolated — it is structural. The trial court has demonstrated, through thousands of documented instances spanning the entire history of this case, a systematic inability or unwillingness to provide Plaintiff-Appellant with the neutral forum that due process requires. </w:t>
      </w:r>
      <w:r>
        <w:rPr>
          <w:rFonts w:ascii="Times New Roman" w:hAnsi="Times New Roman"/>
          <w:b w:val="0"/>
          <w:i/>
          <w:sz w:val="24"/>
        </w:rPr>
        <w:t>Caperton v Massey</w:t>
      </w:r>
      <w:r>
        <w:rPr>
          <w:rFonts w:ascii="Times New Roman" w:hAnsi="Times New Roman"/>
          <w:b w:val="0"/>
          <w:i w:val="0"/>
          <w:sz w:val="24"/>
        </w:rPr>
        <w:t>, 556 US at 884.</w:t>
      </w:r>
    </w:p>
    <w:p>
      <w:pPr>
        <w:spacing w:line="480" w:lineRule="auto" w:after="0" w:before="0"/>
      </w:pPr>
      <w:r>
        <w:rPr>
          <w:rFonts w:ascii="Times New Roman" w:hAnsi="Times New Roman"/>
          <w:b w:val="0"/>
          <w:i w:val="0"/>
          <w:sz w:val="24"/>
        </w:rPr>
        <w:t xml:space="preserve">Remand to the same judge would be futile. When a trial judge's conduct throughout a case reveals a level of bias or procedural irregularity that calls into question the fundamental fairness of the proceedings, this Court has the authority — and the obligation — to direct reassignment. </w:t>
      </w:r>
      <w:r>
        <w:rPr>
          <w:rFonts w:ascii="Times New Roman" w:hAnsi="Times New Roman"/>
          <w:b w:val="0"/>
          <w:i/>
          <w:sz w:val="24"/>
        </w:rPr>
        <w:t>Bayati</w:t>
      </w:r>
      <w:r>
        <w:rPr>
          <w:rFonts w:ascii="Times New Roman" w:hAnsi="Times New Roman"/>
          <w:b w:val="0"/>
          <w:i w:val="0"/>
          <w:sz w:val="24"/>
        </w:rPr>
        <w:t>, 264 Mich App at 602.</w:t>
      </w:r>
    </w:p>
    <w:p>
      <w:pPr>
        <w:pStyle w:val="Heading3"/>
      </w:pPr>
      <w:r>
        <w:rPr>
          <w:rFonts w:ascii="Times New Roman" w:hAnsi="Times New Roman"/>
        </w:rPr>
        <w:t>C. Appellee's Likely Response and Reply</w:t>
      </w:r>
    </w:p>
    <w:p>
      <w:pPr>
        <w:spacing w:line="480" w:lineRule="auto" w:after="0" w:before="0"/>
      </w:pPr>
      <w:r>
        <w:rPr>
          <w:rFonts w:ascii="Times New Roman" w:hAnsi="Times New Roman"/>
          <w:b/>
          <w:i w:val="0"/>
          <w:sz w:val="24"/>
        </w:rPr>
        <w:t>Appellee's Likely Response:</w:t>
      </w:r>
      <w:r>
        <w:rPr>
          <w:rFonts w:ascii="Times New Roman" w:hAnsi="Times New Roman"/>
          <w:b w:val="0"/>
          <w:i w:val="0"/>
          <w:sz w:val="24"/>
        </w:rPr>
        <w:t xml:space="preserve"> Appellee will argue that reassignment is an extraordinary remedy and that the record does not support it.</w:t>
      </w:r>
    </w:p>
    <w:p>
      <w:pPr>
        <w:spacing w:line="480" w:lineRule="auto" w:after="0" w:before="0"/>
      </w:pPr>
      <w:r>
        <w:rPr>
          <w:rFonts w:ascii="Times New Roman" w:hAnsi="Times New Roman"/>
          <w:b/>
          <w:i w:val="0"/>
          <w:sz w:val="24"/>
        </w:rPr>
        <w:t>Reply:</w:t>
      </w:r>
      <w:r>
        <w:rPr>
          <w:rFonts w:ascii="Times New Roman" w:hAnsi="Times New Roman"/>
          <w:b w:val="0"/>
          <w:i w:val="0"/>
          <w:sz w:val="24"/>
        </w:rPr>
        <w:t xml:space="preserve"> Reassignment </w:t>
      </w:r>
      <w:r>
        <w:rPr>
          <w:rFonts w:ascii="Times New Roman" w:hAnsi="Times New Roman"/>
          <w:b w:val="0"/>
          <w:i/>
          <w:sz w:val="24"/>
        </w:rPr>
        <w:t>is</w:t>
      </w:r>
      <w:r>
        <w:rPr>
          <w:rFonts w:ascii="Times New Roman" w:hAnsi="Times New Roman"/>
          <w:b w:val="0"/>
          <w:i w:val="0"/>
          <w:sz w:val="24"/>
        </w:rPr>
        <w:t xml:space="preserve"> extraordinary — and this record </w:t>
      </w:r>
      <w:r>
        <w:rPr>
          <w:rFonts w:ascii="Times New Roman" w:hAnsi="Times New Roman"/>
          <w:b w:val="0"/>
          <w:i/>
          <w:sz w:val="24"/>
        </w:rPr>
        <w:t>is</w:t>
      </w:r>
      <w:r>
        <w:rPr>
          <w:rFonts w:ascii="Times New Roman" w:hAnsi="Times New Roman"/>
          <w:b w:val="0"/>
          <w:i w:val="0"/>
          <w:sz w:val="24"/>
        </w:rPr>
        <w:t xml:space="preserve"> extraordinary. 1,895 judicial-category impeachment items, 540 benchbook violations, and 226 ex parte communication violations across one case exceed any reasonable threshold. If this record does not justify reassignment, no record ever will. </w:t>
      </w:r>
      <w:r>
        <w:rPr>
          <w:rFonts w:ascii="Times New Roman" w:hAnsi="Times New Roman"/>
          <w:b w:val="0"/>
          <w:i/>
          <w:sz w:val="24"/>
        </w:rPr>
        <w:t>In re Haley</w:t>
      </w:r>
      <w:r>
        <w:rPr>
          <w:rFonts w:ascii="Times New Roman" w:hAnsi="Times New Roman"/>
          <w:b w:val="0"/>
          <w:i w:val="0"/>
          <w:sz w:val="24"/>
        </w:rPr>
        <w:t>, 476 Mich 180, 193 (2006) (judicial conduct standards must be enforced to maintain public confidence in the judiciary). The remedy is proportionate to the harm.</w:t>
      </w:r>
    </w:p>
    <w:p>
      <w:r>
        <w:br w:type="page"/>
      </w:r>
    </w:p>
    <w:p>
      <w:pPr>
        <w:spacing w:line="480" w:lineRule="auto" w:after="0" w:before="0"/>
      </w:pPr>
      <w:r>
        <w:rPr>
          <w:rFonts w:ascii="Times New Roman" w:hAnsi="Times New Roman"/>
          <w:b w:val="0"/>
          <w:i w:val="0"/>
          <w:sz w:val="24"/>
        </w:rPr>
        <w:t>\newpage</w:t>
      </w:r>
    </w:p>
    <w:p>
      <w:pPr>
        <w:spacing w:line="480" w:lineRule="auto" w:after="0" w:before="0"/>
      </w:pPr>
      <w:r>
        <w:rPr>
          <w:rFonts w:ascii="Times New Roman" w:hAnsi="Times New Roman"/>
          <w:b w:val="0"/>
          <w:i w:val="0"/>
          <w:sz w:val="24"/>
        </w:rPr>
        <w:t>================================================================================ RELIEF REQUESTED ================================================================================</w:t>
      </w:r>
    </w:p>
    <w:p>
      <w:pPr>
        <w:spacing w:line="480" w:lineRule="auto" w:after="0" w:before="0"/>
      </w:pPr>
      <w:r>
        <w:rPr>
          <w:rFonts w:ascii="Times New Roman" w:hAnsi="Times New Roman"/>
          <w:b w:val="0"/>
          <w:i w:val="0"/>
          <w:sz w:val="24"/>
        </w:rPr>
        <w:t>WHEREFORE, Plaintiff-Appellant Andrew Pigors respectfully requests that this Honorable Court:</w:t>
      </w:r>
    </w:p>
    <w:p>
      <w:pPr>
        <w:spacing w:line="480" w:lineRule="auto" w:after="0" w:before="0"/>
      </w:pPr>
      <w:r>
        <w:rPr>
          <w:rFonts w:ascii="Times New Roman" w:hAnsi="Times New Roman"/>
          <w:b/>
          <w:i w:val="0"/>
          <w:sz w:val="24"/>
        </w:rPr>
        <w:t>1. REVERSE</w:t>
      </w:r>
      <w:r>
        <w:rPr>
          <w:rFonts w:ascii="Times New Roman" w:hAnsi="Times New Roman"/>
          <w:b w:val="0"/>
          <w:i w:val="0"/>
          <w:sz w:val="24"/>
        </w:rPr>
        <w:t xml:space="preserve"> the trial court's orders modifying custody and suspending parenting time, as the trial court failed to make findings on any of the twelve best interest factors required by MCL 722.23(a)–(l) and </w:t>
      </w:r>
      <w:r>
        <w:rPr>
          <w:rFonts w:ascii="Times New Roman" w:hAnsi="Times New Roman"/>
          <w:b w:val="0"/>
          <w:i/>
          <w:sz w:val="24"/>
        </w:rPr>
        <w:t>Fletcher v Fletcher</w:t>
      </w:r>
      <w:r>
        <w:rPr>
          <w:rFonts w:ascii="Times New Roman" w:hAnsi="Times New Roman"/>
          <w:b w:val="0"/>
          <w:i w:val="0"/>
          <w:sz w:val="24"/>
        </w:rPr>
        <w:t>, 447 Mich 871 (1994).</w:t>
      </w:r>
    </w:p>
    <w:p>
      <w:pPr>
        <w:spacing w:line="480" w:lineRule="auto" w:after="0" w:before="0"/>
      </w:pPr>
      <w:r>
        <w:rPr>
          <w:rFonts w:ascii="Times New Roman" w:hAnsi="Times New Roman"/>
          <w:b/>
          <w:i w:val="0"/>
          <w:sz w:val="24"/>
        </w:rPr>
        <w:t>2. REVERSE</w:t>
      </w:r>
      <w:r>
        <w:rPr>
          <w:rFonts w:ascii="Times New Roman" w:hAnsi="Times New Roman"/>
          <w:b w:val="0"/>
          <w:i w:val="0"/>
          <w:sz w:val="24"/>
        </w:rPr>
        <w:t xml:space="preserve"> the trial court's ex parte order of August 8, 2025 suspending all parenting time, as the order was entered without notice to Plaintiff-Appellant, without the specific-facts showing required by MCR 3.207(B)(1), and without the clear and convincing evidence finding required by MCL 722.27a(3).</w:t>
      </w:r>
    </w:p>
    <w:p>
      <w:pPr>
        <w:spacing w:line="480" w:lineRule="auto" w:after="0" w:before="0"/>
      </w:pPr>
      <w:r>
        <w:rPr>
          <w:rFonts w:ascii="Times New Roman" w:hAnsi="Times New Roman"/>
          <w:b/>
          <w:i w:val="0"/>
          <w:sz w:val="24"/>
        </w:rPr>
        <w:t>3. ORDER</w:t>
      </w:r>
      <w:r>
        <w:rPr>
          <w:rFonts w:ascii="Times New Roman" w:hAnsi="Times New Roman"/>
          <w:b w:val="0"/>
          <w:i w:val="0"/>
          <w:sz w:val="24"/>
        </w:rPr>
        <w:t xml:space="preserve"> immediate restoration of Plaintiff-Appellant's parenting time with the minor child, Lincoln, and order makeup parenting time to compensate for 329+ days of wrongful deprivation, pursuant to MCL 722.27a(7) and MCL 722.27a(9)(a).</w:t>
      </w:r>
    </w:p>
    <w:p>
      <w:pPr>
        <w:spacing w:line="480" w:lineRule="auto" w:after="0" w:before="0"/>
      </w:pPr>
      <w:r>
        <w:rPr>
          <w:rFonts w:ascii="Times New Roman" w:hAnsi="Times New Roman"/>
          <w:b/>
          <w:i w:val="0"/>
          <w:sz w:val="24"/>
        </w:rPr>
        <w:t>4. ORDER</w:t>
      </w:r>
      <w:r>
        <w:rPr>
          <w:rFonts w:ascii="Times New Roman" w:hAnsi="Times New Roman"/>
          <w:b w:val="0"/>
          <w:i w:val="0"/>
          <w:sz w:val="24"/>
        </w:rPr>
        <w:t xml:space="preserve"> the trial court to conduct a full, factor-by-factor best interest analysis under MCL 722.23(a)–(l) on remand, with specific written findings as to each factor.</w:t>
      </w:r>
    </w:p>
    <w:p>
      <w:pPr>
        <w:spacing w:line="480" w:lineRule="auto" w:after="0" w:before="0"/>
      </w:pPr>
      <w:r>
        <w:rPr>
          <w:rFonts w:ascii="Times New Roman" w:hAnsi="Times New Roman"/>
          <w:b/>
          <w:i w:val="0"/>
          <w:sz w:val="24"/>
        </w:rPr>
        <w:t>5. ORDER</w:t>
      </w:r>
      <w:r>
        <w:rPr>
          <w:rFonts w:ascii="Times New Roman" w:hAnsi="Times New Roman"/>
          <w:b w:val="0"/>
          <w:i w:val="0"/>
          <w:sz w:val="24"/>
        </w:rPr>
        <w:t xml:space="preserve"> application of the five statutory remedies under MCL 722.27a(9)(a)–(e) for the documented denial of parenting time, including but not limited to compensatory parenting time, costs and attorney fees, and contempt proceedings against Defendant-Appellee.</w:t>
      </w:r>
    </w:p>
    <w:p>
      <w:pPr>
        <w:spacing w:line="480" w:lineRule="auto" w:after="0" w:before="0"/>
      </w:pPr>
      <w:r>
        <w:rPr>
          <w:rFonts w:ascii="Times New Roman" w:hAnsi="Times New Roman"/>
          <w:b/>
          <w:i w:val="0"/>
          <w:sz w:val="24"/>
        </w:rPr>
        <w:t>6. REMAND</w:t>
      </w:r>
      <w:r>
        <w:rPr>
          <w:rFonts w:ascii="Times New Roman" w:hAnsi="Times New Roman"/>
          <w:b w:val="0"/>
          <w:i w:val="0"/>
          <w:sz w:val="24"/>
        </w:rPr>
        <w:t xml:space="preserve"> with instructions to reassign this case to a different judge pursuant to MCR 7.216(A)(4) and MCR 7.216(A)(7), as the documented pattern of 540 benchbook violations, 226 ex parte communication violations, and systematic bias renders fair adjudication by Hon. Jenny L. McNeill impossible.</w:t>
      </w:r>
    </w:p>
    <w:p>
      <w:pPr>
        <w:spacing w:line="480" w:lineRule="auto" w:after="0" w:before="0"/>
      </w:pPr>
      <w:r>
        <w:rPr>
          <w:rFonts w:ascii="Times New Roman" w:hAnsi="Times New Roman"/>
          <w:b/>
          <w:i w:val="0"/>
          <w:sz w:val="24"/>
        </w:rPr>
        <w:t>7. GRANT</w:t>
      </w:r>
      <w:r>
        <w:rPr>
          <w:rFonts w:ascii="Times New Roman" w:hAnsi="Times New Roman"/>
          <w:b w:val="0"/>
          <w:i w:val="0"/>
          <w:sz w:val="24"/>
        </w:rPr>
        <w:t xml:space="preserve"> such other and further relief as this Court deems just and equitable.</w:t>
      </w:r>
    </w:p>
    <w:p>
      <w:r>
        <w:br w:type="page"/>
      </w:r>
    </w:p>
    <w:p>
      <w:pPr>
        <w:spacing w:line="480" w:lineRule="auto" w:after="0" w:before="0"/>
      </w:pPr>
      <w:r>
        <w:rPr>
          <w:rFonts w:ascii="Times New Roman" w:hAnsi="Times New Roman"/>
          <w:b w:val="0"/>
          <w:i w:val="0"/>
          <w:sz w:val="24"/>
        </w:rPr>
        <w:t>\newpage</w:t>
      </w:r>
    </w:p>
    <w:p>
      <w:pPr>
        <w:spacing w:line="480" w:lineRule="auto" w:after="0" w:before="0"/>
      </w:pPr>
      <w:r>
        <w:rPr>
          <w:rFonts w:ascii="Times New Roman" w:hAnsi="Times New Roman"/>
          <w:b w:val="0"/>
          <w:i w:val="0"/>
          <w:sz w:val="24"/>
        </w:rPr>
        <w:t>================================================================================ SIGNATURE AND VERIFICATION ================================================================================</w:t>
      </w:r>
    </w:p>
    <w:p>
      <w:pPr>
        <w:spacing w:line="480" w:lineRule="auto" w:after="0" w:before="0"/>
      </w:pPr>
      <w:r>
        <w:rPr>
          <w:rFonts w:ascii="Times New Roman" w:hAnsi="Times New Roman"/>
          <w:b w:val="0"/>
          <w:i w:val="0"/>
          <w:sz w:val="24"/>
        </w:rPr>
        <w:t>Respectfully submitted,</w:t>
      </w:r>
    </w:p>
    <w:p>
      <w:pPr>
        <w:spacing w:line="480" w:lineRule="auto" w:after="0" w:before="0"/>
      </w:pPr>
      <w:r>
        <w:rPr>
          <w:rFonts w:ascii="Times New Roman" w:hAnsi="Times New Roman"/>
          <w:b w:val="0"/>
          <w:i w:val="0"/>
          <w:sz w:val="24"/>
        </w:rPr>
        <w:t>/s/ Andrew Pigors</w:t>
      </w:r>
    </w:p>
    <w:p>
      <w:r>
        <w:br w:type="page"/>
      </w:r>
    </w:p>
    <w:p>
      <w:pPr>
        <w:spacing w:line="480" w:lineRule="auto" w:after="0" w:before="0"/>
      </w:pPr>
      <w:r>
        <w:rPr>
          <w:rFonts w:ascii="Times New Roman" w:hAnsi="Times New Roman"/>
          <w:b/>
          <w:i w:val="0"/>
          <w:sz w:val="24"/>
        </w:rPr>
        <w:t>Andrew Pigors</w:t>
      </w:r>
      <w:r>
        <w:rPr>
          <w:rFonts w:ascii="Times New Roman" w:hAnsi="Times New Roman"/>
          <w:b w:val="0"/>
          <w:i w:val="0"/>
          <w:sz w:val="24"/>
        </w:rPr>
        <w:t xml:space="preserve"> Plaintiff-Appellant, </w:t>
      </w:r>
      <w:r>
        <w:rPr>
          <w:rFonts w:ascii="Times New Roman" w:hAnsi="Times New Roman"/>
          <w:b w:val="0"/>
          <w:i/>
          <w:sz w:val="24"/>
        </w:rPr>
        <w:t>Pro Se</w:t>
      </w:r>
      <w:r>
        <w:rPr>
          <w:rFonts w:ascii="Times New Roman" w:hAnsi="Times New Roman"/>
          <w:b w:val="0"/>
          <w:i w:val="0"/>
          <w:sz w:val="24"/>
        </w:rPr>
        <w:t xml:space="preserve"> 1977 Whitehall Road, Trailer 17 North Muskegon, MI 49445 231-260-1936 andrewjpigors@gmail.com</w:t>
      </w:r>
    </w:p>
    <w:p>
      <w:pPr>
        <w:spacing w:line="480" w:lineRule="auto" w:after="0" w:before="0"/>
      </w:pPr>
      <w:r>
        <w:rPr>
          <w:rFonts w:ascii="Times New Roman" w:hAnsi="Times New Roman"/>
          <w:b w:val="0"/>
          <w:i w:val="0"/>
          <w:sz w:val="24"/>
        </w:rPr>
        <w:t>Dated: ____________, 2026</w:t>
      </w:r>
    </w:p>
    <w:p>
      <w:r>
        <w:br w:type="page"/>
      </w:r>
    </w:p>
    <w:p>
      <w:pPr>
        <w:pStyle w:val="Heading2"/>
      </w:pPr>
      <w:r>
        <w:rPr>
          <w:rFonts w:ascii="Times New Roman" w:hAnsi="Times New Roman"/>
        </w:rPr>
        <w:t>VERIFICATION</w:t>
      </w:r>
    </w:p>
    <w:p>
      <w:pPr>
        <w:spacing w:line="480" w:lineRule="auto" w:after="0" w:before="0"/>
      </w:pPr>
      <w:r>
        <w:rPr>
          <w:rFonts w:ascii="Times New Roman" w:hAnsi="Times New Roman"/>
          <w:b w:val="0"/>
          <w:i w:val="0"/>
          <w:sz w:val="24"/>
        </w:rPr>
        <w:t>STATE OF MICHIGAN ) ) ss. COUNTY OF MUSKEGON )</w:t>
      </w:r>
    </w:p>
    <w:p>
      <w:pPr>
        <w:spacing w:line="480" w:lineRule="auto" w:after="0" w:before="0"/>
      </w:pPr>
      <w:r>
        <w:rPr>
          <w:rFonts w:ascii="Times New Roman" w:hAnsi="Times New Roman"/>
          <w:b w:val="0"/>
          <w:i w:val="0"/>
          <w:sz w:val="24"/>
        </w:rPr>
        <w:t>I, Andrew Pigors, Plaintiff-Appellant herein, do hereby verify under penalty of perjury that the facts set forth in this Appellant's Brief are true and correct to the best of my knowledge, information, and belief. The factual statements herein are based upon my personal knowledge, the official court record, court orders, transcripts, and documents filed in Case No. 2024-001507-DC and COA Case No. 366810.</w:t>
      </w:r>
    </w:p>
    <w:p>
      <w:pPr>
        <w:spacing w:line="480" w:lineRule="auto" w:after="0" w:before="0"/>
      </w:pPr>
      <w:r>
        <w:rPr>
          <w:rFonts w:ascii="Times New Roman" w:hAnsi="Times New Roman"/>
          <w:b w:val="0"/>
          <w:i w:val="0"/>
          <w:sz w:val="24"/>
        </w:rPr>
        <w:t>/s/ Andrew Pigors</w:t>
      </w:r>
    </w:p>
    <w:p>
      <w:r>
        <w:br w:type="page"/>
      </w:r>
    </w:p>
    <w:p>
      <w:pPr>
        <w:spacing w:line="480" w:lineRule="auto" w:after="0" w:before="0"/>
      </w:pPr>
      <w:r>
        <w:rPr>
          <w:rFonts w:ascii="Times New Roman" w:hAnsi="Times New Roman"/>
          <w:b w:val="0"/>
          <w:i w:val="0"/>
          <w:sz w:val="24"/>
        </w:rPr>
        <w:t>Andrew Pigors</w:t>
      </w:r>
    </w:p>
    <w:p>
      <w:pPr>
        <w:spacing w:line="480" w:lineRule="auto" w:after="0" w:before="0"/>
      </w:pPr>
      <w:r>
        <w:rPr>
          <w:rFonts w:ascii="Times New Roman" w:hAnsi="Times New Roman"/>
          <w:b w:val="0"/>
          <w:i w:val="0"/>
          <w:sz w:val="24"/>
        </w:rPr>
        <w:t>Subscribed and sworn to before me this _____ day of ____________, 2026.</w:t>
      </w:r>
    </w:p>
    <w:p>
      <w:r>
        <w:br w:type="page"/>
      </w:r>
    </w:p>
    <w:p>
      <w:pPr>
        <w:spacing w:line="480" w:lineRule="auto" w:after="0" w:before="0"/>
      </w:pPr>
      <w:r>
        <w:rPr>
          <w:rFonts w:ascii="Times New Roman" w:hAnsi="Times New Roman"/>
          <w:b w:val="0"/>
          <w:i w:val="0"/>
          <w:sz w:val="24"/>
        </w:rPr>
        <w:t>Notary Public, State of Michigan County of ____________ My commission expires: ____________</w:t>
      </w:r>
    </w:p>
    <w:p>
      <w:r>
        <w:br w:type="page"/>
      </w:r>
    </w:p>
    <w:p>
      <w:pPr>
        <w:spacing w:line="480" w:lineRule="auto" w:after="0" w:before="0"/>
      </w:pPr>
      <w:r>
        <w:rPr>
          <w:rFonts w:ascii="Times New Roman" w:hAnsi="Times New Roman"/>
          <w:b w:val="0"/>
          <w:i w:val="0"/>
          <w:sz w:val="24"/>
        </w:rPr>
        <w:t>\newpage</w:t>
      </w:r>
    </w:p>
    <w:p>
      <w:pPr>
        <w:spacing w:line="480" w:lineRule="auto" w:after="0" w:before="0"/>
      </w:pPr>
      <w:r>
        <w:rPr>
          <w:rFonts w:ascii="Times New Roman" w:hAnsi="Times New Roman"/>
          <w:b w:val="0"/>
          <w:i w:val="0"/>
          <w:sz w:val="24"/>
        </w:rPr>
        <w:t>================================================================================ CERTIFICATE OF SERVICE MCR 7.211(C) ================================================================================</w:t>
      </w:r>
    </w:p>
    <w:p>
      <w:pPr>
        <w:spacing w:line="480" w:lineRule="auto" w:after="0" w:before="0"/>
      </w:pPr>
      <w:r>
        <w:rPr>
          <w:rFonts w:ascii="Times New Roman" w:hAnsi="Times New Roman"/>
          <w:b w:val="0"/>
          <w:i w:val="0"/>
          <w:sz w:val="24"/>
        </w:rPr>
        <w:t>I, Andrew Pigors, hereby certify that on ____________, 2026, I served a true and correct copy of APPELLANT'S BRIEF ON APPEAL upon the following by first-class U.S. Mail, postage prepaid:</w:t>
      </w:r>
    </w:p>
    <w:p>
      <w:pPr>
        <w:spacing w:line="480" w:lineRule="auto" w:after="0" w:before="0"/>
      </w:pPr>
      <w:r>
        <w:rPr>
          <w:rFonts w:ascii="Times New Roman" w:hAnsi="Times New Roman"/>
          <w:b/>
          <w:i w:val="0"/>
          <w:sz w:val="24"/>
        </w:rPr>
        <w:t>Emily Ann Watson (fka Pigors)</w:t>
      </w:r>
      <w:r>
        <w:rPr>
          <w:rFonts w:ascii="Times New Roman" w:hAnsi="Times New Roman"/>
          <w:b w:val="0"/>
          <w:i w:val="0"/>
          <w:sz w:val="24"/>
        </w:rPr>
        <w:t xml:space="preserve"> Defendant-Appellee 1977 Whitehall Road, Trailer 17, North Muskegon, MI 49445 North Muskegon, MI 49445</w:t>
      </w:r>
    </w:p>
    <w:p>
      <w:pPr>
        <w:spacing w:line="480" w:lineRule="auto" w:after="0" w:before="0"/>
      </w:pPr>
      <w:r>
        <w:rPr>
          <w:rFonts w:ascii="Times New Roman" w:hAnsi="Times New Roman"/>
          <w:b/>
          <w:i w:val="0"/>
          <w:sz w:val="24"/>
        </w:rPr>
        <w:t>Jennifer L. Barnes (P55406)</w:t>
      </w:r>
      <w:r>
        <w:rPr>
          <w:rFonts w:ascii="Times New Roman" w:hAnsi="Times New Roman"/>
          <w:b w:val="0"/>
          <w:i w:val="0"/>
          <w:sz w:val="24"/>
        </w:rPr>
        <w:t xml:space="preserve"> Attorney for Defendant-Appellee 1977 Whitehall Road, Trailer 17, North Muskegon, MI 49445 North Muskegon, MI 49445 jbarneslaw@aol.com</w:t>
      </w:r>
    </w:p>
    <w:p>
      <w:pPr>
        <w:spacing w:line="480" w:lineRule="auto" w:after="0" w:before="0"/>
      </w:pPr>
      <w:r>
        <w:rPr>
          <w:rFonts w:ascii="Times New Roman" w:hAnsi="Times New Roman"/>
          <w:b w:val="0"/>
          <w:i w:val="0"/>
          <w:sz w:val="24"/>
        </w:rPr>
        <w:t>/s/ Andrew Pigors</w:t>
      </w:r>
    </w:p>
    <w:p>
      <w:r>
        <w:br w:type="page"/>
      </w:r>
    </w:p>
    <w:p>
      <w:pPr>
        <w:spacing w:line="480" w:lineRule="auto" w:after="0" w:before="0"/>
      </w:pPr>
      <w:r>
        <w:rPr>
          <w:rFonts w:ascii="Times New Roman" w:hAnsi="Times New Roman"/>
          <w:b w:val="0"/>
          <w:i w:val="0"/>
          <w:sz w:val="24"/>
        </w:rPr>
        <w:t xml:space="preserve">Andrew Pigors Plaintiff-Appellant, </w:t>
      </w:r>
      <w:r>
        <w:rPr>
          <w:rFonts w:ascii="Times New Roman" w:hAnsi="Times New Roman"/>
          <w:b w:val="0"/>
          <w:i/>
          <w:sz w:val="24"/>
        </w:rPr>
        <w:t>Pro Se</w:t>
      </w:r>
    </w:p>
    <w:p>
      <w:pPr>
        <w:spacing w:line="480" w:lineRule="auto" w:after="0" w:before="0"/>
      </w:pPr>
      <w:r>
        <w:rPr>
          <w:rFonts w:ascii="Times New Roman" w:hAnsi="Times New Roman"/>
          <w:b w:val="0"/>
          <w:i w:val="0"/>
          <w:sz w:val="24"/>
        </w:rPr>
        <w:t>Dated: ____________, 2026</w:t>
      </w:r>
    </w:p>
    <w:p>
      <w:r>
        <w:br w:type="page"/>
      </w:r>
    </w:p>
    <w:p>
      <w:pPr>
        <w:spacing w:line="480" w:lineRule="auto" w:after="0" w:before="0"/>
      </w:pPr>
      <w:r>
        <w:rPr>
          <w:rFonts w:ascii="Times New Roman" w:hAnsi="Times New Roman"/>
          <w:b w:val="0"/>
          <w:i w:val="0"/>
          <w:sz w:val="24"/>
        </w:rPr>
        <w:t>\newpage</w:t>
      </w:r>
    </w:p>
    <w:p>
      <w:pPr>
        <w:spacing w:line="480" w:lineRule="auto" w:after="0" w:before="0"/>
      </w:pPr>
      <w:r>
        <w:rPr>
          <w:rFonts w:ascii="Times New Roman" w:hAnsi="Times New Roman"/>
          <w:b w:val="0"/>
          <w:i w:val="0"/>
          <w:sz w:val="24"/>
        </w:rPr>
        <w:t>================================================================================ PROOF OF SERVICE MCR 7.211(C) ================================================================================</w:t>
      </w:r>
    </w:p>
    <w:p>
      <w:pPr>
        <w:spacing w:line="480" w:lineRule="auto" w:after="0" w:before="0"/>
      </w:pPr>
      <w:r>
        <w:rPr>
          <w:rFonts w:ascii="Times New Roman" w:hAnsi="Times New Roman"/>
          <w:b w:val="0"/>
          <w:i w:val="0"/>
          <w:sz w:val="24"/>
        </w:rPr>
        <w:t>STATE OF MICHIGAN ) ) ss. COUNTY OF MUSKEGON )</w:t>
      </w:r>
    </w:p>
    <w:p>
      <w:pPr>
        <w:spacing w:line="480" w:lineRule="auto" w:after="0" w:before="0"/>
      </w:pPr>
      <w:r>
        <w:rPr>
          <w:rFonts w:ascii="Times New Roman" w:hAnsi="Times New Roman"/>
          <w:b w:val="0"/>
          <w:i w:val="0"/>
          <w:sz w:val="24"/>
        </w:rPr>
        <w:t>I, Andrew Pigors, being duly sworn, depose and say:</w:t>
      </w:r>
    </w:p>
    <w:p>
      <w:pPr>
        <w:spacing w:line="480" w:lineRule="auto" w:after="0" w:before="0"/>
      </w:pPr>
      <w:r>
        <w:rPr>
          <w:rFonts w:ascii="Times New Roman" w:hAnsi="Times New Roman"/>
          <w:b/>
          <w:sz w:val="24"/>
        </w:rPr>
        <w:t xml:space="preserve">1. </w:t>
      </w:r>
      <w:r>
        <w:rPr>
          <w:rFonts w:ascii="Times New Roman" w:hAnsi="Times New Roman"/>
          <w:b w:val="0"/>
          <w:i w:val="0"/>
          <w:sz w:val="24"/>
        </w:rPr>
        <w:t>I am the Plaintiff-Appellant in this action, COA Case No. 366810, and I am competent to testify to the matters stated herein.</w:t>
      </w:r>
    </w:p>
    <w:p>
      <w:pPr>
        <w:spacing w:line="480" w:lineRule="auto" w:after="0" w:before="0"/>
      </w:pPr>
      <w:r>
        <w:rPr>
          <w:rFonts w:ascii="Times New Roman" w:hAnsi="Times New Roman"/>
          <w:b/>
          <w:sz w:val="24"/>
        </w:rPr>
        <w:t xml:space="preserve">2. </w:t>
      </w:r>
      <w:r>
        <w:rPr>
          <w:rFonts w:ascii="Times New Roman" w:hAnsi="Times New Roman"/>
          <w:b w:val="0"/>
          <w:i w:val="0"/>
          <w:sz w:val="24"/>
        </w:rPr>
        <w:t>On ____________, 2026, I served the following document(s):</w:t>
      </w:r>
    </w:p>
    <w:p>
      <w:pPr>
        <w:spacing w:line="480" w:lineRule="auto" w:after="0" w:before="0"/>
      </w:pPr>
      <w:r>
        <w:rPr>
          <w:rFonts w:ascii="Times New Roman" w:hAnsi="Times New Roman"/>
          <w:b/>
          <w:i w:val="0"/>
          <w:sz w:val="24"/>
        </w:rPr>
        <w:t>APPELLANT'S BRIEF ON APPEAL</w:t>
      </w:r>
      <w:r>
        <w:rPr>
          <w:rFonts w:ascii="Times New Roman" w:hAnsi="Times New Roman"/>
          <w:b w:val="0"/>
          <w:i w:val="0"/>
          <w:sz w:val="24"/>
        </w:rPr>
        <w:t xml:space="preserve"> (with all appendices)</w:t>
      </w:r>
    </w:p>
    <w:p>
      <w:pPr>
        <w:spacing w:line="480" w:lineRule="auto" w:after="0" w:before="0"/>
      </w:pPr>
      <w:r>
        <w:rPr>
          <w:rFonts w:ascii="Times New Roman" w:hAnsi="Times New Roman"/>
          <w:b/>
          <w:sz w:val="24"/>
        </w:rPr>
        <w:t xml:space="preserve">3. </w:t>
      </w:r>
      <w:r>
        <w:rPr>
          <w:rFonts w:ascii="Times New Roman" w:hAnsi="Times New Roman"/>
          <w:b w:val="0"/>
          <w:i w:val="0"/>
          <w:sz w:val="24"/>
        </w:rPr>
        <w:t>Service was made upon the following persons at the addresses listed below by the following method(s):</w:t>
      </w:r>
    </w:p>
    <w:p>
      <w:pPr>
        <w:spacing w:line="480" w:lineRule="auto" w:after="0" w:before="0"/>
      </w:pPr>
      <w:r>
        <w:rPr>
          <w:rFonts w:ascii="Times New Roman" w:hAnsi="Times New Roman"/>
          <w:b/>
          <w:i w:val="0"/>
          <w:sz w:val="24"/>
        </w:rPr>
        <w:t>Emily Ann Watson (fka Pigors)</w:t>
      </w:r>
      <w:r>
        <w:rPr>
          <w:rFonts w:ascii="Times New Roman" w:hAnsi="Times New Roman"/>
          <w:b w:val="0"/>
          <w:i w:val="0"/>
          <w:sz w:val="24"/>
        </w:rPr>
        <w:t xml:space="preserve"> Defendant-Appellee 1977 Whitehall Road, Trailer 17, North Muskegon, MI 49445 North Muskegon, MI 49445 </w:t>
      </w:r>
      <w:r>
        <w:rPr>
          <w:rFonts w:ascii="Times New Roman" w:hAnsi="Times New Roman"/>
          <w:b/>
          <w:i w:val="0"/>
          <w:sz w:val="24"/>
        </w:rPr>
        <w:t>Method:</w:t>
      </w:r>
      <w:r>
        <w:rPr>
          <w:rFonts w:ascii="Times New Roman" w:hAnsi="Times New Roman"/>
          <w:b w:val="0"/>
          <w:i w:val="0"/>
          <w:sz w:val="24"/>
        </w:rPr>
        <w:t xml:space="preserve"> ☐ First-class U.S. Mail, postage prepaid ☐ Personal service ☐ Electronic service (email)</w:t>
      </w:r>
    </w:p>
    <w:p>
      <w:pPr>
        <w:spacing w:line="480" w:lineRule="auto" w:after="0" w:before="0"/>
      </w:pPr>
      <w:r>
        <w:rPr>
          <w:rFonts w:ascii="Times New Roman" w:hAnsi="Times New Roman"/>
          <w:b/>
          <w:i w:val="0"/>
          <w:sz w:val="24"/>
        </w:rPr>
        <w:t>Jennifer L. Barnes (P55406)</w:t>
      </w:r>
      <w:r>
        <w:rPr>
          <w:rFonts w:ascii="Times New Roman" w:hAnsi="Times New Roman"/>
          <w:b w:val="0"/>
          <w:i w:val="0"/>
          <w:sz w:val="24"/>
        </w:rPr>
        <w:t xml:space="preserve"> Attorney for Defendant-Appellee 1977 Whitehall Road, Trailer 17, North Muskegon, MI 49445 North Muskegon, MI 49445 jbarneslaw@aol.com </w:t>
      </w:r>
      <w:r>
        <w:rPr>
          <w:rFonts w:ascii="Times New Roman" w:hAnsi="Times New Roman"/>
          <w:b/>
          <w:i w:val="0"/>
          <w:sz w:val="24"/>
        </w:rPr>
        <w:t>Method:</w:t>
      </w:r>
      <w:r>
        <w:rPr>
          <w:rFonts w:ascii="Times New Roman" w:hAnsi="Times New Roman"/>
          <w:b w:val="0"/>
          <w:i w:val="0"/>
          <w:sz w:val="24"/>
        </w:rPr>
        <w:t xml:space="preserve"> ☐ First-class U.S. Mail, postage prepaid ☐ Personal service ☐ Electronic service (email: jbarneslaw@aol.com)</w:t>
      </w:r>
    </w:p>
    <w:p>
      <w:pPr>
        <w:spacing w:line="480" w:lineRule="auto" w:after="0" w:before="0"/>
      </w:pPr>
      <w:r>
        <w:rPr>
          <w:rFonts w:ascii="Times New Roman" w:hAnsi="Times New Roman"/>
          <w:b/>
          <w:sz w:val="24"/>
        </w:rPr>
        <w:t xml:space="preserve">4. </w:t>
      </w:r>
      <w:r>
        <w:rPr>
          <w:rFonts w:ascii="Times New Roman" w:hAnsi="Times New Roman"/>
          <w:b w:val="0"/>
          <w:i w:val="0"/>
          <w:sz w:val="24"/>
        </w:rPr>
        <w:t>I declare under the penalties of perjury that the statements above are true to the best of my information, knowledge, and belief.</w:t>
      </w:r>
    </w:p>
    <w:p>
      <w:pPr>
        <w:spacing w:line="480" w:lineRule="auto" w:after="0" w:before="0"/>
      </w:pPr>
      <w:r>
        <w:rPr>
          <w:rFonts w:ascii="Times New Roman" w:hAnsi="Times New Roman"/>
          <w:b w:val="0"/>
          <w:i w:val="0"/>
          <w:sz w:val="24"/>
        </w:rPr>
        <w:t>/s/ Andrew Pigors</w:t>
      </w:r>
    </w:p>
    <w:p>
      <w:r>
        <w:br w:type="page"/>
      </w:r>
    </w:p>
    <w:p>
      <w:pPr>
        <w:spacing w:line="480" w:lineRule="auto" w:after="0" w:before="0"/>
      </w:pPr>
      <w:r>
        <w:rPr>
          <w:rFonts w:ascii="Times New Roman" w:hAnsi="Times New Roman"/>
          <w:b w:val="0"/>
          <w:i w:val="0"/>
          <w:sz w:val="24"/>
        </w:rPr>
        <w:t xml:space="preserve">Andrew Pigors Plaintiff-Appellant, </w:t>
      </w:r>
      <w:r>
        <w:rPr>
          <w:rFonts w:ascii="Times New Roman" w:hAnsi="Times New Roman"/>
          <w:b w:val="0"/>
          <w:i/>
          <w:sz w:val="24"/>
        </w:rPr>
        <w:t>Pro Se</w:t>
      </w:r>
    </w:p>
    <w:p>
      <w:pPr>
        <w:spacing w:line="480" w:lineRule="auto" w:after="0" w:before="0"/>
      </w:pPr>
      <w:r>
        <w:rPr>
          <w:rFonts w:ascii="Times New Roman" w:hAnsi="Times New Roman"/>
          <w:b w:val="0"/>
          <w:i w:val="0"/>
          <w:sz w:val="24"/>
        </w:rPr>
        <w:t>Dated: ____________, 2026</w:t>
      </w:r>
    </w:p>
    <w:p>
      <w:pPr>
        <w:spacing w:line="480" w:lineRule="auto" w:after="0" w:before="0"/>
      </w:pPr>
      <w:r>
        <w:rPr>
          <w:rFonts w:ascii="Times New Roman" w:hAnsi="Times New Roman"/>
          <w:b w:val="0"/>
          <w:i w:val="0"/>
          <w:sz w:val="24"/>
        </w:rPr>
        <w:t>Subscribed and sworn to before me this _____ day of ____________, 2026.</w:t>
      </w:r>
    </w:p>
    <w:p>
      <w:r>
        <w:br w:type="page"/>
      </w:r>
    </w:p>
    <w:p>
      <w:pPr>
        <w:spacing w:line="480" w:lineRule="auto" w:after="0" w:before="0"/>
      </w:pPr>
      <w:r>
        <w:rPr>
          <w:rFonts w:ascii="Times New Roman" w:hAnsi="Times New Roman"/>
          <w:b w:val="0"/>
          <w:i w:val="0"/>
          <w:sz w:val="24"/>
        </w:rPr>
        <w:t>Notary Public, State of Michigan County of ____________ My commission expires: ____________</w:t>
      </w:r>
    </w:p>
    <w:p>
      <w:r>
        <w:br w:type="page"/>
      </w:r>
    </w:p>
    <w:p>
      <w:pPr>
        <w:spacing w:line="480" w:lineRule="auto" w:after="0" w:before="0"/>
      </w:pPr>
      <w:r>
        <w:rPr>
          <w:rFonts w:ascii="Times New Roman" w:hAnsi="Times New Roman"/>
          <w:b w:val="0"/>
          <w:i w:val="0"/>
          <w:sz w:val="24"/>
        </w:rPr>
        <w:t>\newpage</w:t>
      </w:r>
    </w:p>
    <w:p>
      <w:pPr>
        <w:spacing w:line="480" w:lineRule="auto" w:after="0" w:before="0"/>
      </w:pPr>
      <w:r>
        <w:rPr>
          <w:rFonts w:ascii="Times New Roman" w:hAnsi="Times New Roman"/>
          <w:b w:val="0"/>
          <w:i w:val="0"/>
          <w:sz w:val="24"/>
        </w:rPr>
        <w:t>================================================================================ APPENDIX INDEX MCR 7.212(C)(8) ================================================================================</w:t>
      </w:r>
    </w:p>
    <w:p>
      <w:pPr>
        <w:spacing w:line="480" w:lineRule="auto" w:after="0" w:before="0"/>
      </w:pPr>
      <w:r>
        <w:rPr>
          <w:rFonts w:ascii="Times New Roman" w:hAnsi="Times New Roman"/>
          <w:b w:val="0"/>
          <w:i w:val="0"/>
          <w:sz w:val="24"/>
        </w:rPr>
        <w:t>The following appendices are filed concurrently with this brief in a separately bound Appendix volume, pursuant to MCR 7.212(C)(8). The Appendix contains copies of all orders, opinions, and other documents referenced in this brief, as well as the constitutional provisions and court rules at issue.</w:t>
      </w:r>
    </w:p>
    <w:p>
      <w:pPr>
        <w:pStyle w:val="Heading2"/>
      </w:pPr>
      <w:r>
        <w:rPr>
          <w:rFonts w:ascii="Times New Roman" w:hAnsi="Times New Roman"/>
        </w:rPr>
        <w:t>Orders and Opinions Appealed From</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Appendix</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Date</w:t>
            </w:r>
          </w:p>
        </w:tc>
      </w:tr>
      <w:tr>
        <w:tc>
          <w:tcPr>
            <w:tcW w:type="dxa" w:w="3120"/>
          </w:tcPr>
          <w:p>
            <w:pPr>
              <w:spacing w:line="240" w:lineRule="auto"/>
            </w:pPr>
            <w:r/>
            <w:r>
              <w:rPr>
                <w:rFonts w:ascii="Times New Roman" w:hAnsi="Times New Roman"/>
                <w:b w:val="0"/>
                <w:i w:val="0"/>
                <w:sz w:val="24"/>
              </w:rPr>
              <w:t>A</w:t>
            </w:r>
          </w:p>
        </w:tc>
        <w:tc>
          <w:tcPr>
            <w:tcW w:type="dxa" w:w="3120"/>
          </w:tcPr>
          <w:p>
            <w:pPr>
              <w:spacing w:line="240" w:lineRule="auto"/>
            </w:pPr>
            <w:r/>
            <w:r>
              <w:rPr>
                <w:rFonts w:ascii="Times New Roman" w:hAnsi="Times New Roman"/>
                <w:b w:val="0"/>
                <w:i w:val="0"/>
                <w:sz w:val="24"/>
              </w:rPr>
              <w:t>Lower Court Register of Actions (Case No. 2024-001507-DC)</w:t>
            </w:r>
          </w:p>
        </w:tc>
        <w:tc>
          <w:tcPr>
            <w:tcW w:type="dxa" w:w="3120"/>
          </w:tcPr>
          <w:p>
            <w:pPr>
              <w:spacing w:line="240" w:lineRule="auto"/>
            </w:pPr>
            <w:r/>
            <w:r>
              <w:rPr>
                <w:rFonts w:ascii="Times New Roman" w:hAnsi="Times New Roman"/>
                <w:b w:val="0"/>
                <w:i w:val="0"/>
                <w:sz w:val="24"/>
              </w:rPr>
              <w:t>Various</w:t>
            </w:r>
          </w:p>
        </w:tc>
      </w:tr>
      <w:tr>
        <w:tc>
          <w:tcPr>
            <w:tcW w:type="dxa" w:w="3120"/>
          </w:tcPr>
          <w:p>
            <w:pPr>
              <w:spacing w:line="240" w:lineRule="auto"/>
            </w:pPr>
            <w:r/>
            <w:r>
              <w:rPr>
                <w:rFonts w:ascii="Times New Roman" w:hAnsi="Times New Roman"/>
                <w:b w:val="0"/>
                <w:i w:val="0"/>
                <w:sz w:val="24"/>
              </w:rPr>
              <w:t>B</w:t>
            </w:r>
          </w:p>
        </w:tc>
        <w:tc>
          <w:tcPr>
            <w:tcW w:type="dxa" w:w="3120"/>
          </w:tcPr>
          <w:p>
            <w:pPr>
              <w:spacing w:line="240" w:lineRule="auto"/>
            </w:pPr>
            <w:r/>
            <w:r>
              <w:rPr>
                <w:rFonts w:ascii="Times New Roman" w:hAnsi="Times New Roman"/>
                <w:b w:val="0"/>
                <w:i w:val="0"/>
                <w:sz w:val="24"/>
              </w:rPr>
              <w:t>Ex Parte Order Suspending Parenting Time</w:t>
            </w:r>
          </w:p>
        </w:tc>
        <w:tc>
          <w:tcPr>
            <w:tcW w:type="dxa" w:w="3120"/>
          </w:tcPr>
          <w:p>
            <w:pPr>
              <w:spacing w:line="240" w:lineRule="auto"/>
            </w:pPr>
            <w:r/>
            <w:r>
              <w:rPr>
                <w:rFonts w:ascii="Times New Roman" w:hAnsi="Times New Roman"/>
                <w:b w:val="0"/>
                <w:i w:val="0"/>
                <w:sz w:val="24"/>
              </w:rPr>
              <w:t>August 8, 2025</w:t>
            </w:r>
          </w:p>
        </w:tc>
      </w:tr>
      <w:tr>
        <w:tc>
          <w:tcPr>
            <w:tcW w:type="dxa" w:w="3120"/>
          </w:tcPr>
          <w:p>
            <w:pPr>
              <w:spacing w:line="240" w:lineRule="auto"/>
            </w:pPr>
            <w:r/>
            <w:r>
              <w:rPr>
                <w:rFonts w:ascii="Times New Roman" w:hAnsi="Times New Roman"/>
                <w:b w:val="0"/>
                <w:i w:val="0"/>
                <w:sz w:val="24"/>
              </w:rPr>
              <w:t>C</w:t>
            </w:r>
          </w:p>
        </w:tc>
        <w:tc>
          <w:tcPr>
            <w:tcW w:type="dxa" w:w="3120"/>
          </w:tcPr>
          <w:p>
            <w:pPr>
              <w:spacing w:line="240" w:lineRule="auto"/>
            </w:pPr>
            <w:r/>
            <w:r>
              <w:rPr>
                <w:rFonts w:ascii="Times New Roman" w:hAnsi="Times New Roman"/>
                <w:b w:val="0"/>
                <w:i w:val="0"/>
                <w:sz w:val="24"/>
              </w:rPr>
              <w:t>Defendant-Appellee's Ex Parte Motion to Suspend</w:t>
            </w:r>
          </w:p>
        </w:tc>
        <w:tc>
          <w:tcPr>
            <w:tcW w:type="dxa" w:w="3120"/>
          </w:tcPr>
          <w:p>
            <w:pPr>
              <w:spacing w:line="240" w:lineRule="auto"/>
            </w:pPr>
            <w:r/>
            <w:r>
              <w:rPr>
                <w:rFonts w:ascii="Times New Roman" w:hAnsi="Times New Roman"/>
                <w:b w:val="0"/>
                <w:i w:val="0"/>
                <w:sz w:val="24"/>
              </w:rPr>
              <w:t>August 8, 2025</w:t>
            </w:r>
          </w:p>
        </w:tc>
      </w:tr>
      <w:tr>
        <w:tc>
          <w:tcPr>
            <w:tcW w:type="dxa" w:w="3120"/>
          </w:tcPr>
          <w:p>
            <w:pPr>
              <w:spacing w:line="240" w:lineRule="auto"/>
            </w:pPr>
            <w:r/>
            <w:r>
              <w:rPr>
                <w:rFonts w:ascii="Times New Roman" w:hAnsi="Times New Roman"/>
                <w:b w:val="0"/>
                <w:i w:val="0"/>
                <w:sz w:val="24"/>
              </w:rPr>
              <w:t>D</w:t>
            </w:r>
          </w:p>
        </w:tc>
        <w:tc>
          <w:tcPr>
            <w:tcW w:type="dxa" w:w="3120"/>
          </w:tcPr>
          <w:p>
            <w:pPr>
              <w:spacing w:line="240" w:lineRule="auto"/>
            </w:pPr>
            <w:r/>
            <w:r>
              <w:rPr>
                <w:rFonts w:ascii="Times New Roman" w:hAnsi="Times New Roman"/>
                <w:b w:val="0"/>
                <w:i w:val="0"/>
                <w:sz w:val="24"/>
              </w:rPr>
              <w:t>Court Order re: November 26, 2025 Hearing</w:t>
            </w:r>
          </w:p>
        </w:tc>
        <w:tc>
          <w:tcPr>
            <w:tcW w:type="dxa" w:w="3120"/>
          </w:tcPr>
          <w:p>
            <w:pPr>
              <w:spacing w:line="240" w:lineRule="auto"/>
            </w:pPr>
            <w:r/>
            <w:r>
              <w:rPr>
                <w:rFonts w:ascii="Times New Roman" w:hAnsi="Times New Roman"/>
                <w:b w:val="0"/>
                <w:i w:val="0"/>
                <w:sz w:val="24"/>
              </w:rPr>
              <w:t>November 26, 2025</w:t>
            </w:r>
          </w:p>
        </w:tc>
      </w:tr>
      <w:tr>
        <w:tc>
          <w:tcPr>
            <w:tcW w:type="dxa" w:w="3120"/>
          </w:tcPr>
          <w:p>
            <w:pPr>
              <w:spacing w:line="240" w:lineRule="auto"/>
            </w:pPr>
            <w:r/>
            <w:r>
              <w:rPr>
                <w:rFonts w:ascii="Times New Roman" w:hAnsi="Times New Roman"/>
                <w:b w:val="0"/>
                <w:i w:val="0"/>
                <w:sz w:val="24"/>
              </w:rPr>
              <w:t>E</w:t>
            </w:r>
          </w:p>
        </w:tc>
        <w:tc>
          <w:tcPr>
            <w:tcW w:type="dxa" w:w="3120"/>
          </w:tcPr>
          <w:p>
            <w:pPr>
              <w:spacing w:line="240" w:lineRule="auto"/>
            </w:pPr>
            <w:r/>
            <w:r>
              <w:rPr>
                <w:rFonts w:ascii="Times New Roman" w:hAnsi="Times New Roman"/>
                <w:b w:val="0"/>
                <w:i w:val="0"/>
                <w:sz w:val="24"/>
              </w:rPr>
              <w:t>Court Order re: February 14, 2025 Hearing (Parenting Time Motion)</w:t>
            </w:r>
          </w:p>
        </w:tc>
        <w:tc>
          <w:tcPr>
            <w:tcW w:type="dxa" w:w="3120"/>
          </w:tcPr>
          <w:p>
            <w:pPr>
              <w:spacing w:line="240" w:lineRule="auto"/>
            </w:pPr>
            <w:r/>
            <w:r>
              <w:rPr>
                <w:rFonts w:ascii="Times New Roman" w:hAnsi="Times New Roman"/>
                <w:b w:val="0"/>
                <w:i w:val="0"/>
                <w:sz w:val="24"/>
              </w:rPr>
              <w:t>February 14, 2025</w:t>
            </w:r>
          </w:p>
        </w:tc>
      </w:tr>
      <w:tr>
        <w:tc>
          <w:tcPr>
            <w:tcW w:type="dxa" w:w="3120"/>
          </w:tcPr>
          <w:p>
            <w:pPr>
              <w:spacing w:line="240" w:lineRule="auto"/>
            </w:pPr>
            <w:r/>
            <w:r>
              <w:rPr>
                <w:rFonts w:ascii="Times New Roman" w:hAnsi="Times New Roman"/>
                <w:b w:val="0"/>
                <w:i w:val="0"/>
                <w:sz w:val="24"/>
              </w:rPr>
              <w:t>F</w:t>
            </w:r>
          </w:p>
        </w:tc>
        <w:tc>
          <w:tcPr>
            <w:tcW w:type="dxa" w:w="3120"/>
          </w:tcPr>
          <w:p>
            <w:pPr>
              <w:spacing w:line="240" w:lineRule="auto"/>
            </w:pPr>
            <w:r/>
            <w:r>
              <w:rPr>
                <w:rFonts w:ascii="Times New Roman" w:hAnsi="Times New Roman"/>
                <w:b w:val="0"/>
                <w:i w:val="0"/>
                <w:sz w:val="24"/>
              </w:rPr>
              <w:t>Court Order re: September 22, 2025 Hearing (HealthWest Assessment)</w:t>
            </w:r>
          </w:p>
        </w:tc>
        <w:tc>
          <w:tcPr>
            <w:tcW w:type="dxa" w:w="3120"/>
          </w:tcPr>
          <w:p>
            <w:pPr>
              <w:spacing w:line="240" w:lineRule="auto"/>
            </w:pPr>
            <w:r/>
            <w:r>
              <w:rPr>
                <w:rFonts w:ascii="Times New Roman" w:hAnsi="Times New Roman"/>
                <w:b w:val="0"/>
                <w:i w:val="0"/>
                <w:sz w:val="24"/>
              </w:rPr>
              <w:t>September 22, 2025</w:t>
            </w:r>
          </w:p>
        </w:tc>
      </w:tr>
    </w:tbl>
    <w:p>
      <w:pPr>
        <w:pStyle w:val="Heading2"/>
      </w:pPr>
      <w:r>
        <w:rPr>
          <w:rFonts w:ascii="Times New Roman" w:hAnsi="Times New Roman"/>
        </w:rPr>
        <w:t>Pleadings and Discovery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Appendix</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Date</w:t>
            </w:r>
          </w:p>
        </w:tc>
      </w:tr>
      <w:tr>
        <w:tc>
          <w:tcPr>
            <w:tcW w:type="dxa" w:w="3120"/>
          </w:tcPr>
          <w:p>
            <w:pPr>
              <w:spacing w:line="240" w:lineRule="auto"/>
            </w:pPr>
            <w:r/>
            <w:r>
              <w:rPr>
                <w:rFonts w:ascii="Times New Roman" w:hAnsi="Times New Roman"/>
                <w:b w:val="0"/>
                <w:i w:val="0"/>
                <w:sz w:val="24"/>
              </w:rPr>
              <w:t>G</w:t>
            </w:r>
          </w:p>
        </w:tc>
        <w:tc>
          <w:tcPr>
            <w:tcW w:type="dxa" w:w="3120"/>
          </w:tcPr>
          <w:p>
            <w:pPr>
              <w:spacing w:line="240" w:lineRule="auto"/>
            </w:pPr>
            <w:r/>
            <w:r>
              <w:rPr>
                <w:rFonts w:ascii="Times New Roman" w:hAnsi="Times New Roman"/>
                <w:b w:val="0"/>
                <w:i w:val="0"/>
                <w:sz w:val="24"/>
              </w:rPr>
              <w:t>Personal Protection Order</w:t>
            </w:r>
          </w:p>
        </w:tc>
        <w:tc>
          <w:tcPr>
            <w:tcW w:type="dxa" w:w="3120"/>
          </w:tcPr>
          <w:p>
            <w:pPr>
              <w:spacing w:line="240" w:lineRule="auto"/>
            </w:pPr>
            <w:r/>
            <w:r>
              <w:rPr>
                <w:rFonts w:ascii="Times New Roman" w:hAnsi="Times New Roman"/>
                <w:b w:val="0"/>
                <w:i w:val="0"/>
                <w:sz w:val="24"/>
              </w:rPr>
              <w:t>September 15, 2024</w:t>
            </w:r>
          </w:p>
        </w:tc>
      </w:tr>
      <w:tr>
        <w:tc>
          <w:tcPr>
            <w:tcW w:type="dxa" w:w="3120"/>
          </w:tcPr>
          <w:p>
            <w:pPr>
              <w:spacing w:line="240" w:lineRule="auto"/>
            </w:pPr>
            <w:r/>
            <w:r>
              <w:rPr>
                <w:rFonts w:ascii="Times New Roman" w:hAnsi="Times New Roman"/>
                <w:b w:val="0"/>
                <w:i w:val="0"/>
                <w:sz w:val="24"/>
              </w:rPr>
              <w:t>H</w:t>
            </w:r>
          </w:p>
        </w:tc>
        <w:tc>
          <w:tcPr>
            <w:tcW w:type="dxa" w:w="3120"/>
          </w:tcPr>
          <w:p>
            <w:pPr>
              <w:spacing w:line="240" w:lineRule="auto"/>
            </w:pPr>
            <w:r/>
            <w:r>
              <w:rPr>
                <w:rFonts w:ascii="Times New Roman" w:hAnsi="Times New Roman"/>
                <w:b w:val="0"/>
                <w:i w:val="0"/>
                <w:sz w:val="24"/>
              </w:rPr>
              <w:t>FOC Recommendation</w:t>
            </w:r>
          </w:p>
        </w:tc>
        <w:tc>
          <w:tcPr>
            <w:tcW w:type="dxa" w:w="3120"/>
          </w:tcPr>
          <w:p>
            <w:pPr>
              <w:spacing w:line="240" w:lineRule="auto"/>
            </w:pPr>
            <w:r/>
            <w:r>
              <w:rPr>
                <w:rFonts w:ascii="Times New Roman" w:hAnsi="Times New Roman"/>
                <w:b w:val="0"/>
                <w:i w:val="0"/>
                <w:sz w:val="24"/>
              </w:rPr>
              <w:t>March 1, 2025</w:t>
            </w:r>
          </w:p>
        </w:tc>
      </w:tr>
    </w:tbl>
    <w:p>
      <w:pPr>
        <w:pStyle w:val="Heading2"/>
      </w:pPr>
      <w:r>
        <w:rPr>
          <w:rFonts w:ascii="Times New Roman" w:hAnsi="Times New Roman"/>
        </w:rPr>
        <w:t>Exhibits and Evidence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Appendix</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Date</w:t>
            </w:r>
          </w:p>
        </w:tc>
      </w:tr>
      <w:tr>
        <w:tc>
          <w:tcPr>
            <w:tcW w:type="dxa" w:w="3120"/>
          </w:tcPr>
          <w:p>
            <w:pPr>
              <w:spacing w:line="240" w:lineRule="auto"/>
            </w:pPr>
            <w:r/>
            <w:r>
              <w:rPr>
                <w:rFonts w:ascii="Times New Roman" w:hAnsi="Times New Roman"/>
                <w:b w:val="0"/>
                <w:i w:val="0"/>
                <w:sz w:val="24"/>
              </w:rPr>
              <w:t>I</w:t>
            </w:r>
          </w:p>
        </w:tc>
        <w:tc>
          <w:tcPr>
            <w:tcW w:type="dxa" w:w="3120"/>
          </w:tcPr>
          <w:p>
            <w:pPr>
              <w:spacing w:line="240" w:lineRule="auto"/>
            </w:pPr>
            <w:r/>
            <w:r>
              <w:rPr>
                <w:rFonts w:ascii="Times New Roman" w:hAnsi="Times New Roman"/>
                <w:b w:val="0"/>
                <w:i w:val="0"/>
                <w:sz w:val="24"/>
              </w:rPr>
              <w:t>Timestamped Photographs from July 29, 2025 Exchange</w:t>
            </w:r>
          </w:p>
        </w:tc>
        <w:tc>
          <w:tcPr>
            <w:tcW w:type="dxa" w:w="3120"/>
          </w:tcPr>
          <w:p>
            <w:pPr>
              <w:spacing w:line="240" w:lineRule="auto"/>
            </w:pPr>
            <w:r/>
            <w:r>
              <w:rPr>
                <w:rFonts w:ascii="Times New Roman" w:hAnsi="Times New Roman"/>
                <w:b w:val="0"/>
                <w:i w:val="0"/>
                <w:sz w:val="24"/>
              </w:rPr>
              <w:t>July 29, 2025</w:t>
            </w:r>
          </w:p>
        </w:tc>
      </w:tr>
      <w:tr>
        <w:tc>
          <w:tcPr>
            <w:tcW w:type="dxa" w:w="3120"/>
          </w:tcPr>
          <w:p>
            <w:pPr>
              <w:spacing w:line="240" w:lineRule="auto"/>
            </w:pPr>
            <w:r/>
            <w:r>
              <w:rPr>
                <w:rFonts w:ascii="Times New Roman" w:hAnsi="Times New Roman"/>
                <w:b w:val="0"/>
                <w:i w:val="0"/>
                <w:sz w:val="24"/>
              </w:rPr>
              <w:t>J</w:t>
            </w:r>
          </w:p>
        </w:tc>
        <w:tc>
          <w:tcPr>
            <w:tcW w:type="dxa" w:w="3120"/>
          </w:tcPr>
          <w:p>
            <w:pPr>
              <w:spacing w:line="240" w:lineRule="auto"/>
            </w:pPr>
            <w:r/>
            <w:r>
              <w:rPr>
                <w:rFonts w:ascii="Times New Roman" w:hAnsi="Times New Roman"/>
                <w:b w:val="0"/>
                <w:i w:val="0"/>
                <w:sz w:val="24"/>
              </w:rPr>
              <w:t>Summary of 540 Benchbook Violations (by Rule)</w:t>
            </w:r>
          </w:p>
        </w:tc>
        <w:tc>
          <w:tcPr>
            <w:tcW w:type="dxa" w:w="3120"/>
          </w:tcPr>
          <w:p>
            <w:pPr>
              <w:spacing w:line="240" w:lineRule="auto"/>
            </w:pPr>
            <w:r/>
            <w:r>
              <w:rPr>
                <w:rFonts w:ascii="Times New Roman" w:hAnsi="Times New Roman"/>
                <w:b w:val="0"/>
                <w:i w:val="0"/>
                <w:sz w:val="24"/>
              </w:rPr>
              <w:t>Compiled</w:t>
            </w:r>
          </w:p>
        </w:tc>
      </w:tr>
      <w:tr>
        <w:tc>
          <w:tcPr>
            <w:tcW w:type="dxa" w:w="3120"/>
          </w:tcPr>
          <w:p>
            <w:pPr>
              <w:spacing w:line="240" w:lineRule="auto"/>
            </w:pPr>
            <w:r/>
            <w:r>
              <w:rPr>
                <w:rFonts w:ascii="Times New Roman" w:hAnsi="Times New Roman"/>
                <w:b w:val="0"/>
                <w:i w:val="0"/>
                <w:sz w:val="24"/>
              </w:rPr>
              <w:t>K</w:t>
            </w:r>
          </w:p>
        </w:tc>
        <w:tc>
          <w:tcPr>
            <w:tcW w:type="dxa" w:w="3120"/>
          </w:tcPr>
          <w:p>
            <w:pPr>
              <w:spacing w:line="240" w:lineRule="auto"/>
            </w:pPr>
            <w:r/>
            <w:r>
              <w:rPr>
                <w:rFonts w:ascii="Times New Roman" w:hAnsi="Times New Roman"/>
                <w:b w:val="0"/>
                <w:i w:val="0"/>
                <w:sz w:val="24"/>
              </w:rPr>
              <w:t>Summary of 226 Ex Parte Communication Violations</w:t>
            </w:r>
          </w:p>
        </w:tc>
        <w:tc>
          <w:tcPr>
            <w:tcW w:type="dxa" w:w="3120"/>
          </w:tcPr>
          <w:p>
            <w:pPr>
              <w:spacing w:line="240" w:lineRule="auto"/>
            </w:pPr>
            <w:r/>
            <w:r>
              <w:rPr>
                <w:rFonts w:ascii="Times New Roman" w:hAnsi="Times New Roman"/>
                <w:b w:val="0"/>
                <w:i w:val="0"/>
                <w:sz w:val="24"/>
              </w:rPr>
              <w:t>Compiled</w:t>
            </w:r>
          </w:p>
        </w:tc>
      </w:tr>
      <w:tr>
        <w:tc>
          <w:tcPr>
            <w:tcW w:type="dxa" w:w="3120"/>
          </w:tcPr>
          <w:p>
            <w:pPr>
              <w:spacing w:line="240" w:lineRule="auto"/>
            </w:pPr>
            <w:r/>
            <w:r>
              <w:rPr>
                <w:rFonts w:ascii="Times New Roman" w:hAnsi="Times New Roman"/>
                <w:b w:val="0"/>
                <w:i w:val="0"/>
                <w:sz w:val="24"/>
              </w:rPr>
              <w:t>L</w:t>
            </w:r>
          </w:p>
        </w:tc>
        <w:tc>
          <w:tcPr>
            <w:tcW w:type="dxa" w:w="3120"/>
          </w:tcPr>
          <w:p>
            <w:pPr>
              <w:spacing w:line="240" w:lineRule="auto"/>
            </w:pPr>
            <w:r/>
            <w:r>
              <w:rPr>
                <w:rFonts w:ascii="Times New Roman" w:hAnsi="Times New Roman"/>
                <w:b w:val="0"/>
                <w:i w:val="0"/>
                <w:sz w:val="24"/>
              </w:rPr>
              <w:t>Summary of 1,895 Judicial-Category Impeachment Items</w:t>
            </w:r>
          </w:p>
        </w:tc>
        <w:tc>
          <w:tcPr>
            <w:tcW w:type="dxa" w:w="3120"/>
          </w:tcPr>
          <w:p>
            <w:pPr>
              <w:spacing w:line="240" w:lineRule="auto"/>
            </w:pPr>
            <w:r/>
            <w:r>
              <w:rPr>
                <w:rFonts w:ascii="Times New Roman" w:hAnsi="Times New Roman"/>
                <w:b w:val="0"/>
                <w:i w:val="0"/>
                <w:sz w:val="24"/>
              </w:rPr>
              <w:t>Compiled</w:t>
            </w:r>
          </w:p>
        </w:tc>
      </w:tr>
    </w:tbl>
    <w:p>
      <w:pPr>
        <w:pStyle w:val="Heading2"/>
      </w:pPr>
      <w:r>
        <w:rPr>
          <w:rFonts w:ascii="Times New Roman" w:hAnsi="Times New Roman"/>
        </w:rPr>
        <w:t>Constitutional Provisions, Statutes, and Court Rules</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Appendix</w:t>
            </w:r>
          </w:p>
        </w:tc>
        <w:tc>
          <w:tcPr>
            <w:tcW w:type="dxa" w:w="4680"/>
          </w:tcPr>
          <w:p>
            <w:pPr>
              <w:spacing w:line="240" w:lineRule="auto"/>
            </w:pPr>
            <w:r/>
            <w:r>
              <w:rPr>
                <w:rFonts w:ascii="Times New Roman" w:hAnsi="Times New Roman"/>
                <w:b/>
                <w:sz w:val="24"/>
              </w:rPr>
              <w:t>Description</w:t>
            </w:r>
          </w:p>
        </w:tc>
      </w:tr>
      <w:tr>
        <w:tc>
          <w:tcPr>
            <w:tcW w:type="dxa" w:w="4680"/>
          </w:tcPr>
          <w:p>
            <w:pPr>
              <w:spacing w:line="240" w:lineRule="auto"/>
            </w:pPr>
            <w:r/>
            <w:r>
              <w:rPr>
                <w:rFonts w:ascii="Times New Roman" w:hAnsi="Times New Roman"/>
                <w:b w:val="0"/>
                <w:i w:val="0"/>
                <w:sz w:val="24"/>
              </w:rPr>
              <w:t>M</w:t>
            </w:r>
          </w:p>
        </w:tc>
        <w:tc>
          <w:tcPr>
            <w:tcW w:type="dxa" w:w="4680"/>
          </w:tcPr>
          <w:p>
            <w:pPr>
              <w:spacing w:line="240" w:lineRule="auto"/>
            </w:pPr>
            <w:r/>
            <w:r>
              <w:rPr>
                <w:rFonts w:ascii="Times New Roman" w:hAnsi="Times New Roman"/>
                <w:b w:val="0"/>
                <w:i w:val="0"/>
                <w:sz w:val="24"/>
              </w:rPr>
              <w:t>Relevant Michigan Court Rules: MCR 2.003 (Disqualification of Judge), MCR 3.207 (Ex Parte Orders), MCR 7.211 (Service), MCR 7.212 (Briefs), MCR 7.216 (Miscellaneous Relief)</w:t>
            </w:r>
          </w:p>
        </w:tc>
      </w:tr>
      <w:tr>
        <w:tc>
          <w:tcPr>
            <w:tcW w:type="dxa" w:w="4680"/>
          </w:tcPr>
          <w:p>
            <w:pPr>
              <w:spacing w:line="240" w:lineRule="auto"/>
            </w:pPr>
            <w:r/>
            <w:r>
              <w:rPr>
                <w:rFonts w:ascii="Times New Roman" w:hAnsi="Times New Roman"/>
                <w:b w:val="0"/>
                <w:i w:val="0"/>
                <w:sz w:val="24"/>
              </w:rPr>
              <w:t>N</w:t>
            </w:r>
          </w:p>
        </w:tc>
        <w:tc>
          <w:tcPr>
            <w:tcW w:type="dxa" w:w="4680"/>
          </w:tcPr>
          <w:p>
            <w:pPr>
              <w:spacing w:line="240" w:lineRule="auto"/>
            </w:pPr>
            <w:r/>
            <w:r>
              <w:rPr>
                <w:rFonts w:ascii="Times New Roman" w:hAnsi="Times New Roman"/>
                <w:b w:val="0"/>
                <w:i w:val="0"/>
                <w:sz w:val="24"/>
              </w:rPr>
              <w:t>Relevant Michigan Statutes: MCL 722.23 (Best Interest Factors), MCL 722.27a (Parenting Time)</w:t>
            </w:r>
          </w:p>
        </w:tc>
      </w:tr>
      <w:tr>
        <w:tc>
          <w:tcPr>
            <w:tcW w:type="dxa" w:w="4680"/>
          </w:tcPr>
          <w:p>
            <w:pPr>
              <w:spacing w:line="240" w:lineRule="auto"/>
            </w:pPr>
            <w:r/>
            <w:r>
              <w:rPr>
                <w:rFonts w:ascii="Times New Roman" w:hAnsi="Times New Roman"/>
                <w:b w:val="0"/>
                <w:i w:val="0"/>
                <w:sz w:val="24"/>
              </w:rPr>
              <w:t>O</w:t>
            </w:r>
          </w:p>
        </w:tc>
        <w:tc>
          <w:tcPr>
            <w:tcW w:type="dxa" w:w="4680"/>
          </w:tcPr>
          <w:p>
            <w:pPr>
              <w:spacing w:line="240" w:lineRule="auto"/>
            </w:pPr>
            <w:r/>
            <w:r>
              <w:rPr>
                <w:rFonts w:ascii="Times New Roman" w:hAnsi="Times New Roman"/>
                <w:b w:val="0"/>
                <w:i w:val="0"/>
                <w:sz w:val="24"/>
              </w:rPr>
              <w:t>U.S. Constitution, Amendment XIV (Due Process Clause)</w:t>
            </w:r>
          </w:p>
        </w:tc>
      </w:tr>
    </w:tbl>
    <w:p>
      <w:pPr>
        <w:spacing w:line="480" w:lineRule="auto" w:after="0" w:before="0"/>
      </w:pPr>
      <w:r>
        <w:rPr>
          <w:rFonts w:ascii="Times New Roman" w:hAnsi="Times New Roman"/>
          <w:b w:val="0"/>
          <w:i/>
          <w:sz w:val="24"/>
        </w:rPr>
        <w:t>This brief contains fewer than 16,000 words and complies with MCR 7.212(B) formatting requirements.</w:t>
      </w:r>
    </w:p>
    <w:p>
      <w:pPr>
        <w:spacing w:line="480" w:lineRule="auto" w:after="0" w:before="0"/>
      </w:pPr>
      <w:r>
        <w:rPr>
          <w:rFonts w:ascii="Times New Roman" w:hAnsi="Times New Roman"/>
          <w:b w:val="0"/>
          <w:i w:val="0"/>
          <w:sz w:val="24"/>
        </w:rPr>
        <w:t>================================================================================ END OF FILING PACKAGE COA Case No. 366810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