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COURT OF APPEALS</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Plaintiff-Appellant,</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TIFFANY WATSON (fka PIGORS),</w:t>
      </w:r>
      <w:r>
        <w:rPr>
          <w:rFonts w:ascii="Times New Roman" w:hAnsi="Times New Roman"/>
          <w:b w:val="0"/>
          <w:i w:val="0"/>
          <w:sz w:val="24"/>
        </w:rPr>
        <w:t xml:space="preserve"> Defendant-Appellee.</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**Court of Appeals No.**</w:t>
            </w:r>
          </w:p>
        </w:tc>
        <w:tc>
          <w:tcPr>
            <w:tcW w:type="dxa" w:w="4680"/>
          </w:tcPr>
          <w:p>
            <w:pPr>
              <w:spacing w:line="240" w:lineRule="auto"/>
            </w:pPr>
            <w:r/>
            <w:r>
              <w:rPr>
                <w:rFonts w:ascii="Times New Roman" w:hAnsi="Times New Roman"/>
                <w:b/>
                <w:sz w:val="24"/>
              </w:rPr>
              <w:t>**366810**</w:t>
            </w:r>
          </w:p>
        </w:tc>
      </w:tr>
      <w:tr>
        <w:tc>
          <w:tcPr>
            <w:tcW w:type="dxa" w:w="4680"/>
          </w:tcPr>
          <w:p>
            <w:pPr>
              <w:spacing w:line="240" w:lineRule="auto"/>
            </w:pPr>
            <w:r/>
            <w:r>
              <w:rPr>
                <w:rFonts w:ascii="Times New Roman" w:hAnsi="Times New Roman"/>
                <w:b/>
                <w:i w:val="0"/>
                <w:sz w:val="24"/>
              </w:rPr>
              <w:t>Lower Court No.</w:t>
            </w:r>
          </w:p>
        </w:tc>
        <w:tc>
          <w:tcPr>
            <w:tcW w:type="dxa" w:w="4680"/>
          </w:tcPr>
          <w:p>
            <w:pPr>
              <w:spacing w:line="240" w:lineRule="auto"/>
            </w:pPr>
            <w:r/>
            <w:r>
              <w:rPr>
                <w:rFonts w:ascii="Times New Roman" w:hAnsi="Times New Roman"/>
                <w:b/>
                <w:i w:val="0"/>
                <w:sz w:val="24"/>
              </w:rPr>
              <w:t>2024-001507-DC</w:t>
            </w:r>
          </w:p>
        </w:tc>
      </w:tr>
      <w:tr>
        <w:tc>
          <w:tcPr>
            <w:tcW w:type="dxa" w:w="4680"/>
          </w:tcPr>
          <w:p>
            <w:pPr>
              <w:spacing w:line="240" w:lineRule="auto"/>
            </w:pPr>
            <w:r/>
            <w:r>
              <w:rPr>
                <w:rFonts w:ascii="Times New Roman" w:hAnsi="Times New Roman"/>
                <w:b/>
                <w:i w:val="0"/>
                <w:sz w:val="24"/>
              </w:rPr>
              <w:t>Lower Court</w:t>
            </w:r>
          </w:p>
        </w:tc>
        <w:tc>
          <w:tcPr>
            <w:tcW w:type="dxa" w:w="4680"/>
          </w:tcPr>
          <w:p>
            <w:pPr>
              <w:spacing w:line="240" w:lineRule="auto"/>
            </w:pPr>
            <w:r/>
            <w:r>
              <w:rPr>
                <w:rFonts w:ascii="Times New Roman" w:hAnsi="Times New Roman"/>
                <w:b/>
                <w:i w:val="0"/>
                <w:sz w:val="24"/>
              </w:rPr>
              <w:t>14th Circuit Court, Muskegon County</w:t>
            </w:r>
          </w:p>
        </w:tc>
      </w:tr>
      <w:tr>
        <w:tc>
          <w:tcPr>
            <w:tcW w:type="dxa" w:w="4680"/>
          </w:tcPr>
          <w:p>
            <w:pPr>
              <w:spacing w:line="240" w:lineRule="auto"/>
            </w:pPr>
            <w:r/>
            <w:r>
              <w:rPr>
                <w:rFonts w:ascii="Times New Roman" w:hAnsi="Times New Roman"/>
                <w:b/>
                <w:i w:val="0"/>
                <w:sz w:val="24"/>
              </w:rPr>
              <w:t>Lower Court Judge</w:t>
            </w:r>
          </w:p>
        </w:tc>
        <w:tc>
          <w:tcPr>
            <w:tcW w:type="dxa" w:w="4680"/>
          </w:tcPr>
          <w:p>
            <w:pPr>
              <w:spacing w:line="240" w:lineRule="auto"/>
            </w:pPr>
            <w:r/>
            <w:r>
              <w:rPr>
                <w:rFonts w:ascii="Times New Roman" w:hAnsi="Times New Roman"/>
                <w:b/>
                <w:i w:val="0"/>
                <w:sz w:val="24"/>
              </w:rPr>
              <w:t>Hon. Jenny L. McNeill (P-58235)</w:t>
            </w:r>
          </w:p>
        </w:tc>
      </w:tr>
    </w:tbl>
    <w:p>
      <w:pPr>
        <w:spacing w:line="480" w:lineRule="auto" w:after="0" w:before="0"/>
      </w:pPr>
      <w:r>
        <w:rPr>
          <w:rFonts w:ascii="Times New Roman" w:hAnsi="Times New Roman"/>
          <w:b/>
          <w:i w:val="0"/>
          <w:sz w:val="24"/>
        </w:rPr>
        <w:t>THIS CASE INVOLVES A CONTEST AS TO THE CUSTODY OF A MINOR CHILD</w:t>
      </w:r>
    </w:p>
    <w:p>
      <w:r>
        <w:br w:type="page"/>
      </w:r>
    </w:p>
    <w:p>
      <w:pPr>
        <w:spacing w:line="480" w:lineRule="auto" w:after="240" w:before="0"/>
        <w:jc w:val="center"/>
      </w:pPr>
      <w:r>
        <w:rPr>
          <w:rFonts w:ascii="Times New Roman" w:hAnsi="Times New Roman"/>
          <w:b/>
          <w:i w:val="0"/>
          <w:sz w:val="24"/>
        </w:rPr>
        <w:t>APPELLANT'S BRIEF</w:t>
      </w:r>
    </w:p>
    <w:p>
      <w:pPr>
        <w:spacing w:line="480" w:lineRule="auto" w:after="0" w:before="0"/>
      </w:pPr>
      <w:r>
        <w:rPr>
          <w:rFonts w:ascii="Times New Roman" w:hAnsi="Times New Roman"/>
          <w:b/>
          <w:i w:val="0"/>
          <w:sz w:val="24"/>
        </w:rPr>
        <w:t>ORAL ARGUMENT REQUESTED</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Plaintiff-Appellant, </w:t>
      </w:r>
      <w:r>
        <w:rPr>
          <w:rFonts w:ascii="Times New Roman" w:hAnsi="Times New Roman"/>
          <w:b w:val="0"/>
          <w:i/>
          <w:sz w:val="24"/>
        </w:rPr>
        <w:t>Pro Se</w:t>
      </w:r>
      <w:r>
        <w:rPr>
          <w:rFonts w:ascii="Times New Roman" w:hAnsi="Times New Roman"/>
          <w:b w:val="0"/>
          <w:i w:val="0"/>
          <w:sz w:val="24"/>
        </w:rPr>
        <w:t xml:space="preserve"> 1977 Whitehall Rd, Lot 17 Muskegon, MI 49445 Phone: (231) 206-4265 Email: andrewjpigors@gmail.com</w:t>
      </w:r>
    </w:p>
    <w:p>
      <w:pPr>
        <w:spacing w:line="480" w:lineRule="auto" w:after="0" w:before="0"/>
      </w:pPr>
      <w:r>
        <w:rPr>
          <w:rFonts w:ascii="Times New Roman" w:hAnsi="Times New Roman"/>
          <w:b/>
          <w:i w:val="0"/>
          <w:sz w:val="24"/>
        </w:rPr>
        <w:t>Filed: April 15, 2026</w:t>
      </w:r>
    </w:p>
    <w:p>
      <w:r>
        <w:br w:type="page"/>
      </w:r>
    </w:p>
    <w:p>
      <w:pPr>
        <w:pStyle w:val="Heading2"/>
      </w:pPr>
      <w:r>
        <w:rPr>
          <w:rFonts w:ascii="Times New Roman" w:hAnsi="Times New Roman"/>
        </w:rPr>
        <w:t>TABLE OF CONTENTS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Section</w:t>
            </w:r>
          </w:p>
        </w:tc>
        <w:tc>
          <w:tcPr>
            <w:tcW w:type="dxa" w:w="4680"/>
          </w:tcPr>
          <w:p>
            <w:pPr>
              <w:spacing w:line="240" w:lineRule="auto"/>
            </w:pPr>
            <w:r/>
            <w:r>
              <w:rPr>
                <w:rFonts w:ascii="Times New Roman" w:hAnsi="Times New Roman"/>
                <w:b/>
                <w:sz w:val="24"/>
              </w:rPr>
              <w:t>Page</w:t>
            </w:r>
          </w:p>
        </w:tc>
      </w:tr>
      <w:tr>
        <w:tc>
          <w:tcPr>
            <w:tcW w:type="dxa" w:w="4680"/>
          </w:tcPr>
          <w:p>
            <w:pPr>
              <w:spacing w:line="240" w:lineRule="auto"/>
            </w:pPr>
            <w:r/>
            <w:r>
              <w:rPr>
                <w:rFonts w:ascii="Times New Roman" w:hAnsi="Times New Roman"/>
                <w:b w:val="0"/>
                <w:i w:val="0"/>
                <w:sz w:val="24"/>
              </w:rPr>
              <w:t>TABLE OF CONTENTS</w:t>
            </w:r>
          </w:p>
        </w:tc>
        <w:tc>
          <w:tcPr>
            <w:tcW w:type="dxa" w:w="4680"/>
          </w:tcPr>
          <w:p>
            <w:pPr>
              <w:spacing w:line="240" w:lineRule="auto"/>
            </w:pPr>
            <w:r/>
            <w:r>
              <w:rPr>
                <w:rFonts w:ascii="Times New Roman" w:hAnsi="Times New Roman"/>
                <w:b w:val="0"/>
                <w:i w:val="0"/>
                <w:sz w:val="24"/>
              </w:rPr>
              <w:t>i</w:t>
            </w:r>
          </w:p>
        </w:tc>
      </w:tr>
      <w:tr>
        <w:tc>
          <w:tcPr>
            <w:tcW w:type="dxa" w:w="4680"/>
          </w:tcPr>
          <w:p>
            <w:pPr>
              <w:spacing w:line="240" w:lineRule="auto"/>
            </w:pPr>
            <w:r/>
            <w:r>
              <w:rPr>
                <w:rFonts w:ascii="Times New Roman" w:hAnsi="Times New Roman"/>
                <w:b w:val="0"/>
                <w:i w:val="0"/>
                <w:sz w:val="24"/>
              </w:rPr>
              <w:t>INDEX OF AUTHORITIES</w:t>
            </w:r>
          </w:p>
        </w:tc>
        <w:tc>
          <w:tcPr>
            <w:tcW w:type="dxa" w:w="4680"/>
          </w:tcPr>
          <w:p>
            <w:pPr>
              <w:spacing w:line="240" w:lineRule="auto"/>
            </w:pPr>
            <w:r/>
            <w:r>
              <w:rPr>
                <w:rFonts w:ascii="Times New Roman" w:hAnsi="Times New Roman"/>
                <w:b w:val="0"/>
                <w:i w:val="0"/>
                <w:sz w:val="24"/>
              </w:rPr>
              <w:t>ii</w:t>
            </w:r>
          </w:p>
        </w:tc>
      </w:tr>
      <w:tr>
        <w:tc>
          <w:tcPr>
            <w:tcW w:type="dxa" w:w="4680"/>
          </w:tcPr>
          <w:p>
            <w:pPr>
              <w:spacing w:line="240" w:lineRule="auto"/>
            </w:pPr>
            <w:r/>
            <w:r>
              <w:rPr>
                <w:rFonts w:ascii="Times New Roman" w:hAnsi="Times New Roman"/>
                <w:b w:val="0"/>
                <w:i w:val="0"/>
                <w:sz w:val="24"/>
              </w:rPr>
              <w:t>STATEMENT OF JURISDICTION</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STATEMENT OF QUESTIONS PRESENTED</w:t>
            </w:r>
          </w:p>
        </w:tc>
        <w:tc>
          <w:tcPr>
            <w:tcW w:type="dxa" w:w="4680"/>
          </w:tcPr>
          <w:p>
            <w:pPr>
              <w:spacing w:line="240" w:lineRule="auto"/>
            </w:pPr>
            <w:r/>
            <w:r>
              <w:rPr>
                <w:rFonts w:ascii="Times New Roman" w:hAnsi="Times New Roman"/>
                <w:b w:val="0"/>
                <w:i w:val="0"/>
                <w:sz w:val="24"/>
              </w:rPr>
              <w:t>2</w:t>
            </w:r>
          </w:p>
        </w:tc>
      </w:tr>
      <w:tr>
        <w:tc>
          <w:tcPr>
            <w:tcW w:type="dxa" w:w="4680"/>
          </w:tcPr>
          <w:p>
            <w:pPr>
              <w:spacing w:line="240" w:lineRule="auto"/>
            </w:pPr>
            <w:r/>
            <w:r>
              <w:rPr>
                <w:rFonts w:ascii="Times New Roman" w:hAnsi="Times New Roman"/>
                <w:b w:val="0"/>
                <w:i w:val="0"/>
                <w:sz w:val="24"/>
              </w:rPr>
              <w:t>STATEMENT OF FACTS</w:t>
            </w:r>
          </w:p>
        </w:tc>
        <w:tc>
          <w:tcPr>
            <w:tcW w:type="dxa" w:w="4680"/>
          </w:tcPr>
          <w:p>
            <w:pPr>
              <w:spacing w:line="240" w:lineRule="auto"/>
            </w:pPr>
            <w:r/>
            <w:r>
              <w:rPr>
                <w:rFonts w:ascii="Times New Roman" w:hAnsi="Times New Roman"/>
                <w:b w:val="0"/>
                <w:i w:val="0"/>
                <w:sz w:val="24"/>
              </w:rPr>
              <w:t>4</w:t>
            </w:r>
          </w:p>
        </w:tc>
      </w:tr>
      <w:tr>
        <w:tc>
          <w:tcPr>
            <w:tcW w:type="dxa" w:w="4680"/>
          </w:tcPr>
          <w:p>
            <w:pPr>
              <w:spacing w:line="240" w:lineRule="auto"/>
            </w:pPr>
            <w:r/>
            <w:r>
              <w:rPr>
                <w:rFonts w:ascii="Times New Roman" w:hAnsi="Times New Roman"/>
                <w:b w:val="0"/>
                <w:i w:val="0"/>
                <w:sz w:val="24"/>
              </w:rPr>
              <w:t>ARGUMENT</w:t>
            </w:r>
          </w:p>
        </w:tc>
        <w:tc>
          <w:tcPr>
            <w:tcW w:type="dxa" w:w="4680"/>
          </w:tcPr>
          <w:p>
            <w:pPr>
              <w:spacing w:line="240" w:lineRule="auto"/>
            </w:pPr>
            <w:r/>
            <w:r>
              <w:rPr>
                <w:rFonts w:ascii="Times New Roman" w:hAnsi="Times New Roman"/>
                <w:b w:val="0"/>
                <w:i w:val="0"/>
                <w:sz w:val="24"/>
              </w:rPr>
              <w:t>12</w:t>
            </w:r>
          </w:p>
        </w:tc>
      </w:tr>
      <w:tr>
        <w:tc>
          <w:tcPr>
            <w:tcW w:type="dxa" w:w="4680"/>
          </w:tcPr>
          <w:p>
            <w:pPr>
              <w:spacing w:line="240" w:lineRule="auto"/>
            </w:pPr>
            <w:r/>
            <w:r>
              <w:rPr>
                <w:rFonts w:ascii="Times New Roman" w:hAnsi="Times New Roman"/>
                <w:b w:val="0"/>
                <w:i w:val="0"/>
                <w:sz w:val="24"/>
              </w:rPr>
              <w:t>I. The Trial Court Abused Its Discretion by Modifying the Established Custodial Environment Without Clear and Convincing Evidence</w:t>
            </w:r>
          </w:p>
        </w:tc>
        <w:tc>
          <w:tcPr>
            <w:tcW w:type="dxa" w:w="4680"/>
          </w:tcPr>
          <w:p>
            <w:pPr>
              <w:spacing w:line="240" w:lineRule="auto"/>
            </w:pPr>
            <w:r/>
            <w:r>
              <w:rPr>
                <w:rFonts w:ascii="Times New Roman" w:hAnsi="Times New Roman"/>
                <w:b w:val="0"/>
                <w:i w:val="0"/>
                <w:sz w:val="24"/>
              </w:rPr>
              <w:t>12</w:t>
            </w:r>
          </w:p>
        </w:tc>
      </w:tr>
      <w:tr>
        <w:tc>
          <w:tcPr>
            <w:tcW w:type="dxa" w:w="4680"/>
          </w:tcPr>
          <w:p>
            <w:pPr>
              <w:spacing w:line="240" w:lineRule="auto"/>
            </w:pPr>
            <w:r/>
            <w:r>
              <w:rPr>
                <w:rFonts w:ascii="Times New Roman" w:hAnsi="Times New Roman"/>
                <w:b w:val="0"/>
                <w:i w:val="0"/>
                <w:sz w:val="24"/>
              </w:rPr>
              <w:t>II. The Trial Court Violated Appellant's Procedural Due Process Rights by Entering Ex Parte Orders Without Notice or Hearing</w:t>
            </w:r>
          </w:p>
        </w:tc>
        <w:tc>
          <w:tcPr>
            <w:tcW w:type="dxa" w:w="4680"/>
          </w:tcPr>
          <w:p>
            <w:pPr>
              <w:spacing w:line="240" w:lineRule="auto"/>
            </w:pPr>
            <w:r/>
            <w:r>
              <w:rPr>
                <w:rFonts w:ascii="Times New Roman" w:hAnsi="Times New Roman"/>
                <w:b w:val="0"/>
                <w:i w:val="0"/>
                <w:sz w:val="24"/>
              </w:rPr>
              <w:t>16</w:t>
            </w:r>
          </w:p>
        </w:tc>
      </w:tr>
      <w:tr>
        <w:tc>
          <w:tcPr>
            <w:tcW w:type="dxa" w:w="4680"/>
          </w:tcPr>
          <w:p>
            <w:pPr>
              <w:spacing w:line="240" w:lineRule="auto"/>
            </w:pPr>
            <w:r/>
            <w:r>
              <w:rPr>
                <w:rFonts w:ascii="Times New Roman" w:hAnsi="Times New Roman"/>
                <w:b w:val="0"/>
                <w:i w:val="0"/>
                <w:sz w:val="24"/>
              </w:rPr>
              <w:t>III. The Trial Court Erred by Failing to Make Required Findings of Fact on MCL 722.23 Best Interest Factors</w:t>
            </w:r>
          </w:p>
        </w:tc>
        <w:tc>
          <w:tcPr>
            <w:tcW w:type="dxa" w:w="4680"/>
          </w:tcPr>
          <w:p>
            <w:pPr>
              <w:spacing w:line="240" w:lineRule="auto"/>
            </w:pPr>
            <w:r/>
            <w:r>
              <w:rPr>
                <w:rFonts w:ascii="Times New Roman" w:hAnsi="Times New Roman"/>
                <w:b w:val="0"/>
                <w:i w:val="0"/>
                <w:sz w:val="24"/>
              </w:rPr>
              <w:t>20</w:t>
            </w:r>
          </w:p>
        </w:tc>
      </w:tr>
      <w:tr>
        <w:tc>
          <w:tcPr>
            <w:tcW w:type="dxa" w:w="4680"/>
          </w:tcPr>
          <w:p>
            <w:pPr>
              <w:spacing w:line="240" w:lineRule="auto"/>
            </w:pPr>
            <w:r/>
            <w:r>
              <w:rPr>
                <w:rFonts w:ascii="Times New Roman" w:hAnsi="Times New Roman"/>
                <w:b w:val="0"/>
                <w:i w:val="0"/>
                <w:sz w:val="24"/>
              </w:rPr>
              <w:t>IV. The $250 Filing Sanction Unconstitutionally Denied Access to the Courts</w:t>
            </w:r>
          </w:p>
        </w:tc>
        <w:tc>
          <w:tcPr>
            <w:tcW w:type="dxa" w:w="4680"/>
          </w:tcPr>
          <w:p>
            <w:pPr>
              <w:spacing w:line="240" w:lineRule="auto"/>
            </w:pPr>
            <w:r/>
            <w:r>
              <w:rPr>
                <w:rFonts w:ascii="Times New Roman" w:hAnsi="Times New Roman"/>
                <w:b w:val="0"/>
                <w:i w:val="0"/>
                <w:sz w:val="24"/>
              </w:rPr>
              <w:t>24</w:t>
            </w:r>
          </w:p>
        </w:tc>
      </w:tr>
      <w:tr>
        <w:tc>
          <w:tcPr>
            <w:tcW w:type="dxa" w:w="4680"/>
          </w:tcPr>
          <w:p>
            <w:pPr>
              <w:spacing w:line="240" w:lineRule="auto"/>
            </w:pPr>
            <w:r/>
            <w:r>
              <w:rPr>
                <w:rFonts w:ascii="Times New Roman" w:hAnsi="Times New Roman"/>
                <w:b w:val="0"/>
                <w:i w:val="0"/>
                <w:sz w:val="24"/>
              </w:rPr>
              <w:t>V. The Trial Court Demonstrated Actual Bias Requiring Disqualification Under MCR 2.003(C)(1)</w:t>
            </w:r>
          </w:p>
        </w:tc>
        <w:tc>
          <w:tcPr>
            <w:tcW w:type="dxa" w:w="4680"/>
          </w:tcPr>
          <w:p>
            <w:pPr>
              <w:spacing w:line="240" w:lineRule="auto"/>
            </w:pPr>
            <w:r/>
            <w:r>
              <w:rPr>
                <w:rFonts w:ascii="Times New Roman" w:hAnsi="Times New Roman"/>
                <w:b w:val="0"/>
                <w:i w:val="0"/>
                <w:sz w:val="24"/>
              </w:rPr>
              <w:t>27</w:t>
            </w:r>
          </w:p>
        </w:tc>
      </w:tr>
      <w:tr>
        <w:tc>
          <w:tcPr>
            <w:tcW w:type="dxa" w:w="4680"/>
          </w:tcPr>
          <w:p>
            <w:pPr>
              <w:spacing w:line="240" w:lineRule="auto"/>
            </w:pPr>
            <w:r/>
            <w:r>
              <w:rPr>
                <w:rFonts w:ascii="Times New Roman" w:hAnsi="Times New Roman"/>
                <w:b w:val="0"/>
                <w:i w:val="0"/>
                <w:sz w:val="24"/>
              </w:rPr>
              <w:t>VI. The Complete Denial of Parenting Time for 329+ Days Without a Finding of Endangerment Violated MCL 722.27a</w:t>
            </w:r>
          </w:p>
        </w:tc>
        <w:tc>
          <w:tcPr>
            <w:tcW w:type="dxa" w:w="4680"/>
          </w:tcPr>
          <w:p>
            <w:pPr>
              <w:spacing w:line="240" w:lineRule="auto"/>
            </w:pPr>
            <w:r/>
            <w:r>
              <w:rPr>
                <w:rFonts w:ascii="Times New Roman" w:hAnsi="Times New Roman"/>
                <w:b w:val="0"/>
                <w:i w:val="0"/>
                <w:sz w:val="24"/>
              </w:rPr>
              <w:t>31</w:t>
            </w:r>
          </w:p>
        </w:tc>
      </w:tr>
      <w:tr>
        <w:tc>
          <w:tcPr>
            <w:tcW w:type="dxa" w:w="4680"/>
          </w:tcPr>
          <w:p>
            <w:pPr>
              <w:spacing w:line="240" w:lineRule="auto"/>
            </w:pPr>
            <w:r/>
            <w:r>
              <w:rPr>
                <w:rFonts w:ascii="Times New Roman" w:hAnsi="Times New Roman"/>
                <w:b w:val="0"/>
                <w:i w:val="0"/>
                <w:sz w:val="24"/>
              </w:rPr>
              <w:t>RELIEF REQUESTED</w:t>
            </w:r>
          </w:p>
        </w:tc>
        <w:tc>
          <w:tcPr>
            <w:tcW w:type="dxa" w:w="4680"/>
          </w:tcPr>
          <w:p>
            <w:pPr>
              <w:spacing w:line="240" w:lineRule="auto"/>
            </w:pPr>
            <w:r/>
            <w:r>
              <w:rPr>
                <w:rFonts w:ascii="Times New Roman" w:hAnsi="Times New Roman"/>
                <w:b w:val="0"/>
                <w:i w:val="0"/>
                <w:sz w:val="24"/>
              </w:rPr>
              <w:t>35</w:t>
            </w:r>
          </w:p>
        </w:tc>
      </w:tr>
      <w:tr>
        <w:tc>
          <w:tcPr>
            <w:tcW w:type="dxa" w:w="4680"/>
          </w:tcPr>
          <w:p>
            <w:pPr>
              <w:spacing w:line="240" w:lineRule="auto"/>
            </w:pPr>
            <w:r/>
            <w:r>
              <w:rPr>
                <w:rFonts w:ascii="Times New Roman" w:hAnsi="Times New Roman"/>
                <w:b w:val="0"/>
                <w:i w:val="0"/>
                <w:sz w:val="24"/>
              </w:rPr>
              <w:t>SIGNATURE BLOCK</w:t>
            </w:r>
          </w:p>
        </w:tc>
        <w:tc>
          <w:tcPr>
            <w:tcW w:type="dxa" w:w="4680"/>
          </w:tcPr>
          <w:p>
            <w:pPr>
              <w:spacing w:line="240" w:lineRule="auto"/>
            </w:pPr>
            <w:r/>
            <w:r>
              <w:rPr>
                <w:rFonts w:ascii="Times New Roman" w:hAnsi="Times New Roman"/>
                <w:b w:val="0"/>
                <w:i w:val="0"/>
                <w:sz w:val="24"/>
              </w:rPr>
              <w:t>36</w:t>
            </w:r>
          </w:p>
        </w:tc>
      </w:tr>
      <w:tr>
        <w:tc>
          <w:tcPr>
            <w:tcW w:type="dxa" w:w="4680"/>
          </w:tcPr>
          <w:p>
            <w:pPr>
              <w:spacing w:line="240" w:lineRule="auto"/>
            </w:pPr>
            <w:r/>
            <w:r>
              <w:rPr>
                <w:rFonts w:ascii="Times New Roman" w:hAnsi="Times New Roman"/>
                <w:b w:val="0"/>
                <w:i w:val="0"/>
                <w:sz w:val="24"/>
              </w:rPr>
              <w:t>CERTIFICATE OF COMPLIANCE</w:t>
            </w:r>
          </w:p>
        </w:tc>
        <w:tc>
          <w:tcPr>
            <w:tcW w:type="dxa" w:w="4680"/>
          </w:tcPr>
          <w:p>
            <w:pPr>
              <w:spacing w:line="240" w:lineRule="auto"/>
            </w:pPr>
            <w:r/>
            <w:r>
              <w:rPr>
                <w:rFonts w:ascii="Times New Roman" w:hAnsi="Times New Roman"/>
                <w:b w:val="0"/>
                <w:i w:val="0"/>
                <w:sz w:val="24"/>
              </w:rPr>
              <w:t>36</w:t>
            </w:r>
          </w:p>
        </w:tc>
      </w:tr>
      <w:tr>
        <w:tc>
          <w:tcPr>
            <w:tcW w:type="dxa" w:w="4680"/>
          </w:tcPr>
          <w:p>
            <w:pPr>
              <w:spacing w:line="240" w:lineRule="auto"/>
            </w:pPr>
            <w:r/>
            <w:r>
              <w:rPr>
                <w:rFonts w:ascii="Times New Roman" w:hAnsi="Times New Roman"/>
                <w:b w:val="0"/>
                <w:i w:val="0"/>
                <w:sz w:val="24"/>
              </w:rPr>
              <w:t>CERTIFICATE OF SERVICE</w:t>
            </w:r>
          </w:p>
        </w:tc>
        <w:tc>
          <w:tcPr>
            <w:tcW w:type="dxa" w:w="4680"/>
          </w:tcPr>
          <w:p>
            <w:pPr>
              <w:spacing w:line="240" w:lineRule="auto"/>
            </w:pPr>
            <w:r/>
            <w:r>
              <w:rPr>
                <w:rFonts w:ascii="Times New Roman" w:hAnsi="Times New Roman"/>
                <w:b w:val="0"/>
                <w:i w:val="0"/>
                <w:sz w:val="24"/>
              </w:rPr>
              <w:t>37</w:t>
            </w:r>
          </w:p>
        </w:tc>
      </w:tr>
    </w:tbl>
    <w:p>
      <w:pPr>
        <w:pStyle w:val="Heading2"/>
      </w:pPr>
      <w:r>
        <w:rPr>
          <w:rFonts w:ascii="Times New Roman" w:hAnsi="Times New Roman"/>
        </w:rPr>
        <w:t>INDEX OF AUTHORITIES</w:t>
      </w:r>
    </w:p>
    <w:p>
      <w:pPr>
        <w:pStyle w:val="Heading3"/>
      </w:pPr>
      <w:r>
        <w:rPr>
          <w:rFonts w:ascii="Times New Roman" w:hAnsi="Times New Roman"/>
        </w:rPr>
        <w:t>Cases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Case</w:t>
            </w:r>
          </w:p>
        </w:tc>
        <w:tc>
          <w:tcPr>
            <w:tcW w:type="dxa" w:w="4680"/>
          </w:tcPr>
          <w:p>
            <w:pPr>
              <w:spacing w:line="240" w:lineRule="auto"/>
            </w:pPr>
            <w:r/>
            <w:r>
              <w:rPr>
                <w:rFonts w:ascii="Times New Roman" w:hAnsi="Times New Roman"/>
                <w:b/>
                <w:sz w:val="24"/>
              </w:rPr>
              <w:t>Page(s)</w:t>
            </w:r>
          </w:p>
        </w:tc>
      </w:tr>
      <w:tr>
        <w:tc>
          <w:tcPr>
            <w:tcW w:type="dxa" w:w="4680"/>
          </w:tcPr>
          <w:p>
            <w:pPr>
              <w:spacing w:line="240" w:lineRule="auto"/>
            </w:pPr>
            <w:r/>
            <w:r>
              <w:rPr>
                <w:rFonts w:ascii="Times New Roman" w:hAnsi="Times New Roman"/>
                <w:b w:val="0"/>
                <w:i/>
                <w:sz w:val="24"/>
              </w:rPr>
              <w:t>Bowie v Arder</w:t>
            </w:r>
            <w:r>
              <w:rPr>
                <w:rFonts w:ascii="Times New Roman" w:hAnsi="Times New Roman"/>
                <w:b w:val="0"/>
                <w:i w:val="0"/>
                <w:sz w:val="24"/>
              </w:rPr>
              <w:t>, 441 Mich 23; 490 NW2d 568 (1992)</w:t>
            </w:r>
          </w:p>
        </w:tc>
        <w:tc>
          <w:tcPr>
            <w:tcW w:type="dxa" w:w="4680"/>
          </w:tcPr>
          <w:p>
            <w:pPr>
              <w:spacing w:line="240" w:lineRule="auto"/>
            </w:pPr>
            <w:r/>
            <w:r>
              <w:rPr>
                <w:rFonts w:ascii="Times New Roman" w:hAnsi="Times New Roman"/>
                <w:b w:val="0"/>
                <w:i w:val="0"/>
                <w:sz w:val="24"/>
              </w:rPr>
              <w:t>13, 14, 21</w:t>
            </w:r>
          </w:p>
        </w:tc>
      </w:tr>
      <w:tr>
        <w:tc>
          <w:tcPr>
            <w:tcW w:type="dxa" w:w="4680"/>
          </w:tcPr>
          <w:p>
            <w:pPr>
              <w:spacing w:line="240" w:lineRule="auto"/>
            </w:pPr>
            <w:r/>
            <w:r>
              <w:rPr>
                <w:rFonts w:ascii="Times New Roman" w:hAnsi="Times New Roman"/>
                <w:b w:val="0"/>
                <w:i/>
                <w:sz w:val="24"/>
              </w:rPr>
              <w:t>Caperton v A.T. Massey Coal Co.</w:t>
            </w:r>
            <w:r>
              <w:rPr>
                <w:rFonts w:ascii="Times New Roman" w:hAnsi="Times New Roman"/>
                <w:b w:val="0"/>
                <w:i w:val="0"/>
                <w:sz w:val="24"/>
              </w:rPr>
              <w:t>, 556 US 868; 129 S Ct 2252; 173 L Ed 2d 1208 (2009)</w:t>
            </w:r>
          </w:p>
        </w:tc>
        <w:tc>
          <w:tcPr>
            <w:tcW w:type="dxa" w:w="4680"/>
          </w:tcPr>
          <w:p>
            <w:pPr>
              <w:spacing w:line="240" w:lineRule="auto"/>
            </w:pPr>
            <w:r/>
            <w:r>
              <w:rPr>
                <w:rFonts w:ascii="Times New Roman" w:hAnsi="Times New Roman"/>
                <w:b w:val="0"/>
                <w:i w:val="0"/>
                <w:sz w:val="24"/>
              </w:rPr>
              <w:t>28, 29</w:t>
            </w:r>
          </w:p>
        </w:tc>
      </w:tr>
      <w:tr>
        <w:tc>
          <w:tcPr>
            <w:tcW w:type="dxa" w:w="4680"/>
          </w:tcPr>
          <w:p>
            <w:pPr>
              <w:spacing w:line="240" w:lineRule="auto"/>
            </w:pPr>
            <w:r/>
            <w:r>
              <w:rPr>
                <w:rFonts w:ascii="Times New Roman" w:hAnsi="Times New Roman"/>
                <w:b w:val="0"/>
                <w:i/>
                <w:sz w:val="24"/>
              </w:rPr>
              <w:t>Eldred v Ziny</w:t>
            </w:r>
            <w:r>
              <w:rPr>
                <w:rFonts w:ascii="Times New Roman" w:hAnsi="Times New Roman"/>
                <w:b w:val="0"/>
                <w:i w:val="0"/>
                <w:sz w:val="24"/>
              </w:rPr>
              <w:t>, 246 Mich App 142; 631 NW2d 748 (2001)</w:t>
            </w:r>
          </w:p>
        </w:tc>
        <w:tc>
          <w:tcPr>
            <w:tcW w:type="dxa" w:w="4680"/>
          </w:tcPr>
          <w:p>
            <w:pPr>
              <w:spacing w:line="240" w:lineRule="auto"/>
            </w:pPr>
            <w:r/>
            <w:r>
              <w:rPr>
                <w:rFonts w:ascii="Times New Roman" w:hAnsi="Times New Roman"/>
                <w:b w:val="0"/>
                <w:i w:val="0"/>
                <w:sz w:val="24"/>
              </w:rPr>
              <w:t>32, 33, 34</w:t>
            </w:r>
          </w:p>
        </w:tc>
      </w:tr>
      <w:tr>
        <w:tc>
          <w:tcPr>
            <w:tcW w:type="dxa" w:w="4680"/>
          </w:tcPr>
          <w:p>
            <w:pPr>
              <w:spacing w:line="240" w:lineRule="auto"/>
            </w:pPr>
            <w:r/>
            <w:r>
              <w:rPr>
                <w:rFonts w:ascii="Times New Roman" w:hAnsi="Times New Roman"/>
                <w:b w:val="0"/>
                <w:i/>
                <w:sz w:val="24"/>
              </w:rPr>
              <w:t>Fletcher v Fletcher</w:t>
            </w:r>
            <w:r>
              <w:rPr>
                <w:rFonts w:ascii="Times New Roman" w:hAnsi="Times New Roman"/>
                <w:b w:val="0"/>
                <w:i w:val="0"/>
                <w:sz w:val="24"/>
              </w:rPr>
              <w:t>, 447 Mich 871; 526 NW2d 889 (1994)</w:t>
            </w:r>
          </w:p>
        </w:tc>
        <w:tc>
          <w:tcPr>
            <w:tcW w:type="dxa" w:w="4680"/>
          </w:tcPr>
          <w:p>
            <w:pPr>
              <w:spacing w:line="240" w:lineRule="auto"/>
            </w:pPr>
            <w:r/>
            <w:r>
              <w:rPr>
                <w:rFonts w:ascii="Times New Roman" w:hAnsi="Times New Roman"/>
                <w:b w:val="0"/>
                <w:i w:val="0"/>
                <w:sz w:val="24"/>
              </w:rPr>
              <w:t>28, 29</w:t>
            </w:r>
          </w:p>
        </w:tc>
      </w:tr>
      <w:tr>
        <w:tc>
          <w:tcPr>
            <w:tcW w:type="dxa" w:w="4680"/>
          </w:tcPr>
          <w:p>
            <w:pPr>
              <w:spacing w:line="240" w:lineRule="auto"/>
            </w:pPr>
            <w:r/>
            <w:r>
              <w:rPr>
                <w:rFonts w:ascii="Times New Roman" w:hAnsi="Times New Roman"/>
                <w:b w:val="0"/>
                <w:i/>
                <w:sz w:val="24"/>
              </w:rPr>
              <w:t>Foskett v Foskett</w:t>
            </w:r>
            <w:r>
              <w:rPr>
                <w:rFonts w:ascii="Times New Roman" w:hAnsi="Times New Roman"/>
                <w:b w:val="0"/>
                <w:i w:val="0"/>
                <w:sz w:val="24"/>
              </w:rPr>
              <w:t>, 247 Mich App 1; 634 NW2d 363 (2001)</w:t>
            </w:r>
          </w:p>
        </w:tc>
        <w:tc>
          <w:tcPr>
            <w:tcW w:type="dxa" w:w="4680"/>
          </w:tcPr>
          <w:p>
            <w:pPr>
              <w:spacing w:line="240" w:lineRule="auto"/>
            </w:pPr>
            <w:r/>
            <w:r>
              <w:rPr>
                <w:rFonts w:ascii="Times New Roman" w:hAnsi="Times New Roman"/>
                <w:b w:val="0"/>
                <w:i w:val="0"/>
                <w:sz w:val="24"/>
              </w:rPr>
              <w:t>13, 14, 15</w:t>
            </w:r>
          </w:p>
        </w:tc>
      </w:tr>
      <w:tr>
        <w:tc>
          <w:tcPr>
            <w:tcW w:type="dxa" w:w="4680"/>
          </w:tcPr>
          <w:p>
            <w:pPr>
              <w:spacing w:line="240" w:lineRule="auto"/>
            </w:pPr>
            <w:r/>
            <w:r>
              <w:rPr>
                <w:rFonts w:ascii="Times New Roman" w:hAnsi="Times New Roman"/>
                <w:b w:val="0"/>
                <w:i/>
                <w:sz w:val="24"/>
              </w:rPr>
              <w:t>Goldberg v Kelly</w:t>
            </w:r>
            <w:r>
              <w:rPr>
                <w:rFonts w:ascii="Times New Roman" w:hAnsi="Times New Roman"/>
                <w:b w:val="0"/>
                <w:i w:val="0"/>
                <w:sz w:val="24"/>
              </w:rPr>
              <w:t>, 397 US 254; 90 S Ct 1011; 25 L Ed 2d 287 (1970)</w:t>
            </w:r>
          </w:p>
        </w:tc>
        <w:tc>
          <w:tcPr>
            <w:tcW w:type="dxa" w:w="4680"/>
          </w:tcPr>
          <w:p>
            <w:pPr>
              <w:spacing w:line="240" w:lineRule="auto"/>
            </w:pPr>
            <w:r/>
            <w:r>
              <w:rPr>
                <w:rFonts w:ascii="Times New Roman" w:hAnsi="Times New Roman"/>
                <w:b w:val="0"/>
                <w:i w:val="0"/>
                <w:sz w:val="24"/>
              </w:rPr>
              <w:t>18</w:t>
            </w:r>
          </w:p>
        </w:tc>
      </w:tr>
      <w:tr>
        <w:tc>
          <w:tcPr>
            <w:tcW w:type="dxa" w:w="4680"/>
          </w:tcPr>
          <w:p>
            <w:pPr>
              <w:spacing w:line="240" w:lineRule="auto"/>
            </w:pPr>
            <w:r/>
            <w:r>
              <w:rPr>
                <w:rFonts w:ascii="Times New Roman" w:hAnsi="Times New Roman"/>
                <w:b w:val="0"/>
                <w:i/>
                <w:sz w:val="24"/>
              </w:rPr>
              <w:t>Harvey v Harvey</w:t>
            </w:r>
            <w:r>
              <w:rPr>
                <w:rFonts w:ascii="Times New Roman" w:hAnsi="Times New Roman"/>
                <w:b w:val="0"/>
                <w:i w:val="0"/>
                <w:sz w:val="24"/>
              </w:rPr>
              <w:t>, 470 Mich 186; 680 NW2d 835 (2004)</w:t>
            </w:r>
          </w:p>
        </w:tc>
        <w:tc>
          <w:tcPr>
            <w:tcW w:type="dxa" w:w="4680"/>
          </w:tcPr>
          <w:p>
            <w:pPr>
              <w:spacing w:line="240" w:lineRule="auto"/>
            </w:pPr>
            <w:r/>
            <w:r>
              <w:rPr>
                <w:rFonts w:ascii="Times New Roman" w:hAnsi="Times New Roman"/>
                <w:b w:val="0"/>
                <w:i w:val="0"/>
                <w:sz w:val="24"/>
              </w:rPr>
              <w:t>21, 22, 23</w:t>
            </w:r>
          </w:p>
        </w:tc>
      </w:tr>
      <w:tr>
        <w:tc>
          <w:tcPr>
            <w:tcW w:type="dxa" w:w="4680"/>
          </w:tcPr>
          <w:p>
            <w:pPr>
              <w:spacing w:line="240" w:lineRule="auto"/>
            </w:pPr>
            <w:r/>
            <w:r>
              <w:rPr>
                <w:rFonts w:ascii="Times New Roman" w:hAnsi="Times New Roman"/>
                <w:b w:val="0"/>
                <w:i/>
                <w:sz w:val="24"/>
              </w:rPr>
              <w:t>In re Contempt of Dougherty</w:t>
            </w:r>
            <w:r>
              <w:rPr>
                <w:rFonts w:ascii="Times New Roman" w:hAnsi="Times New Roman"/>
                <w:b w:val="0"/>
                <w:i w:val="0"/>
                <w:sz w:val="24"/>
              </w:rPr>
              <w:t>, 429 Mich 81; 413 NW2d 392 (1987)</w:t>
            </w:r>
          </w:p>
        </w:tc>
        <w:tc>
          <w:tcPr>
            <w:tcW w:type="dxa" w:w="4680"/>
          </w:tcPr>
          <w:p>
            <w:pPr>
              <w:spacing w:line="240" w:lineRule="auto"/>
            </w:pPr>
            <w:r/>
            <w:r>
              <w:rPr>
                <w:rFonts w:ascii="Times New Roman" w:hAnsi="Times New Roman"/>
                <w:b w:val="0"/>
                <w:i w:val="0"/>
                <w:sz w:val="24"/>
              </w:rPr>
              <w:t>25</w:t>
            </w:r>
          </w:p>
        </w:tc>
      </w:tr>
      <w:tr>
        <w:tc>
          <w:tcPr>
            <w:tcW w:type="dxa" w:w="4680"/>
          </w:tcPr>
          <w:p>
            <w:pPr>
              <w:spacing w:line="240" w:lineRule="auto"/>
            </w:pPr>
            <w:r/>
            <w:r>
              <w:rPr>
                <w:rFonts w:ascii="Times New Roman" w:hAnsi="Times New Roman"/>
                <w:b w:val="0"/>
                <w:i/>
                <w:sz w:val="24"/>
              </w:rPr>
              <w:t>Kubicki v Sharpe</w:t>
            </w:r>
            <w:r>
              <w:rPr>
                <w:rFonts w:ascii="Times New Roman" w:hAnsi="Times New Roman"/>
                <w:b w:val="0"/>
                <w:i w:val="0"/>
                <w:sz w:val="24"/>
              </w:rPr>
              <w:t>, 306 Mich App 525; 858 NW2d 57 (2014)</w:t>
            </w:r>
          </w:p>
        </w:tc>
        <w:tc>
          <w:tcPr>
            <w:tcW w:type="dxa" w:w="4680"/>
          </w:tcPr>
          <w:p>
            <w:pPr>
              <w:spacing w:line="240" w:lineRule="auto"/>
            </w:pPr>
            <w:r/>
            <w:r>
              <w:rPr>
                <w:rFonts w:ascii="Times New Roman" w:hAnsi="Times New Roman"/>
                <w:b w:val="0"/>
                <w:i w:val="0"/>
                <w:sz w:val="24"/>
              </w:rPr>
              <w:t>22, 23</w:t>
            </w:r>
          </w:p>
        </w:tc>
      </w:tr>
      <w:tr>
        <w:tc>
          <w:tcPr>
            <w:tcW w:type="dxa" w:w="4680"/>
          </w:tcPr>
          <w:p>
            <w:pPr>
              <w:spacing w:line="240" w:lineRule="auto"/>
            </w:pPr>
            <w:r/>
            <w:r>
              <w:rPr>
                <w:rFonts w:ascii="Times New Roman" w:hAnsi="Times New Roman"/>
                <w:b w:val="0"/>
                <w:i/>
                <w:sz w:val="24"/>
              </w:rPr>
              <w:t>Pierron v Pierron</w:t>
            </w:r>
            <w:r>
              <w:rPr>
                <w:rFonts w:ascii="Times New Roman" w:hAnsi="Times New Roman"/>
                <w:b w:val="0"/>
                <w:i w:val="0"/>
                <w:sz w:val="24"/>
              </w:rPr>
              <w:t>, 486 Mich 81; 782 NW2d 480 (2010)</w:t>
            </w:r>
          </w:p>
        </w:tc>
        <w:tc>
          <w:tcPr>
            <w:tcW w:type="dxa" w:w="4680"/>
          </w:tcPr>
          <w:p>
            <w:pPr>
              <w:spacing w:line="240" w:lineRule="auto"/>
            </w:pPr>
            <w:r/>
            <w:r>
              <w:rPr>
                <w:rFonts w:ascii="Times New Roman" w:hAnsi="Times New Roman"/>
                <w:b w:val="0"/>
                <w:i w:val="0"/>
                <w:sz w:val="24"/>
              </w:rPr>
              <w:t>12, 13, 14, 21</w:t>
            </w:r>
          </w:p>
        </w:tc>
      </w:tr>
      <w:tr>
        <w:tc>
          <w:tcPr>
            <w:tcW w:type="dxa" w:w="4680"/>
          </w:tcPr>
          <w:p>
            <w:pPr>
              <w:spacing w:line="240" w:lineRule="auto"/>
            </w:pPr>
            <w:r/>
            <w:r>
              <w:rPr>
                <w:rFonts w:ascii="Times New Roman" w:hAnsi="Times New Roman"/>
                <w:b w:val="0"/>
                <w:i/>
                <w:sz w:val="24"/>
              </w:rPr>
              <w:t>Shade v Wright</w:t>
            </w:r>
            <w:r>
              <w:rPr>
                <w:rFonts w:ascii="Times New Roman" w:hAnsi="Times New Roman"/>
                <w:b w:val="0"/>
                <w:i w:val="0"/>
                <w:sz w:val="24"/>
              </w:rPr>
              <w:t>, 291 Mich App 17; 805 NW2d 1 (2010)</w:t>
            </w:r>
          </w:p>
        </w:tc>
        <w:tc>
          <w:tcPr>
            <w:tcW w:type="dxa" w:w="4680"/>
          </w:tcPr>
          <w:p>
            <w:pPr>
              <w:spacing w:line="240" w:lineRule="auto"/>
            </w:pPr>
            <w:r/>
            <w:r>
              <w:rPr>
                <w:rFonts w:ascii="Times New Roman" w:hAnsi="Times New Roman"/>
                <w:b w:val="0"/>
                <w:i w:val="0"/>
                <w:sz w:val="24"/>
              </w:rPr>
              <w:t>31, 32, 33</w:t>
            </w:r>
          </w:p>
        </w:tc>
      </w:tr>
      <w:tr>
        <w:tc>
          <w:tcPr>
            <w:tcW w:type="dxa" w:w="4680"/>
          </w:tcPr>
          <w:p>
            <w:pPr>
              <w:spacing w:line="240" w:lineRule="auto"/>
            </w:pPr>
            <w:r/>
            <w:r>
              <w:rPr>
                <w:rFonts w:ascii="Times New Roman" w:hAnsi="Times New Roman"/>
                <w:b w:val="0"/>
                <w:i/>
                <w:sz w:val="24"/>
              </w:rPr>
              <w:t>Shulick v Richards</w:t>
            </w:r>
            <w:r>
              <w:rPr>
                <w:rFonts w:ascii="Times New Roman" w:hAnsi="Times New Roman"/>
                <w:b w:val="0"/>
                <w:i w:val="0"/>
                <w:sz w:val="24"/>
              </w:rPr>
              <w:t>, 273 Mich App 320; 729 NW2d 533 (2006)</w:t>
            </w:r>
          </w:p>
        </w:tc>
        <w:tc>
          <w:tcPr>
            <w:tcW w:type="dxa" w:w="4680"/>
          </w:tcPr>
          <w:p>
            <w:pPr>
              <w:spacing w:line="240" w:lineRule="auto"/>
            </w:pPr>
            <w:r/>
            <w:r>
              <w:rPr>
                <w:rFonts w:ascii="Times New Roman" w:hAnsi="Times New Roman"/>
                <w:b w:val="0"/>
                <w:i w:val="0"/>
                <w:sz w:val="24"/>
              </w:rPr>
              <w:t>27, 28, 29, 30</w:t>
            </w:r>
          </w:p>
        </w:tc>
      </w:tr>
      <w:tr>
        <w:tc>
          <w:tcPr>
            <w:tcW w:type="dxa" w:w="4680"/>
          </w:tcPr>
          <w:p>
            <w:pPr>
              <w:spacing w:line="240" w:lineRule="auto"/>
            </w:pPr>
            <w:r/>
            <w:r>
              <w:rPr>
                <w:rFonts w:ascii="Times New Roman" w:hAnsi="Times New Roman"/>
                <w:b w:val="0"/>
                <w:i/>
                <w:sz w:val="24"/>
              </w:rPr>
              <w:t>Sparks v Sparks</w:t>
            </w:r>
            <w:r>
              <w:rPr>
                <w:rFonts w:ascii="Times New Roman" w:hAnsi="Times New Roman"/>
                <w:b w:val="0"/>
                <w:i w:val="0"/>
                <w:sz w:val="24"/>
              </w:rPr>
              <w:t>, 440 Mich 141; 485 NW2d 893 (1992)</w:t>
            </w:r>
          </w:p>
        </w:tc>
        <w:tc>
          <w:tcPr>
            <w:tcW w:type="dxa" w:w="4680"/>
          </w:tcPr>
          <w:p>
            <w:pPr>
              <w:spacing w:line="240" w:lineRule="auto"/>
            </w:pPr>
            <w:r/>
            <w:r>
              <w:rPr>
                <w:rFonts w:ascii="Times New Roman" w:hAnsi="Times New Roman"/>
                <w:b w:val="0"/>
                <w:i w:val="0"/>
                <w:sz w:val="24"/>
              </w:rPr>
              <w:t>21, 22</w:t>
            </w:r>
          </w:p>
        </w:tc>
      </w:tr>
      <w:tr>
        <w:tc>
          <w:tcPr>
            <w:tcW w:type="dxa" w:w="4680"/>
          </w:tcPr>
          <w:p>
            <w:pPr>
              <w:spacing w:line="240" w:lineRule="auto"/>
            </w:pPr>
            <w:r/>
            <w:r>
              <w:rPr>
                <w:rFonts w:ascii="Times New Roman" w:hAnsi="Times New Roman"/>
                <w:b w:val="0"/>
                <w:i/>
                <w:sz w:val="24"/>
              </w:rPr>
              <w:t>Troxel v Granville</w:t>
            </w:r>
            <w:r>
              <w:rPr>
                <w:rFonts w:ascii="Times New Roman" w:hAnsi="Times New Roman"/>
                <w:b w:val="0"/>
                <w:i w:val="0"/>
                <w:sz w:val="24"/>
              </w:rPr>
              <w:t>, 530 US 57; 120 S Ct 2054; 147 L Ed 2d 49 (2000)</w:t>
            </w:r>
          </w:p>
        </w:tc>
        <w:tc>
          <w:tcPr>
            <w:tcW w:type="dxa" w:w="4680"/>
          </w:tcPr>
          <w:p>
            <w:pPr>
              <w:spacing w:line="240" w:lineRule="auto"/>
            </w:pPr>
            <w:r/>
            <w:r>
              <w:rPr>
                <w:rFonts w:ascii="Times New Roman" w:hAnsi="Times New Roman"/>
                <w:b w:val="0"/>
                <w:i w:val="0"/>
                <w:sz w:val="24"/>
              </w:rPr>
              <w:t>17, 18, 31</w:t>
            </w:r>
          </w:p>
        </w:tc>
      </w:tr>
      <w:tr>
        <w:tc>
          <w:tcPr>
            <w:tcW w:type="dxa" w:w="4680"/>
          </w:tcPr>
          <w:p>
            <w:pPr>
              <w:spacing w:line="240" w:lineRule="auto"/>
            </w:pPr>
            <w:r/>
            <w:r>
              <w:rPr>
                <w:rFonts w:ascii="Times New Roman" w:hAnsi="Times New Roman"/>
                <w:b w:val="0"/>
                <w:i/>
                <w:sz w:val="24"/>
              </w:rPr>
              <w:t>Vodvarka v Grasher</w:t>
            </w:r>
            <w:r>
              <w:rPr>
                <w:rFonts w:ascii="Times New Roman" w:hAnsi="Times New Roman"/>
                <w:b w:val="0"/>
                <w:i w:val="0"/>
                <w:sz w:val="24"/>
              </w:rPr>
              <w:t>, 259 Mich App 499; 675 NW2d 847 (2003)</w:t>
            </w:r>
          </w:p>
        </w:tc>
        <w:tc>
          <w:tcPr>
            <w:tcW w:type="dxa" w:w="4680"/>
          </w:tcPr>
          <w:p>
            <w:pPr>
              <w:spacing w:line="240" w:lineRule="auto"/>
            </w:pPr>
            <w:r/>
            <w:r>
              <w:rPr>
                <w:rFonts w:ascii="Times New Roman" w:hAnsi="Times New Roman"/>
                <w:b w:val="0"/>
                <w:i w:val="0"/>
                <w:sz w:val="24"/>
              </w:rPr>
              <w:t>12, 13, 14, 15</w:t>
            </w:r>
          </w:p>
        </w:tc>
      </w:tr>
    </w:tbl>
    <w:p>
      <w:pPr>
        <w:pStyle w:val="Heading3"/>
      </w:pPr>
      <w:r>
        <w:rPr>
          <w:rFonts w:ascii="Times New Roman" w:hAnsi="Times New Roman"/>
        </w:rPr>
        <w:t>Statutes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Statute</w:t>
            </w:r>
          </w:p>
        </w:tc>
        <w:tc>
          <w:tcPr>
            <w:tcW w:type="dxa" w:w="4680"/>
          </w:tcPr>
          <w:p>
            <w:pPr>
              <w:spacing w:line="240" w:lineRule="auto"/>
            </w:pPr>
            <w:r/>
            <w:r>
              <w:rPr>
                <w:rFonts w:ascii="Times New Roman" w:hAnsi="Times New Roman"/>
                <w:b/>
                <w:sz w:val="24"/>
              </w:rPr>
              <w:t>Page(s)</w:t>
            </w:r>
          </w:p>
        </w:tc>
      </w:tr>
      <w:tr>
        <w:tc>
          <w:tcPr>
            <w:tcW w:type="dxa" w:w="4680"/>
          </w:tcPr>
          <w:p>
            <w:pPr>
              <w:spacing w:line="240" w:lineRule="auto"/>
            </w:pPr>
            <w:r/>
            <w:r>
              <w:rPr>
                <w:rFonts w:ascii="Times New Roman" w:hAnsi="Times New Roman"/>
                <w:b w:val="0"/>
                <w:i w:val="0"/>
                <w:sz w:val="24"/>
              </w:rPr>
              <w:t>MCL 722.23 (Best Interest Factors)</w:t>
            </w:r>
          </w:p>
        </w:tc>
        <w:tc>
          <w:tcPr>
            <w:tcW w:type="dxa" w:w="4680"/>
          </w:tcPr>
          <w:p>
            <w:pPr>
              <w:spacing w:line="240" w:lineRule="auto"/>
            </w:pPr>
            <w:r/>
            <w:r>
              <w:rPr>
                <w:rFonts w:ascii="Times New Roman" w:hAnsi="Times New Roman"/>
                <w:b w:val="0"/>
                <w:i w:val="0"/>
                <w:sz w:val="24"/>
              </w:rPr>
              <w:t>2, 3, 12, 13, 20, 21, 22, 23</w:t>
            </w:r>
          </w:p>
        </w:tc>
      </w:tr>
      <w:tr>
        <w:tc>
          <w:tcPr>
            <w:tcW w:type="dxa" w:w="4680"/>
          </w:tcPr>
          <w:p>
            <w:pPr>
              <w:spacing w:line="240" w:lineRule="auto"/>
            </w:pPr>
            <w:r/>
            <w:r>
              <w:rPr>
                <w:rFonts w:ascii="Times New Roman" w:hAnsi="Times New Roman"/>
                <w:b w:val="0"/>
                <w:i w:val="0"/>
                <w:sz w:val="24"/>
              </w:rPr>
              <w:t>MCL 722.23(a)-(l)</w:t>
            </w:r>
          </w:p>
        </w:tc>
        <w:tc>
          <w:tcPr>
            <w:tcW w:type="dxa" w:w="4680"/>
          </w:tcPr>
          <w:p>
            <w:pPr>
              <w:spacing w:line="240" w:lineRule="auto"/>
            </w:pPr>
            <w:r/>
            <w:r>
              <w:rPr>
                <w:rFonts w:ascii="Times New Roman" w:hAnsi="Times New Roman"/>
                <w:b w:val="0"/>
                <w:i w:val="0"/>
                <w:sz w:val="24"/>
              </w:rPr>
              <w:t>20, 21, 22, 23</w:t>
            </w:r>
          </w:p>
        </w:tc>
      </w:tr>
      <w:tr>
        <w:tc>
          <w:tcPr>
            <w:tcW w:type="dxa" w:w="4680"/>
          </w:tcPr>
          <w:p>
            <w:pPr>
              <w:spacing w:line="240" w:lineRule="auto"/>
            </w:pPr>
            <w:r/>
            <w:r>
              <w:rPr>
                <w:rFonts w:ascii="Times New Roman" w:hAnsi="Times New Roman"/>
                <w:b w:val="0"/>
                <w:i w:val="0"/>
                <w:sz w:val="24"/>
              </w:rPr>
              <w:t>MCL 722.23(j) (Willingness to Facilitate Relationship)</w:t>
            </w:r>
          </w:p>
        </w:tc>
        <w:tc>
          <w:tcPr>
            <w:tcW w:type="dxa" w:w="4680"/>
          </w:tcPr>
          <w:p>
            <w:pPr>
              <w:spacing w:line="240" w:lineRule="auto"/>
            </w:pPr>
            <w:r/>
            <w:r>
              <w:rPr>
                <w:rFonts w:ascii="Times New Roman" w:hAnsi="Times New Roman"/>
                <w:b w:val="0"/>
                <w:i w:val="0"/>
                <w:sz w:val="24"/>
              </w:rPr>
              <w:t>22, 23, 34</w:t>
            </w:r>
          </w:p>
        </w:tc>
      </w:tr>
      <w:tr>
        <w:tc>
          <w:tcPr>
            <w:tcW w:type="dxa" w:w="4680"/>
          </w:tcPr>
          <w:p>
            <w:pPr>
              <w:spacing w:line="240" w:lineRule="auto"/>
            </w:pPr>
            <w:r/>
            <w:r>
              <w:rPr>
                <w:rFonts w:ascii="Times New Roman" w:hAnsi="Times New Roman"/>
                <w:b w:val="0"/>
                <w:i w:val="0"/>
                <w:sz w:val="24"/>
              </w:rPr>
              <w:t>MCL 722.27 (Custody Modification Powers)</w:t>
            </w:r>
          </w:p>
        </w:tc>
        <w:tc>
          <w:tcPr>
            <w:tcW w:type="dxa" w:w="4680"/>
          </w:tcPr>
          <w:p>
            <w:pPr>
              <w:spacing w:line="240" w:lineRule="auto"/>
            </w:pPr>
            <w:r/>
            <w:r>
              <w:rPr>
                <w:rFonts w:ascii="Times New Roman" w:hAnsi="Times New Roman"/>
                <w:b w:val="0"/>
                <w:i w:val="0"/>
                <w:sz w:val="24"/>
              </w:rPr>
              <w:t>12, 13, 14, 15</w:t>
            </w:r>
          </w:p>
        </w:tc>
      </w:tr>
      <w:tr>
        <w:tc>
          <w:tcPr>
            <w:tcW w:type="dxa" w:w="4680"/>
          </w:tcPr>
          <w:p>
            <w:pPr>
              <w:spacing w:line="240" w:lineRule="auto"/>
            </w:pPr>
            <w:r/>
            <w:r>
              <w:rPr>
                <w:rFonts w:ascii="Times New Roman" w:hAnsi="Times New Roman"/>
                <w:b w:val="0"/>
                <w:i w:val="0"/>
                <w:sz w:val="24"/>
              </w:rPr>
              <w:t>MCL 722.27(1)(c) (ECE and Burden of Proof)</w:t>
            </w:r>
          </w:p>
        </w:tc>
        <w:tc>
          <w:tcPr>
            <w:tcW w:type="dxa" w:w="4680"/>
          </w:tcPr>
          <w:p>
            <w:pPr>
              <w:spacing w:line="240" w:lineRule="auto"/>
            </w:pPr>
            <w:r/>
            <w:r>
              <w:rPr>
                <w:rFonts w:ascii="Times New Roman" w:hAnsi="Times New Roman"/>
                <w:b w:val="0"/>
                <w:i w:val="0"/>
                <w:sz w:val="24"/>
              </w:rPr>
              <w:t>2, 12, 13, 14</w:t>
            </w:r>
          </w:p>
        </w:tc>
      </w:tr>
      <w:tr>
        <w:tc>
          <w:tcPr>
            <w:tcW w:type="dxa" w:w="4680"/>
          </w:tcPr>
          <w:p>
            <w:pPr>
              <w:spacing w:line="240" w:lineRule="auto"/>
            </w:pPr>
            <w:r/>
            <w:r>
              <w:rPr>
                <w:rFonts w:ascii="Times New Roman" w:hAnsi="Times New Roman"/>
                <w:b w:val="0"/>
                <w:i w:val="0"/>
                <w:sz w:val="24"/>
              </w:rPr>
              <w:t>MCL 722.27a (Parenting Time)</w:t>
            </w:r>
          </w:p>
        </w:tc>
        <w:tc>
          <w:tcPr>
            <w:tcW w:type="dxa" w:w="4680"/>
          </w:tcPr>
          <w:p>
            <w:pPr>
              <w:spacing w:line="240" w:lineRule="auto"/>
            </w:pPr>
            <w:r/>
            <w:r>
              <w:rPr>
                <w:rFonts w:ascii="Times New Roman" w:hAnsi="Times New Roman"/>
                <w:b w:val="0"/>
                <w:i w:val="0"/>
                <w:sz w:val="24"/>
              </w:rPr>
              <w:t>3, 31, 32, 33, 34</w:t>
            </w:r>
          </w:p>
        </w:tc>
      </w:tr>
      <w:tr>
        <w:tc>
          <w:tcPr>
            <w:tcW w:type="dxa" w:w="4680"/>
          </w:tcPr>
          <w:p>
            <w:pPr>
              <w:spacing w:line="240" w:lineRule="auto"/>
            </w:pPr>
            <w:r/>
            <w:r>
              <w:rPr>
                <w:rFonts w:ascii="Times New Roman" w:hAnsi="Times New Roman"/>
                <w:b w:val="0"/>
                <w:i w:val="0"/>
                <w:sz w:val="24"/>
              </w:rPr>
              <w:t>MCL 722.27a(1) (Presumption of Parenting Time)</w:t>
            </w:r>
          </w:p>
        </w:tc>
        <w:tc>
          <w:tcPr>
            <w:tcW w:type="dxa" w:w="4680"/>
          </w:tcPr>
          <w:p>
            <w:pPr>
              <w:spacing w:line="240" w:lineRule="auto"/>
            </w:pPr>
            <w:r/>
            <w:r>
              <w:rPr>
                <w:rFonts w:ascii="Times New Roman" w:hAnsi="Times New Roman"/>
                <w:b w:val="0"/>
                <w:i w:val="0"/>
                <w:sz w:val="24"/>
              </w:rPr>
              <w:t>31, 32</w:t>
            </w:r>
          </w:p>
        </w:tc>
      </w:tr>
      <w:tr>
        <w:tc>
          <w:tcPr>
            <w:tcW w:type="dxa" w:w="4680"/>
          </w:tcPr>
          <w:p>
            <w:pPr>
              <w:spacing w:line="240" w:lineRule="auto"/>
            </w:pPr>
            <w:r/>
            <w:r>
              <w:rPr>
                <w:rFonts w:ascii="Times New Roman" w:hAnsi="Times New Roman"/>
                <w:b w:val="0"/>
                <w:i w:val="0"/>
                <w:sz w:val="24"/>
              </w:rPr>
              <w:t>MCL 722.27a(3) (Endangerment Standard)</w:t>
            </w:r>
          </w:p>
        </w:tc>
        <w:tc>
          <w:tcPr>
            <w:tcW w:type="dxa" w:w="4680"/>
          </w:tcPr>
          <w:p>
            <w:pPr>
              <w:spacing w:line="240" w:lineRule="auto"/>
            </w:pPr>
            <w:r/>
            <w:r>
              <w:rPr>
                <w:rFonts w:ascii="Times New Roman" w:hAnsi="Times New Roman"/>
                <w:b w:val="0"/>
                <w:i w:val="0"/>
                <w:sz w:val="24"/>
              </w:rPr>
              <w:t>32, 33, 34</w:t>
            </w:r>
          </w:p>
        </w:tc>
      </w:tr>
      <w:tr>
        <w:tc>
          <w:tcPr>
            <w:tcW w:type="dxa" w:w="4680"/>
          </w:tcPr>
          <w:p>
            <w:pPr>
              <w:spacing w:line="240" w:lineRule="auto"/>
            </w:pPr>
            <w:r/>
            <w:r>
              <w:rPr>
                <w:rFonts w:ascii="Times New Roman" w:hAnsi="Times New Roman"/>
                <w:b w:val="0"/>
                <w:i w:val="0"/>
                <w:sz w:val="24"/>
              </w:rPr>
              <w:t>MCL 722.27a(7) (Conditions on Parenting Time)</w:t>
            </w:r>
          </w:p>
        </w:tc>
        <w:tc>
          <w:tcPr>
            <w:tcW w:type="dxa" w:w="4680"/>
          </w:tcPr>
          <w:p>
            <w:pPr>
              <w:spacing w:line="240" w:lineRule="auto"/>
            </w:pPr>
            <w:r/>
            <w:r>
              <w:rPr>
                <w:rFonts w:ascii="Times New Roman" w:hAnsi="Times New Roman"/>
                <w:b w:val="0"/>
                <w:i w:val="0"/>
                <w:sz w:val="24"/>
              </w:rPr>
              <w:t>33</w:t>
            </w:r>
          </w:p>
        </w:tc>
      </w:tr>
      <w:tr>
        <w:tc>
          <w:tcPr>
            <w:tcW w:type="dxa" w:w="4680"/>
          </w:tcPr>
          <w:p>
            <w:pPr>
              <w:spacing w:line="240" w:lineRule="auto"/>
            </w:pPr>
            <w:r/>
            <w:r>
              <w:rPr>
                <w:rFonts w:ascii="Times New Roman" w:hAnsi="Times New Roman"/>
                <w:b w:val="0"/>
                <w:i w:val="0"/>
                <w:sz w:val="24"/>
              </w:rPr>
              <w:t>MCL 600.1701 (Contempt Powers)</w:t>
            </w:r>
          </w:p>
        </w:tc>
        <w:tc>
          <w:tcPr>
            <w:tcW w:type="dxa" w:w="4680"/>
          </w:tcPr>
          <w:p>
            <w:pPr>
              <w:spacing w:line="240" w:lineRule="auto"/>
            </w:pPr>
            <w:r/>
            <w:r>
              <w:rPr>
                <w:rFonts w:ascii="Times New Roman" w:hAnsi="Times New Roman"/>
                <w:b w:val="0"/>
                <w:i w:val="0"/>
                <w:sz w:val="24"/>
              </w:rPr>
              <w:t>28</w:t>
            </w:r>
          </w:p>
        </w:tc>
      </w:tr>
      <w:tr>
        <w:tc>
          <w:tcPr>
            <w:tcW w:type="dxa" w:w="4680"/>
          </w:tcPr>
          <w:p>
            <w:pPr>
              <w:spacing w:line="240" w:lineRule="auto"/>
            </w:pPr>
            <w:r/>
            <w:r>
              <w:rPr>
                <w:rFonts w:ascii="Times New Roman" w:hAnsi="Times New Roman"/>
                <w:b w:val="0"/>
                <w:i w:val="0"/>
                <w:sz w:val="24"/>
              </w:rPr>
              <w:t>US Const Amend XIV (Due Process)</w:t>
            </w:r>
          </w:p>
        </w:tc>
        <w:tc>
          <w:tcPr>
            <w:tcW w:type="dxa" w:w="4680"/>
          </w:tcPr>
          <w:p>
            <w:pPr>
              <w:spacing w:line="240" w:lineRule="auto"/>
            </w:pPr>
            <w:r/>
            <w:r>
              <w:rPr>
                <w:rFonts w:ascii="Times New Roman" w:hAnsi="Times New Roman"/>
                <w:b w:val="0"/>
                <w:i w:val="0"/>
                <w:sz w:val="24"/>
              </w:rPr>
              <w:t>2, 16, 17, 18, 19</w:t>
            </w:r>
          </w:p>
        </w:tc>
      </w:tr>
    </w:tbl>
    <w:p>
      <w:pPr>
        <w:pStyle w:val="Heading3"/>
      </w:pPr>
      <w:r>
        <w:rPr>
          <w:rFonts w:ascii="Times New Roman" w:hAnsi="Times New Roman"/>
        </w:rPr>
        <w:t>Court Rules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Rule</w:t>
            </w:r>
          </w:p>
        </w:tc>
        <w:tc>
          <w:tcPr>
            <w:tcW w:type="dxa" w:w="4680"/>
          </w:tcPr>
          <w:p>
            <w:pPr>
              <w:spacing w:line="240" w:lineRule="auto"/>
            </w:pPr>
            <w:r/>
            <w:r>
              <w:rPr>
                <w:rFonts w:ascii="Times New Roman" w:hAnsi="Times New Roman"/>
                <w:b/>
                <w:sz w:val="24"/>
              </w:rPr>
              <w:t>Page(s)</w:t>
            </w:r>
          </w:p>
        </w:tc>
      </w:tr>
      <w:tr>
        <w:tc>
          <w:tcPr>
            <w:tcW w:type="dxa" w:w="4680"/>
          </w:tcPr>
          <w:p>
            <w:pPr>
              <w:spacing w:line="240" w:lineRule="auto"/>
            </w:pPr>
            <w:r/>
            <w:r>
              <w:rPr>
                <w:rFonts w:ascii="Times New Roman" w:hAnsi="Times New Roman"/>
                <w:b w:val="0"/>
                <w:i w:val="0"/>
                <w:sz w:val="24"/>
              </w:rPr>
              <w:t>MCR 2.003(C)(1) (Judicial Disqualification)</w:t>
            </w:r>
          </w:p>
        </w:tc>
        <w:tc>
          <w:tcPr>
            <w:tcW w:type="dxa" w:w="4680"/>
          </w:tcPr>
          <w:p>
            <w:pPr>
              <w:spacing w:line="240" w:lineRule="auto"/>
            </w:pPr>
            <w:r/>
            <w:r>
              <w:rPr>
                <w:rFonts w:ascii="Times New Roman" w:hAnsi="Times New Roman"/>
                <w:b w:val="0"/>
                <w:i w:val="0"/>
                <w:sz w:val="24"/>
              </w:rPr>
              <w:t>3, 27, 28, 29, 30</w:t>
            </w:r>
          </w:p>
        </w:tc>
      </w:tr>
      <w:tr>
        <w:tc>
          <w:tcPr>
            <w:tcW w:type="dxa" w:w="4680"/>
          </w:tcPr>
          <w:p>
            <w:pPr>
              <w:spacing w:line="240" w:lineRule="auto"/>
            </w:pPr>
            <w:r/>
            <w:r>
              <w:rPr>
                <w:rFonts w:ascii="Times New Roman" w:hAnsi="Times New Roman"/>
                <w:b w:val="0"/>
                <w:i w:val="0"/>
                <w:sz w:val="24"/>
              </w:rPr>
              <w:t>MCR 2.003(C)(1)(a) (Bias or Prejudice)</w:t>
            </w:r>
          </w:p>
        </w:tc>
        <w:tc>
          <w:tcPr>
            <w:tcW w:type="dxa" w:w="4680"/>
          </w:tcPr>
          <w:p>
            <w:pPr>
              <w:spacing w:line="240" w:lineRule="auto"/>
            </w:pPr>
            <w:r/>
            <w:r>
              <w:rPr>
                <w:rFonts w:ascii="Times New Roman" w:hAnsi="Times New Roman"/>
                <w:b w:val="0"/>
                <w:i w:val="0"/>
                <w:sz w:val="24"/>
              </w:rPr>
              <w:t>27, 28</w:t>
            </w:r>
          </w:p>
        </w:tc>
      </w:tr>
      <w:tr>
        <w:tc>
          <w:tcPr>
            <w:tcW w:type="dxa" w:w="4680"/>
          </w:tcPr>
          <w:p>
            <w:pPr>
              <w:spacing w:line="240" w:lineRule="auto"/>
            </w:pPr>
            <w:r/>
            <w:r>
              <w:rPr>
                <w:rFonts w:ascii="Times New Roman" w:hAnsi="Times New Roman"/>
                <w:b w:val="0"/>
                <w:i w:val="0"/>
                <w:sz w:val="24"/>
              </w:rPr>
              <w:t>MCR 2.003(C)(1)(b) (Caperton Standard)</w:t>
            </w:r>
          </w:p>
        </w:tc>
        <w:tc>
          <w:tcPr>
            <w:tcW w:type="dxa" w:w="4680"/>
          </w:tcPr>
          <w:p>
            <w:pPr>
              <w:spacing w:line="240" w:lineRule="auto"/>
            </w:pPr>
            <w:r/>
            <w:r>
              <w:rPr>
                <w:rFonts w:ascii="Times New Roman" w:hAnsi="Times New Roman"/>
                <w:b w:val="0"/>
                <w:i w:val="0"/>
                <w:sz w:val="24"/>
              </w:rPr>
              <w:t>28, 29</w:t>
            </w:r>
          </w:p>
        </w:tc>
      </w:tr>
      <w:tr>
        <w:tc>
          <w:tcPr>
            <w:tcW w:type="dxa" w:w="4680"/>
          </w:tcPr>
          <w:p>
            <w:pPr>
              <w:spacing w:line="240" w:lineRule="auto"/>
            </w:pPr>
            <w:r/>
            <w:r>
              <w:rPr>
                <w:rFonts w:ascii="Times New Roman" w:hAnsi="Times New Roman"/>
                <w:b w:val="0"/>
                <w:i w:val="0"/>
                <w:sz w:val="24"/>
              </w:rPr>
              <w:t>MCR 2.119 (Motion Practice)</w:t>
            </w:r>
          </w:p>
        </w:tc>
        <w:tc>
          <w:tcPr>
            <w:tcW w:type="dxa" w:w="4680"/>
          </w:tcPr>
          <w:p>
            <w:pPr>
              <w:spacing w:line="240" w:lineRule="auto"/>
            </w:pPr>
            <w:r/>
            <w:r>
              <w:rPr>
                <w:rFonts w:ascii="Times New Roman" w:hAnsi="Times New Roman"/>
                <w:b w:val="0"/>
                <w:i w:val="0"/>
                <w:sz w:val="24"/>
              </w:rPr>
              <w:t>16, 17</w:t>
            </w:r>
          </w:p>
        </w:tc>
      </w:tr>
      <w:tr>
        <w:tc>
          <w:tcPr>
            <w:tcW w:type="dxa" w:w="4680"/>
          </w:tcPr>
          <w:p>
            <w:pPr>
              <w:spacing w:line="240" w:lineRule="auto"/>
            </w:pPr>
            <w:r/>
            <w:r>
              <w:rPr>
                <w:rFonts w:ascii="Times New Roman" w:hAnsi="Times New Roman"/>
                <w:b w:val="0"/>
                <w:i w:val="0"/>
                <w:sz w:val="24"/>
              </w:rPr>
              <w:t>MCR 2.517 (Findings of Fact)</w:t>
            </w:r>
          </w:p>
        </w:tc>
        <w:tc>
          <w:tcPr>
            <w:tcW w:type="dxa" w:w="4680"/>
          </w:tcPr>
          <w:p>
            <w:pPr>
              <w:spacing w:line="240" w:lineRule="auto"/>
            </w:pPr>
            <w:r/>
            <w:r>
              <w:rPr>
                <w:rFonts w:ascii="Times New Roman" w:hAnsi="Times New Roman"/>
                <w:b w:val="0"/>
                <w:i w:val="0"/>
                <w:sz w:val="24"/>
              </w:rPr>
              <w:t>20, 21, 22, 23</w:t>
            </w:r>
          </w:p>
        </w:tc>
      </w:tr>
      <w:tr>
        <w:tc>
          <w:tcPr>
            <w:tcW w:type="dxa" w:w="4680"/>
          </w:tcPr>
          <w:p>
            <w:pPr>
              <w:spacing w:line="240" w:lineRule="auto"/>
            </w:pPr>
            <w:r/>
            <w:r>
              <w:rPr>
                <w:rFonts w:ascii="Times New Roman" w:hAnsi="Times New Roman"/>
                <w:b w:val="0"/>
                <w:i w:val="0"/>
                <w:sz w:val="24"/>
              </w:rPr>
              <w:t>MCR 3.206(A) (Domestic Relations Procedures)</w:t>
            </w:r>
          </w:p>
        </w:tc>
        <w:tc>
          <w:tcPr>
            <w:tcW w:type="dxa" w:w="4680"/>
          </w:tcPr>
          <w:p>
            <w:pPr>
              <w:spacing w:line="240" w:lineRule="auto"/>
            </w:pPr>
            <w:r/>
            <w:r>
              <w:rPr>
                <w:rFonts w:ascii="Times New Roman" w:hAnsi="Times New Roman"/>
                <w:b w:val="0"/>
                <w:i w:val="0"/>
                <w:sz w:val="24"/>
              </w:rPr>
              <w:t>16, 17</w:t>
            </w:r>
          </w:p>
        </w:tc>
      </w:tr>
      <w:tr>
        <w:tc>
          <w:tcPr>
            <w:tcW w:type="dxa" w:w="4680"/>
          </w:tcPr>
          <w:p>
            <w:pPr>
              <w:spacing w:line="240" w:lineRule="auto"/>
            </w:pPr>
            <w:r/>
            <w:r>
              <w:rPr>
                <w:rFonts w:ascii="Times New Roman" w:hAnsi="Times New Roman"/>
                <w:b w:val="0"/>
                <w:i w:val="0"/>
                <w:sz w:val="24"/>
              </w:rPr>
              <w:t>MCR 3.207(B) (Ex Parte Orders)</w:t>
            </w:r>
          </w:p>
        </w:tc>
        <w:tc>
          <w:tcPr>
            <w:tcW w:type="dxa" w:w="4680"/>
          </w:tcPr>
          <w:p>
            <w:pPr>
              <w:spacing w:line="240" w:lineRule="auto"/>
            </w:pPr>
            <w:r/>
            <w:r>
              <w:rPr>
                <w:rFonts w:ascii="Times New Roman" w:hAnsi="Times New Roman"/>
                <w:b w:val="0"/>
                <w:i w:val="0"/>
                <w:sz w:val="24"/>
              </w:rPr>
              <w:t>2, 16, 17, 18, 19</w:t>
            </w:r>
          </w:p>
        </w:tc>
      </w:tr>
      <w:tr>
        <w:tc>
          <w:tcPr>
            <w:tcW w:type="dxa" w:w="4680"/>
          </w:tcPr>
          <w:p>
            <w:pPr>
              <w:spacing w:line="240" w:lineRule="auto"/>
            </w:pPr>
            <w:r/>
            <w:r>
              <w:rPr>
                <w:rFonts w:ascii="Times New Roman" w:hAnsi="Times New Roman"/>
                <w:b w:val="0"/>
                <w:i w:val="0"/>
                <w:sz w:val="24"/>
              </w:rPr>
              <w:t>MCR 7.203(A) (Jurisdiction)</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MCR 7.204(A) (Claim of Appeal Time Requirements)</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MCR 7.204(D)(3)(a) (Custody Case Designation)</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MCR 7.212(B) (Brief Word Limit)</w:t>
            </w:r>
          </w:p>
        </w:tc>
        <w:tc>
          <w:tcPr>
            <w:tcW w:type="dxa" w:w="4680"/>
          </w:tcPr>
          <w:p>
            <w:pPr>
              <w:spacing w:line="240" w:lineRule="auto"/>
            </w:pPr>
            <w:r/>
            <w:r>
              <w:rPr>
                <w:rFonts w:ascii="Times New Roman" w:hAnsi="Times New Roman"/>
                <w:b w:val="0"/>
                <w:i w:val="0"/>
                <w:sz w:val="24"/>
              </w:rPr>
              <w:t>36</w:t>
            </w:r>
          </w:p>
        </w:tc>
      </w:tr>
      <w:tr>
        <w:tc>
          <w:tcPr>
            <w:tcW w:type="dxa" w:w="4680"/>
          </w:tcPr>
          <w:p>
            <w:pPr>
              <w:spacing w:line="240" w:lineRule="auto"/>
            </w:pPr>
            <w:r/>
            <w:r>
              <w:rPr>
                <w:rFonts w:ascii="Times New Roman" w:hAnsi="Times New Roman"/>
                <w:b w:val="0"/>
                <w:i w:val="0"/>
                <w:sz w:val="24"/>
              </w:rPr>
              <w:t>MCR 7.212(C) (Brief Contents)</w:t>
            </w:r>
          </w:p>
        </w:tc>
        <w:tc>
          <w:tcPr>
            <w:tcW w:type="dxa" w:w="4680"/>
          </w:tcPr>
          <w:p>
            <w:pPr>
              <w:spacing w:line="240" w:lineRule="auto"/>
            </w:pPr>
            <w:r/>
            <w:r>
              <w:rPr>
                <w:rFonts w:ascii="Times New Roman" w:hAnsi="Times New Roman"/>
                <w:b w:val="0"/>
                <w:i w:val="0"/>
                <w:sz w:val="24"/>
              </w:rPr>
              <w:t>i</w:t>
            </w:r>
          </w:p>
        </w:tc>
      </w:tr>
    </w:tbl>
    <w:p>
      <w:pPr>
        <w:pStyle w:val="Heading3"/>
      </w:pPr>
      <w:r>
        <w:rPr>
          <w:rFonts w:ascii="Times New Roman" w:hAnsi="Times New Roman"/>
        </w:rPr>
        <w:t>Constitutional Provisions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Provision</w:t>
            </w:r>
          </w:p>
        </w:tc>
        <w:tc>
          <w:tcPr>
            <w:tcW w:type="dxa" w:w="4680"/>
          </w:tcPr>
          <w:p>
            <w:pPr>
              <w:spacing w:line="240" w:lineRule="auto"/>
            </w:pPr>
            <w:r/>
            <w:r>
              <w:rPr>
                <w:rFonts w:ascii="Times New Roman" w:hAnsi="Times New Roman"/>
                <w:b/>
                <w:sz w:val="24"/>
              </w:rPr>
              <w:t>Page(s)</w:t>
            </w:r>
          </w:p>
        </w:tc>
      </w:tr>
      <w:tr>
        <w:tc>
          <w:tcPr>
            <w:tcW w:type="dxa" w:w="4680"/>
          </w:tcPr>
          <w:p>
            <w:pPr>
              <w:spacing w:line="240" w:lineRule="auto"/>
            </w:pPr>
            <w:r/>
            <w:r>
              <w:rPr>
                <w:rFonts w:ascii="Times New Roman" w:hAnsi="Times New Roman"/>
                <w:b w:val="0"/>
                <w:i w:val="0"/>
                <w:sz w:val="24"/>
              </w:rPr>
              <w:t>US Const Amend I (Access to Courts)</w:t>
            </w:r>
          </w:p>
        </w:tc>
        <w:tc>
          <w:tcPr>
            <w:tcW w:type="dxa" w:w="4680"/>
          </w:tcPr>
          <w:p>
            <w:pPr>
              <w:spacing w:line="240" w:lineRule="auto"/>
            </w:pPr>
            <w:r/>
            <w:r>
              <w:rPr>
                <w:rFonts w:ascii="Times New Roman" w:hAnsi="Times New Roman"/>
                <w:b w:val="0"/>
                <w:i w:val="0"/>
                <w:sz w:val="24"/>
              </w:rPr>
              <w:t>24, 25, 26</w:t>
            </w:r>
          </w:p>
        </w:tc>
      </w:tr>
      <w:tr>
        <w:tc>
          <w:tcPr>
            <w:tcW w:type="dxa" w:w="4680"/>
          </w:tcPr>
          <w:p>
            <w:pPr>
              <w:spacing w:line="240" w:lineRule="auto"/>
            </w:pPr>
            <w:r/>
            <w:r>
              <w:rPr>
                <w:rFonts w:ascii="Times New Roman" w:hAnsi="Times New Roman"/>
                <w:b w:val="0"/>
                <w:i w:val="0"/>
                <w:sz w:val="24"/>
              </w:rPr>
              <w:t>US Const Amend XIV, Sec 1 (Due Process)</w:t>
            </w:r>
          </w:p>
        </w:tc>
        <w:tc>
          <w:tcPr>
            <w:tcW w:type="dxa" w:w="4680"/>
          </w:tcPr>
          <w:p>
            <w:pPr>
              <w:spacing w:line="240" w:lineRule="auto"/>
            </w:pPr>
            <w:r/>
            <w:r>
              <w:rPr>
                <w:rFonts w:ascii="Times New Roman" w:hAnsi="Times New Roman"/>
                <w:b w:val="0"/>
                <w:i w:val="0"/>
                <w:sz w:val="24"/>
              </w:rPr>
              <w:t>16, 17, 18, 24, 25, 31</w:t>
            </w:r>
          </w:p>
        </w:tc>
      </w:tr>
      <w:tr>
        <w:tc>
          <w:tcPr>
            <w:tcW w:type="dxa" w:w="4680"/>
          </w:tcPr>
          <w:p>
            <w:pPr>
              <w:spacing w:line="240" w:lineRule="auto"/>
            </w:pPr>
            <w:r/>
            <w:r>
              <w:rPr>
                <w:rFonts w:ascii="Times New Roman" w:hAnsi="Times New Roman"/>
                <w:b w:val="0"/>
                <w:i w:val="0"/>
                <w:sz w:val="24"/>
              </w:rPr>
              <w:t>Mich Const 1963, Art 1, Sec 13 (Right to Prosecute or Defend Suit)</w:t>
            </w:r>
          </w:p>
        </w:tc>
        <w:tc>
          <w:tcPr>
            <w:tcW w:type="dxa" w:w="4680"/>
          </w:tcPr>
          <w:p>
            <w:pPr>
              <w:spacing w:line="240" w:lineRule="auto"/>
            </w:pPr>
            <w:r/>
            <w:r>
              <w:rPr>
                <w:rFonts w:ascii="Times New Roman" w:hAnsi="Times New Roman"/>
                <w:b w:val="0"/>
                <w:i w:val="0"/>
                <w:sz w:val="24"/>
              </w:rPr>
              <w:t>24, 25, 26</w:t>
            </w:r>
          </w:p>
        </w:tc>
      </w:tr>
      <w:tr>
        <w:tc>
          <w:tcPr>
            <w:tcW w:type="dxa" w:w="4680"/>
          </w:tcPr>
          <w:p>
            <w:pPr>
              <w:spacing w:line="240" w:lineRule="auto"/>
            </w:pPr>
            <w:r/>
            <w:r>
              <w:rPr>
                <w:rFonts w:ascii="Times New Roman" w:hAnsi="Times New Roman"/>
                <w:b w:val="0"/>
                <w:i w:val="0"/>
                <w:sz w:val="24"/>
              </w:rPr>
              <w:t>Mich Const 1963, Art 1, Sec 17 (Due Process)</w:t>
            </w:r>
          </w:p>
        </w:tc>
        <w:tc>
          <w:tcPr>
            <w:tcW w:type="dxa" w:w="4680"/>
          </w:tcPr>
          <w:p>
            <w:pPr>
              <w:spacing w:line="240" w:lineRule="auto"/>
            </w:pPr>
            <w:r/>
            <w:r>
              <w:rPr>
                <w:rFonts w:ascii="Times New Roman" w:hAnsi="Times New Roman"/>
                <w:b w:val="0"/>
                <w:i w:val="0"/>
                <w:sz w:val="24"/>
              </w:rPr>
              <w:t>16, 17, 18, 24, 25</w:t>
            </w:r>
          </w:p>
        </w:tc>
      </w:tr>
    </w:tbl>
    <w:p>
      <w:pPr>
        <w:pStyle w:val="Heading2"/>
      </w:pPr>
      <w:r>
        <w:rPr>
          <w:rFonts w:ascii="Times New Roman" w:hAnsi="Times New Roman"/>
        </w:rPr>
        <w:t>STATEMENT OF JURISDICTION</w:t>
      </w:r>
    </w:p>
    <w:p>
      <w:pPr>
        <w:spacing w:line="480" w:lineRule="auto" w:after="0" w:before="0"/>
      </w:pPr>
      <w:r>
        <w:rPr>
          <w:rFonts w:ascii="Times New Roman" w:hAnsi="Times New Roman"/>
          <w:b w:val="0"/>
          <w:i w:val="0"/>
          <w:sz w:val="24"/>
        </w:rPr>
        <w:t>This Court has jurisdiction pursuant to MCR 7.203(A)(1), which grants the Court of Appeals jurisdiction over appeals of right from final judgments and final orders of the circuit court. The lower court entered a Final Judgment on August 23, 2024, granting sole legal and sole physical custody of the minor child to Defendant-Appellee in Case No. 2024-001507-DC, 14th Circuit Court, Muskegon County. (R. at 1-4.) The lower court thereafter entered additional post-judgment orders on May 16, 2025 (imposing a $250 filing bond), May 20, 2025 (denying motion regarding custody), and August 8, 2025 (ex parte suspension of all parenting time), each of which are challenged in this appeal.</w:t>
      </w:r>
    </w:p>
    <w:p>
      <w:pPr>
        <w:spacing w:line="480" w:lineRule="auto" w:after="0" w:before="0"/>
      </w:pPr>
      <w:r>
        <w:rPr>
          <w:rFonts w:ascii="Times New Roman" w:hAnsi="Times New Roman"/>
          <w:b w:val="0"/>
          <w:i w:val="0"/>
          <w:sz w:val="24"/>
        </w:rPr>
        <w:t>Appellant timely filed his Claim of Appeal on or about June 15, 2025, within the time prescribed by MCR 7.204(A)(1). The Claim of Appeal was filed with both the Court of Appeals and the lower court, accompanied by all required documents under MCR 7.204(B) and (C), including a copy of the judgment appealed from, proof of service on all parties, and the required jurisdictional checklist. MCR 7.204(C)(1)-(6).</w:t>
      </w:r>
    </w:p>
    <w:p>
      <w:pPr>
        <w:spacing w:line="480" w:lineRule="auto" w:after="0" w:before="0"/>
      </w:pPr>
      <w:r>
        <w:rPr>
          <w:rFonts w:ascii="Times New Roman" w:hAnsi="Times New Roman"/>
          <w:b w:val="0"/>
          <w:i w:val="0"/>
          <w:sz w:val="24"/>
        </w:rPr>
        <w:t>This case involves a contest as to the custody of a minor child, as required to be stated in capital letters on the claim of appeal per MCR 7.204(D)(3)(a). The appeal was docketed as COA No. 366810.</w:t>
      </w:r>
    </w:p>
    <w:p>
      <w:pPr>
        <w:spacing w:line="480" w:lineRule="auto" w:after="0" w:before="0"/>
      </w:pPr>
      <w:r>
        <w:rPr>
          <w:rFonts w:ascii="Times New Roman" w:hAnsi="Times New Roman"/>
          <w:b w:val="0"/>
          <w:i w:val="0"/>
          <w:sz w:val="24"/>
        </w:rPr>
        <w:t>Jurisdiction is therefore properly vested in this Court.</w:t>
      </w:r>
    </w:p>
    <w:p>
      <w:r>
        <w:br w:type="page"/>
      </w:r>
    </w:p>
    <w:p>
      <w:pPr>
        <w:pStyle w:val="Heading2"/>
      </w:pPr>
      <w:r>
        <w:rPr>
          <w:rFonts w:ascii="Times New Roman" w:hAnsi="Times New Roman"/>
        </w:rPr>
        <w:t>STATEMENT OF QUESTIONS PRESENTED</w:t>
      </w:r>
    </w:p>
    <w:p>
      <w:pPr>
        <w:pStyle w:val="Heading3"/>
      </w:pPr>
      <w:r>
        <w:rPr>
          <w:rFonts w:ascii="Times New Roman" w:hAnsi="Times New Roman"/>
        </w:rPr>
        <w:t>I.</w:t>
      </w:r>
    </w:p>
    <w:p>
      <w:pPr>
        <w:spacing w:line="480" w:lineRule="auto" w:after="0" w:before="0"/>
      </w:pPr>
      <w:r>
        <w:rPr>
          <w:rFonts w:ascii="Times New Roman" w:hAnsi="Times New Roman"/>
          <w:b/>
          <w:i w:val="0"/>
          <w:sz w:val="24"/>
        </w:rPr>
        <w:t>Whether the trial court abused its discretion by modifying the established custodial environment without requiring clear and convincing evidence, where the Father had been the primary caregiver and had an established custodial environment with the minor child prior to the August 23, 2024 Final Judgment?</w:t>
      </w:r>
    </w:p>
    <w:p>
      <w:pPr>
        <w:spacing w:line="480" w:lineRule="auto" w:after="0" w:before="0"/>
      </w:pPr>
      <w:r>
        <w:rPr>
          <w:rFonts w:ascii="Times New Roman" w:hAnsi="Times New Roman"/>
          <w:b w:val="0"/>
          <w:i/>
          <w:sz w:val="24"/>
        </w:rPr>
        <w:t>Appellant answers: Yes.</w:t>
      </w:r>
    </w:p>
    <w:p>
      <w:pPr>
        <w:spacing w:line="480" w:lineRule="auto" w:after="0" w:before="0"/>
      </w:pPr>
      <w:r>
        <w:rPr>
          <w:rFonts w:ascii="Times New Roman" w:hAnsi="Times New Roman"/>
          <w:b w:val="0"/>
          <w:i/>
          <w:sz w:val="24"/>
        </w:rPr>
        <w:t>The trial court answers: No.</w:t>
      </w:r>
    </w:p>
    <w:p>
      <w:pPr>
        <w:spacing w:line="480" w:lineRule="auto" w:after="0" w:before="0"/>
      </w:pPr>
      <w:r>
        <w:rPr>
          <w:rFonts w:ascii="Times New Roman" w:hAnsi="Times New Roman"/>
          <w:b/>
          <w:i w:val="0"/>
          <w:sz w:val="24"/>
        </w:rPr>
        <w:t>Standard of Review:</w:t>
      </w:r>
      <w:r>
        <w:rPr>
          <w:rFonts w:ascii="Times New Roman" w:hAnsi="Times New Roman"/>
          <w:b w:val="0"/>
          <w:i w:val="0"/>
          <w:sz w:val="24"/>
        </w:rPr>
        <w:t xml:space="preserve"> Abuse of discretion. </w:t>
      </w:r>
      <w:r>
        <w:rPr>
          <w:rFonts w:ascii="Times New Roman" w:hAnsi="Times New Roman"/>
          <w:b w:val="0"/>
          <w:i/>
          <w:sz w:val="24"/>
        </w:rPr>
        <w:t>Vodvarka v Grasher</w:t>
      </w:r>
      <w:r>
        <w:rPr>
          <w:rFonts w:ascii="Times New Roman" w:hAnsi="Times New Roman"/>
          <w:b w:val="0"/>
          <w:i w:val="0"/>
          <w:sz w:val="24"/>
        </w:rPr>
        <w:t>, 259 Mich App 499, 508; 675 NW2d 847 (2003); MCL 722.27(1)(c).</w:t>
      </w:r>
    </w:p>
    <w:p>
      <w:pPr>
        <w:pStyle w:val="Heading3"/>
      </w:pPr>
      <w:r>
        <w:rPr>
          <w:rFonts w:ascii="Times New Roman" w:hAnsi="Times New Roman"/>
        </w:rPr>
        <w:t>II.</w:t>
      </w:r>
    </w:p>
    <w:p>
      <w:pPr>
        <w:spacing w:line="480" w:lineRule="auto" w:after="0" w:before="0"/>
      </w:pPr>
      <w:r>
        <w:rPr>
          <w:rFonts w:ascii="Times New Roman" w:hAnsi="Times New Roman"/>
          <w:b/>
          <w:i w:val="0"/>
          <w:sz w:val="24"/>
        </w:rPr>
        <w:t>Whether the trial court violated Appellant's procedural due process rights under the Fourteenth Amendment to the United States Constitution and Mich Const 1963, Art 1, Sec 17, by entering ex parte orders suspending parenting time on August 8, 2025 without adequate notice or an opportunity to be heard, where MCR 3.207(B) requires specific factual findings before ex parte relief may be granted?</w:t>
      </w:r>
    </w:p>
    <w:p>
      <w:pPr>
        <w:spacing w:line="480" w:lineRule="auto" w:after="0" w:before="0"/>
      </w:pPr>
      <w:r>
        <w:rPr>
          <w:rFonts w:ascii="Times New Roman" w:hAnsi="Times New Roman"/>
          <w:b w:val="0"/>
          <w:i/>
          <w:sz w:val="24"/>
        </w:rPr>
        <w:t>Appellant answers: Yes.</w:t>
      </w:r>
    </w:p>
    <w:p>
      <w:pPr>
        <w:spacing w:line="480" w:lineRule="auto" w:after="0" w:before="0"/>
      </w:pPr>
      <w:r>
        <w:rPr>
          <w:rFonts w:ascii="Times New Roman" w:hAnsi="Times New Roman"/>
          <w:b w:val="0"/>
          <w:i/>
          <w:sz w:val="24"/>
        </w:rPr>
        <w:t>The trial court answers: No.</w:t>
      </w:r>
    </w:p>
    <w:p>
      <w:pPr>
        <w:spacing w:line="480" w:lineRule="auto" w:after="0" w:before="0"/>
      </w:pPr>
      <w:r>
        <w:rPr>
          <w:rFonts w:ascii="Times New Roman" w:hAnsi="Times New Roman"/>
          <w:b/>
          <w:i w:val="0"/>
          <w:sz w:val="24"/>
        </w:rPr>
        <w:t>Standard of Review:</w:t>
      </w:r>
      <w:r>
        <w:rPr>
          <w:rFonts w:ascii="Times New Roman" w:hAnsi="Times New Roman"/>
          <w:b w:val="0"/>
          <w:i w:val="0"/>
          <w:sz w:val="24"/>
        </w:rPr>
        <w:t xml:space="preserve"> De novo. Constitutional questions are reviewed de novo. </w:t>
      </w:r>
      <w:r>
        <w:rPr>
          <w:rFonts w:ascii="Times New Roman" w:hAnsi="Times New Roman"/>
          <w:b w:val="0"/>
          <w:i/>
          <w:sz w:val="24"/>
        </w:rPr>
        <w:t>Harvey v Harvey</w:t>
      </w:r>
      <w:r>
        <w:rPr>
          <w:rFonts w:ascii="Times New Roman" w:hAnsi="Times New Roman"/>
          <w:b w:val="0"/>
          <w:i w:val="0"/>
          <w:sz w:val="24"/>
        </w:rPr>
        <w:t>, 470 Mich 186, 191; 680 NW2d 835 (2004).</w:t>
      </w:r>
    </w:p>
    <w:p>
      <w:pPr>
        <w:pStyle w:val="Heading3"/>
      </w:pPr>
      <w:r>
        <w:rPr>
          <w:rFonts w:ascii="Times New Roman" w:hAnsi="Times New Roman"/>
        </w:rPr>
        <w:t>III.</w:t>
      </w:r>
    </w:p>
    <w:p>
      <w:pPr>
        <w:spacing w:line="480" w:lineRule="auto" w:after="0" w:before="0"/>
      </w:pPr>
      <w:r>
        <w:rPr>
          <w:rFonts w:ascii="Times New Roman" w:hAnsi="Times New Roman"/>
          <w:b/>
          <w:i w:val="0"/>
          <w:sz w:val="24"/>
        </w:rPr>
        <w:t>Whether the trial court committed clear error by failing to make the required findings of fact on each of the twelve MCL 722.23(a)-(l) best interest factors before entering the custody order, where MCR 2.517 mandates specific findings of fact in contested custody proceedings?</w:t>
      </w:r>
    </w:p>
    <w:p>
      <w:pPr>
        <w:spacing w:line="480" w:lineRule="auto" w:after="0" w:before="0"/>
      </w:pPr>
      <w:r>
        <w:rPr>
          <w:rFonts w:ascii="Times New Roman" w:hAnsi="Times New Roman"/>
          <w:b w:val="0"/>
          <w:i/>
          <w:sz w:val="24"/>
        </w:rPr>
        <w:t>Appellant answers: Yes.</w:t>
      </w:r>
    </w:p>
    <w:p>
      <w:pPr>
        <w:spacing w:line="480" w:lineRule="auto" w:after="0" w:before="0"/>
      </w:pPr>
      <w:r>
        <w:rPr>
          <w:rFonts w:ascii="Times New Roman" w:hAnsi="Times New Roman"/>
          <w:b w:val="0"/>
          <w:i/>
          <w:sz w:val="24"/>
        </w:rPr>
        <w:t>The trial court answers: No.</w:t>
      </w:r>
    </w:p>
    <w:p>
      <w:pPr>
        <w:spacing w:line="480" w:lineRule="auto" w:after="0" w:before="0"/>
      </w:pPr>
      <w:r>
        <w:rPr>
          <w:rFonts w:ascii="Times New Roman" w:hAnsi="Times New Roman"/>
          <w:b/>
          <w:i w:val="0"/>
          <w:sz w:val="24"/>
        </w:rPr>
        <w:t>Standard of Review:</w:t>
      </w:r>
      <w:r>
        <w:rPr>
          <w:rFonts w:ascii="Times New Roman" w:hAnsi="Times New Roman"/>
          <w:b w:val="0"/>
          <w:i w:val="0"/>
          <w:sz w:val="24"/>
        </w:rPr>
        <w:t xml:space="preserve"> Clear error. A trial court's findings of fact are reviewed for clear error; the absence of required findings constitutes clear error per se. MCR 2.517(A)(1); </w:t>
      </w:r>
      <w:r>
        <w:rPr>
          <w:rFonts w:ascii="Times New Roman" w:hAnsi="Times New Roman"/>
          <w:b w:val="0"/>
          <w:i/>
          <w:sz w:val="24"/>
        </w:rPr>
        <w:t>Pierron v Pierron</w:t>
      </w:r>
      <w:r>
        <w:rPr>
          <w:rFonts w:ascii="Times New Roman" w:hAnsi="Times New Roman"/>
          <w:b w:val="0"/>
          <w:i w:val="0"/>
          <w:sz w:val="24"/>
        </w:rPr>
        <w:t>, 486 Mich 81, 92; 782 NW2d 480 (2010).</w:t>
      </w:r>
    </w:p>
    <w:p>
      <w:pPr>
        <w:pStyle w:val="Heading3"/>
      </w:pPr>
      <w:r>
        <w:rPr>
          <w:rFonts w:ascii="Times New Roman" w:hAnsi="Times New Roman"/>
        </w:rPr>
        <w:t>IV.</w:t>
      </w:r>
    </w:p>
    <w:p>
      <w:pPr>
        <w:spacing w:line="480" w:lineRule="auto" w:after="0" w:before="0"/>
      </w:pPr>
      <w:r>
        <w:rPr>
          <w:rFonts w:ascii="Times New Roman" w:hAnsi="Times New Roman"/>
          <w:b/>
          <w:i w:val="0"/>
          <w:sz w:val="24"/>
        </w:rPr>
        <w:t>Whether the trial court's imposition of a $250-per-motion filing bond on May 16, 2025, without a finding that Appellant's prior filings were frivolous, unconstitutionally restricted Appellant's right of access to the courts in violation of US Const Amend I, Amend XIV, and Mich Const 1963, Art 1, Sec 17?</w:t>
      </w:r>
    </w:p>
    <w:p>
      <w:pPr>
        <w:spacing w:line="480" w:lineRule="auto" w:after="0" w:before="0"/>
      </w:pPr>
      <w:r>
        <w:rPr>
          <w:rFonts w:ascii="Times New Roman" w:hAnsi="Times New Roman"/>
          <w:b w:val="0"/>
          <w:i/>
          <w:sz w:val="24"/>
        </w:rPr>
        <w:t>Appellant answers: Yes.</w:t>
      </w:r>
    </w:p>
    <w:p>
      <w:pPr>
        <w:spacing w:line="480" w:lineRule="auto" w:after="0" w:before="0"/>
      </w:pPr>
      <w:r>
        <w:rPr>
          <w:rFonts w:ascii="Times New Roman" w:hAnsi="Times New Roman"/>
          <w:b w:val="0"/>
          <w:i/>
          <w:sz w:val="24"/>
        </w:rPr>
        <w:t>The trial court answers: No.</w:t>
      </w:r>
    </w:p>
    <w:p>
      <w:pPr>
        <w:spacing w:line="480" w:lineRule="auto" w:after="0" w:before="0"/>
      </w:pPr>
      <w:r>
        <w:rPr>
          <w:rFonts w:ascii="Times New Roman" w:hAnsi="Times New Roman"/>
          <w:b/>
          <w:i w:val="0"/>
          <w:sz w:val="24"/>
        </w:rPr>
        <w:t>Standard of Review:</w:t>
      </w:r>
      <w:r>
        <w:rPr>
          <w:rFonts w:ascii="Times New Roman" w:hAnsi="Times New Roman"/>
          <w:b w:val="0"/>
          <w:i w:val="0"/>
          <w:sz w:val="24"/>
        </w:rPr>
        <w:t xml:space="preserve"> De novo. Constitutional questions and questions of law are reviewed de novo.</w:t>
      </w:r>
    </w:p>
    <w:p>
      <w:pPr>
        <w:pStyle w:val="Heading3"/>
      </w:pPr>
      <w:r>
        <w:rPr>
          <w:rFonts w:ascii="Times New Roman" w:hAnsi="Times New Roman"/>
        </w:rPr>
        <w:t>V.</w:t>
      </w:r>
    </w:p>
    <w:p>
      <w:pPr>
        <w:spacing w:line="480" w:lineRule="auto" w:after="0" w:before="0"/>
      </w:pPr>
      <w:r>
        <w:rPr>
          <w:rFonts w:ascii="Times New Roman" w:hAnsi="Times New Roman"/>
          <w:b/>
          <w:i w:val="0"/>
          <w:sz w:val="24"/>
        </w:rPr>
        <w:t>Whether the trial court demonstrated actual bias requiring disqualification under MCR 2.003(C)(1), where the record reflects a pattern of disparate treatment including muting Appellant during hearings, refusing to review exculpatory evidence, ex parte communications, and reliance on unsworn allegations?</w:t>
      </w:r>
    </w:p>
    <w:p>
      <w:pPr>
        <w:spacing w:line="480" w:lineRule="auto" w:after="0" w:before="0"/>
      </w:pPr>
      <w:r>
        <w:rPr>
          <w:rFonts w:ascii="Times New Roman" w:hAnsi="Times New Roman"/>
          <w:b w:val="0"/>
          <w:i/>
          <w:sz w:val="24"/>
        </w:rPr>
        <w:t>Appellant answers: Yes.</w:t>
      </w:r>
    </w:p>
    <w:p>
      <w:pPr>
        <w:spacing w:line="480" w:lineRule="auto" w:after="0" w:before="0"/>
      </w:pPr>
      <w:r>
        <w:rPr>
          <w:rFonts w:ascii="Times New Roman" w:hAnsi="Times New Roman"/>
          <w:b w:val="0"/>
          <w:i/>
          <w:sz w:val="24"/>
        </w:rPr>
        <w:t>The trial court answers: No.</w:t>
      </w:r>
    </w:p>
    <w:p>
      <w:pPr>
        <w:spacing w:line="480" w:lineRule="auto" w:after="0" w:before="0"/>
      </w:pPr>
      <w:r>
        <w:rPr>
          <w:rFonts w:ascii="Times New Roman" w:hAnsi="Times New Roman"/>
          <w:b/>
          <w:i w:val="0"/>
          <w:sz w:val="24"/>
        </w:rPr>
        <w:t>Standard of Review:</w:t>
      </w:r>
      <w:r>
        <w:rPr>
          <w:rFonts w:ascii="Times New Roman" w:hAnsi="Times New Roman"/>
          <w:b w:val="0"/>
          <w:i w:val="0"/>
          <w:sz w:val="24"/>
        </w:rPr>
        <w:t xml:space="preserve"> Abuse of discretion, informed by the objective standard of </w:t>
      </w:r>
      <w:r>
        <w:rPr>
          <w:rFonts w:ascii="Times New Roman" w:hAnsi="Times New Roman"/>
          <w:b w:val="0"/>
          <w:i/>
          <w:sz w:val="24"/>
        </w:rPr>
        <w:t>Caperton v A.T. Massey Coal Co.</w:t>
      </w:r>
      <w:r>
        <w:rPr>
          <w:rFonts w:ascii="Times New Roman" w:hAnsi="Times New Roman"/>
          <w:b w:val="0"/>
          <w:i w:val="0"/>
          <w:sz w:val="24"/>
        </w:rPr>
        <w:t>, 556 US 868 (2009), and MCR 2.003(C)(1)(b).</w:t>
      </w:r>
    </w:p>
    <w:p>
      <w:pPr>
        <w:pStyle w:val="Heading3"/>
      </w:pPr>
      <w:r>
        <w:rPr>
          <w:rFonts w:ascii="Times New Roman" w:hAnsi="Times New Roman"/>
        </w:rPr>
        <w:t>VI.</w:t>
      </w:r>
    </w:p>
    <w:p>
      <w:pPr>
        <w:spacing w:line="480" w:lineRule="auto" w:after="0" w:before="0"/>
      </w:pPr>
      <w:r>
        <w:rPr>
          <w:rFonts w:ascii="Times New Roman" w:hAnsi="Times New Roman"/>
          <w:b/>
          <w:i w:val="0"/>
          <w:sz w:val="24"/>
        </w:rPr>
        <w:t>Whether the trial court's complete denial of all parenting time for 329+ consecutive days, beginning August 8, 2025, without any finding that parenting time would endanger the child's physical, mental, or emotional health under MCL 722.27a(3), violated Appellant's fundamental parental rights?</w:t>
      </w:r>
    </w:p>
    <w:p>
      <w:pPr>
        <w:spacing w:line="480" w:lineRule="auto" w:after="0" w:before="0"/>
      </w:pPr>
      <w:r>
        <w:rPr>
          <w:rFonts w:ascii="Times New Roman" w:hAnsi="Times New Roman"/>
          <w:b w:val="0"/>
          <w:i/>
          <w:sz w:val="24"/>
        </w:rPr>
        <w:t>Appellant answers: Yes.</w:t>
      </w:r>
    </w:p>
    <w:p>
      <w:pPr>
        <w:spacing w:line="480" w:lineRule="auto" w:after="0" w:before="0"/>
      </w:pPr>
      <w:r>
        <w:rPr>
          <w:rFonts w:ascii="Times New Roman" w:hAnsi="Times New Roman"/>
          <w:b w:val="0"/>
          <w:i/>
          <w:sz w:val="24"/>
        </w:rPr>
        <w:t>The trial court answers: No.</w:t>
      </w:r>
    </w:p>
    <w:p>
      <w:pPr>
        <w:spacing w:line="480" w:lineRule="auto" w:after="0" w:before="0"/>
      </w:pPr>
      <w:r>
        <w:rPr>
          <w:rFonts w:ascii="Times New Roman" w:hAnsi="Times New Roman"/>
          <w:b/>
          <w:i w:val="0"/>
          <w:sz w:val="24"/>
        </w:rPr>
        <w:t>Standard of Review:</w:t>
      </w:r>
      <w:r>
        <w:rPr>
          <w:rFonts w:ascii="Times New Roman" w:hAnsi="Times New Roman"/>
          <w:b w:val="0"/>
          <w:i w:val="0"/>
          <w:sz w:val="24"/>
        </w:rPr>
        <w:t xml:space="preserve"> Abuse of discretion. </w:t>
      </w:r>
      <w:r>
        <w:rPr>
          <w:rFonts w:ascii="Times New Roman" w:hAnsi="Times New Roman"/>
          <w:b w:val="0"/>
          <w:i/>
          <w:sz w:val="24"/>
        </w:rPr>
        <w:t>Shade v Wright</w:t>
      </w:r>
      <w:r>
        <w:rPr>
          <w:rFonts w:ascii="Times New Roman" w:hAnsi="Times New Roman"/>
          <w:b w:val="0"/>
          <w:i w:val="0"/>
          <w:sz w:val="24"/>
        </w:rPr>
        <w:t>, 291 Mich App 17, 21; 805 NW2d 1 (2010); MCL 722.27a(3).</w:t>
      </w:r>
    </w:p>
    <w:p>
      <w:r>
        <w:br w:type="page"/>
      </w:r>
    </w:p>
    <w:p>
      <w:pPr>
        <w:pStyle w:val="Heading2"/>
      </w:pPr>
      <w:r>
        <w:rPr>
          <w:rFonts w:ascii="Times New Roman" w:hAnsi="Times New Roman"/>
        </w:rPr>
        <w:t>STATEMENT OF FACTS</w:t>
      </w:r>
    </w:p>
    <w:p>
      <w:pPr>
        <w:pStyle w:val="Heading3"/>
      </w:pPr>
      <w:r>
        <w:rPr>
          <w:rFonts w:ascii="Times New Roman" w:hAnsi="Times New Roman"/>
        </w:rPr>
        <w:t>A. Background and Parties</w:t>
      </w:r>
    </w:p>
    <w:p>
      <w:pPr>
        <w:spacing w:line="480" w:lineRule="auto" w:after="0" w:before="0"/>
      </w:pPr>
      <w:r>
        <w:rPr>
          <w:rFonts w:ascii="Times New Roman" w:hAnsi="Times New Roman"/>
          <w:b w:val="0"/>
          <w:i w:val="0"/>
          <w:sz w:val="24"/>
        </w:rPr>
        <w:t>Plaintiff-Appellant Andrew J. Pigors ("Father") and Defendant-Appellee Tiffany Watson ("Mother") are the biological parents of one minor child, Lincoln D.W. Pigors ("LDW" or "Lincoln"), born in 2022. (R. at 1.) At all relevant times, the parties resided in Muskegon County, Michigan, within the jurisdiction of the 14th Circuit Court. All proceedings below were before the Honorable Jenny L. McNeill. (R. at 1.)</w:t>
      </w:r>
    </w:p>
    <w:p>
      <w:pPr>
        <w:pStyle w:val="Heading3"/>
      </w:pPr>
      <w:r>
        <w:rPr>
          <w:rFonts w:ascii="Times New Roman" w:hAnsi="Times New Roman"/>
        </w:rPr>
        <w:t>B. Pre-Litigation Period (2022-2023)</w:t>
      </w:r>
    </w:p>
    <w:p>
      <w:pPr>
        <w:spacing w:line="480" w:lineRule="auto" w:after="0" w:before="0"/>
      </w:pPr>
      <w:r>
        <w:rPr>
          <w:rFonts w:ascii="Times New Roman" w:hAnsi="Times New Roman"/>
          <w:b w:val="0"/>
          <w:i w:val="0"/>
          <w:sz w:val="24"/>
        </w:rPr>
        <w:t>From Lincoln's birth in 2022 through fall of 2023, Father was actively involved in the day-to-day care and upbringing of his son. Father provided daily caregiving, maintained stable housing, and had a bonded, loving relationship with Lincoln. (R. at Complaint.) The child had an established custodial environment with both parents during this period.</w:t>
      </w:r>
    </w:p>
    <w:p>
      <w:pPr>
        <w:pStyle w:val="Heading3"/>
      </w:pPr>
      <w:r>
        <w:rPr>
          <w:rFonts w:ascii="Times New Roman" w:hAnsi="Times New Roman"/>
        </w:rPr>
        <w:t>C. PPO Petition and Initiation of Conflict (October 2023 - March 2024)</w:t>
      </w:r>
    </w:p>
    <w:p>
      <w:pPr>
        <w:spacing w:line="480" w:lineRule="auto" w:after="0" w:before="0"/>
      </w:pPr>
      <w:r>
        <w:rPr>
          <w:rFonts w:ascii="Times New Roman" w:hAnsi="Times New Roman"/>
          <w:b w:val="0"/>
          <w:i w:val="0"/>
          <w:sz w:val="24"/>
        </w:rPr>
        <w:t>On or about October 15, 2023, Mother filed a Petition for Personal Protection Order (Domestic Relationship) in Case No. 2023-5907-PP. (R. at PPO Petition.) The PPO petition was granted ex parte on November 1, 2023, without a full evidentiary hearing. (R. at PPO Order, 11/1/2023.) Father appeared at subsequent hearings on November 17, 2023, and December 4, 2023. (R. at ROA, pp. 1-2.) At the December 4, 2023 hearing, the court entered an order after hearing, presided over by Judge McNeill. (R. at Order, 12/4/2023.)</w:t>
      </w:r>
    </w:p>
    <w:p>
      <w:pPr>
        <w:spacing w:line="480" w:lineRule="auto" w:after="0" w:before="0"/>
      </w:pPr>
      <w:r>
        <w:rPr>
          <w:rFonts w:ascii="Times New Roman" w:hAnsi="Times New Roman"/>
          <w:b w:val="0"/>
          <w:i w:val="0"/>
          <w:sz w:val="24"/>
        </w:rPr>
        <w:t>On January 7, 2024, a PPO violation show cause hearing was held before Judge McNeill. (R. at ROA, p. 2.) On March 12, 2024, Mother filed for an additional PPO against Father, using allegations that Father maintains were staged or unfounded. (R. at PPO Petition, 3/12/2024.) On March 22, 2024, the court granted a motion for hearing on the PPO, setting the matter for April 11, 2024. (R. at ROA, p. 2.)</w:t>
      </w:r>
    </w:p>
    <w:p>
      <w:pPr>
        <w:pStyle w:val="Heading3"/>
      </w:pPr>
      <w:r>
        <w:rPr>
          <w:rFonts w:ascii="Times New Roman" w:hAnsi="Times New Roman"/>
        </w:rPr>
        <w:t>D. Custody Action Filed and Ex Parte Orders (April 2024)</w:t>
      </w:r>
    </w:p>
    <w:p>
      <w:pPr>
        <w:spacing w:line="480" w:lineRule="auto" w:after="0" w:before="0"/>
      </w:pPr>
      <w:r>
        <w:rPr>
          <w:rFonts w:ascii="Times New Roman" w:hAnsi="Times New Roman"/>
          <w:b w:val="0"/>
          <w:i w:val="0"/>
          <w:sz w:val="24"/>
        </w:rPr>
        <w:t>On April 1, 2024, summons and complaint were filed in Case No. 2024-001507-DC. (R. at Complaint.) On April 5, 2024, the court entered an order acknowledging that Plaintiff had filed a Complaint for Custody, Parenting Time, and Child Support. (R. at Order, 4/5/2024.)</w:t>
      </w:r>
    </w:p>
    <w:p>
      <w:pPr>
        <w:spacing w:line="480" w:lineRule="auto" w:after="0" w:before="0"/>
      </w:pPr>
      <w:r>
        <w:rPr>
          <w:rFonts w:ascii="Times New Roman" w:hAnsi="Times New Roman"/>
          <w:b w:val="0"/>
          <w:i w:val="0"/>
          <w:sz w:val="24"/>
        </w:rPr>
        <w:t>On April 11, 2024, the following events occurred in rapid succession: (a) Watson filed a custody complaint; (b) the PPO was amended ex parte; (c) a notice to appear was issued to Defendant; (d) an order after hearing on PPO violation was entered; and (e) the next PPO hearing was set for April 23, 2024. (R. at ROA, pp. 2-3.) The April 11 hearing resulted in entry of an ex parte amended domestic PPO without adequate notice to Father. (R. at Ex Parte Order, 4/11/2024.)</w:t>
      </w:r>
    </w:p>
    <w:p>
      <w:pPr>
        <w:spacing w:line="480" w:lineRule="auto" w:after="0" w:before="0"/>
      </w:pPr>
      <w:r>
        <w:rPr>
          <w:rFonts w:ascii="Times New Roman" w:hAnsi="Times New Roman"/>
          <w:b w:val="0"/>
          <w:i w:val="0"/>
          <w:sz w:val="24"/>
        </w:rPr>
        <w:t>On April 12, 2024, Father filed a motion regarding custody, which was denied by order entered the same day. (R. at Order, 4/12/2024.) The court dismissed the motion without an evidentiary hearing.</w:t>
      </w:r>
    </w:p>
    <w:p>
      <w:pPr>
        <w:spacing w:line="480" w:lineRule="auto" w:after="0" w:before="0"/>
      </w:pPr>
      <w:r>
        <w:rPr>
          <w:rFonts w:ascii="Times New Roman" w:hAnsi="Times New Roman"/>
          <w:b w:val="0"/>
          <w:i w:val="0"/>
          <w:sz w:val="24"/>
        </w:rPr>
        <w:t>On April 29, 2024, an ex parte order for custody was entered. The parties were thereafter ordered to participate in a Facilitative Information Gathering Conference, which resulted in a temporary arrangement. (R. at Ex Parte Order, 4/29/2024.)</w:t>
      </w:r>
    </w:p>
    <w:p>
      <w:pPr>
        <w:pStyle w:val="Heading3"/>
      </w:pPr>
      <w:r>
        <w:rPr>
          <w:rFonts w:ascii="Times New Roman" w:hAnsi="Times New Roman"/>
        </w:rPr>
        <w:t>E. Parenting Time Withholding and Pattern of Alienation (May - July 2024)</w:t>
      </w:r>
    </w:p>
    <w:p>
      <w:pPr>
        <w:spacing w:line="480" w:lineRule="auto" w:after="0" w:before="0"/>
      </w:pPr>
      <w:r>
        <w:rPr>
          <w:rFonts w:ascii="Times New Roman" w:hAnsi="Times New Roman"/>
          <w:b w:val="0"/>
          <w:i w:val="0"/>
          <w:sz w:val="24"/>
        </w:rPr>
        <w:t>From March 26 through May 2, 2024, Mother withheld Lincoln from Father for 37 consecutive days without a court order authorizing such withholding. (R. at Docket Events, 5/2/2024.) This was the first in a pattern of extended withholding periods that would escalate throughout the litigation.</w:t>
      </w:r>
    </w:p>
    <w:p>
      <w:pPr>
        <w:spacing w:line="480" w:lineRule="auto" w:after="0" w:before="0"/>
      </w:pPr>
      <w:r>
        <w:rPr>
          <w:rFonts w:ascii="Times New Roman" w:hAnsi="Times New Roman"/>
          <w:b w:val="0"/>
          <w:i w:val="0"/>
          <w:sz w:val="24"/>
        </w:rPr>
        <w:t>On May 13, 2024, the court ordered the parties to communicate via co-parenting application. (R. at Order, 5/13/2024.) On May 23, 2024, the court dismissed Father's motion regarding parenting time. (R. at Order, 5/23/2024.)</w:t>
      </w:r>
    </w:p>
    <w:p>
      <w:pPr>
        <w:spacing w:line="480" w:lineRule="auto" w:after="0" w:before="0"/>
      </w:pPr>
      <w:r>
        <w:rPr>
          <w:rFonts w:ascii="Times New Roman" w:hAnsi="Times New Roman"/>
          <w:b w:val="0"/>
          <w:i w:val="0"/>
          <w:sz w:val="24"/>
        </w:rPr>
        <w:t>On June 15, 2024, at a PPO violation hearing, Father pled guilty and received 45 days in jail. (R. at ROA, p. 3; Tr. at Violation Hearing.) A custody hearing was also held on this date before Judge McNeill. (R. at ROA, p. 3.)</w:t>
      </w:r>
    </w:p>
    <w:p>
      <w:pPr>
        <w:spacing w:line="480" w:lineRule="auto" w:after="0" w:before="0"/>
      </w:pPr>
      <w:r>
        <w:rPr>
          <w:rFonts w:ascii="Times New Roman" w:hAnsi="Times New Roman"/>
          <w:b w:val="0"/>
          <w:i w:val="0"/>
          <w:sz w:val="24"/>
        </w:rPr>
        <w:t>On June 27, 2024, Father filed a Motion to Qualify/Disqualify the judge, the first of several such attempts. (R. at ROA, p. 4.) On July 1, 2024, an emergency ex parte order was entered granting sole custody to Watson without a full evidentiary hearing. (R. at Ex Parte Order, 7/1/2024.)</w:t>
      </w:r>
    </w:p>
    <w:p>
      <w:pPr>
        <w:spacing w:line="480" w:lineRule="auto" w:after="0" w:before="0"/>
      </w:pPr>
      <w:r>
        <w:rPr>
          <w:rFonts w:ascii="Times New Roman" w:hAnsi="Times New Roman"/>
          <w:b w:val="0"/>
          <w:i w:val="0"/>
          <w:sz w:val="24"/>
        </w:rPr>
        <w:t>On July 16, 2024, the court entered an order stating this was the initial order regarding custody and parenting time. Father's six motions were addressed. Father also filed a Motion for Child Support Recalculation. (R. at Order, 7/16/2024.) On July 30, 2024, Father filed an objection to the prepared/proposed judgment. (R. at Objection, 7/30/2024.)</w:t>
      </w:r>
    </w:p>
    <w:p>
      <w:pPr>
        <w:pStyle w:val="Heading3"/>
      </w:pPr>
      <w:r>
        <w:rPr>
          <w:rFonts w:ascii="Times New Roman" w:hAnsi="Times New Roman"/>
        </w:rPr>
        <w:t>F. Final Judgment - August 23, 2024</w:t>
      </w:r>
    </w:p>
    <w:p>
      <w:pPr>
        <w:spacing w:line="480" w:lineRule="auto" w:after="0" w:before="0"/>
      </w:pPr>
      <w:r>
        <w:rPr>
          <w:rFonts w:ascii="Times New Roman" w:hAnsi="Times New Roman"/>
          <w:b w:val="0"/>
          <w:i w:val="0"/>
          <w:sz w:val="24"/>
        </w:rPr>
        <w:t>On August 23, 2024, the trial court entered a Final Judgment granting sole legal and sole physical custody to Defendant/Mother, with specified parenting time afforded to Father. (R. at Final Judgment, 8/23/2024, pp. 1-4.) A Uniform Child Support Order was entered simultaneously. (R. at UCSO, 8/23/2024.)</w:t>
      </w:r>
    </w:p>
    <w:p>
      <w:pPr>
        <w:spacing w:line="480" w:lineRule="auto" w:after="0" w:before="0"/>
      </w:pPr>
      <w:r>
        <w:rPr>
          <w:rFonts w:ascii="Times New Roman" w:hAnsi="Times New Roman"/>
          <w:b w:val="0"/>
          <w:i w:val="0"/>
          <w:sz w:val="24"/>
        </w:rPr>
        <w:t>Critically, the court's order was entered after the court "rendered an oral opinion" and "the Defendant submitted an order under the 7 day rule, using parts of the rulings the Court made regarding the best interest factors." (R. at Order, 8/23/2024, p. 2.) Father filed an objection but the court found that Father "failed to follow the Court rules, in stating with specificity what parts of the order he objected to and did not provide an order." (R. at Order, 8/23/2024, p. 2.)</w:t>
      </w:r>
    </w:p>
    <w:p>
      <w:pPr>
        <w:spacing w:line="480" w:lineRule="auto" w:after="0" w:before="0"/>
      </w:pPr>
      <w:r>
        <w:rPr>
          <w:rFonts w:ascii="Times New Roman" w:hAnsi="Times New Roman"/>
          <w:b w:val="0"/>
          <w:i w:val="0"/>
          <w:sz w:val="24"/>
        </w:rPr>
        <w:t xml:space="preserve">The Final Judgment was entered without the trial court issuing written findings on all twelve MCL 722.23(a)-(l) best interest factors. The court failed to conduct a proper established custodial environment analysis under MCL 722.27(1)(c) and </w:t>
      </w:r>
      <w:r>
        <w:rPr>
          <w:rFonts w:ascii="Times New Roman" w:hAnsi="Times New Roman"/>
          <w:b w:val="0"/>
          <w:i/>
          <w:sz w:val="24"/>
        </w:rPr>
        <w:t>Pierron v Pierron</w:t>
      </w:r>
      <w:r>
        <w:rPr>
          <w:rFonts w:ascii="Times New Roman" w:hAnsi="Times New Roman"/>
          <w:b w:val="0"/>
          <w:i w:val="0"/>
          <w:sz w:val="24"/>
        </w:rPr>
        <w:t>, 486 Mich 81 (2010). The court did not make the required threshold determination of whether an established custodial environment existed, and did not apply the heightened clear and convincing evidence standard mandated when modifying an established custodial environment.</w:t>
      </w:r>
    </w:p>
    <w:p>
      <w:pPr>
        <w:pStyle w:val="Heading3"/>
      </w:pPr>
      <w:r>
        <w:rPr>
          <w:rFonts w:ascii="Times New Roman" w:hAnsi="Times New Roman"/>
        </w:rPr>
        <w:t>G. Post-Judgment Motions and Continued Denial of Relief (September 2024 - May 2025)</w:t>
      </w:r>
    </w:p>
    <w:p>
      <w:pPr>
        <w:spacing w:line="480" w:lineRule="auto" w:after="0" w:before="0"/>
      </w:pPr>
      <w:r>
        <w:rPr>
          <w:rFonts w:ascii="Times New Roman" w:hAnsi="Times New Roman"/>
          <w:b w:val="0"/>
          <w:i w:val="0"/>
          <w:sz w:val="24"/>
        </w:rPr>
        <w:t>Following the Final Judgment, Father engaged in extensive post-judgment motion practice seeking modification of the custody and parenting time arrangements.</w:t>
      </w:r>
    </w:p>
    <w:p>
      <w:pPr>
        <w:spacing w:line="480" w:lineRule="auto" w:after="0" w:before="0"/>
      </w:pPr>
      <w:r>
        <w:rPr>
          <w:rFonts w:ascii="Times New Roman" w:hAnsi="Times New Roman"/>
          <w:b w:val="0"/>
          <w:i w:val="0"/>
          <w:sz w:val="24"/>
        </w:rPr>
        <w:t>On October 20, 2024, during a parenting exchange, Mother's father Albert Watson forcibly removed Lincoln from Father's arms while Lincoln clung to Father. (R. at Docket Events, 10/20/2024.) Albert Watson served a PPO violation during this same exchange, an act that Father alleges was a deliberate provocation. Lincoln witnessed this traumatic incident. (R. at Docket Events, 10/20/2024.) From October 20 through November 12, 2024, Mother withheld Lincoln from Father for an additional 23 consecutive days. (R. at Docket Events, 11/12/2024.)</w:t>
      </w:r>
    </w:p>
    <w:p>
      <w:pPr>
        <w:spacing w:line="480" w:lineRule="auto" w:after="0" w:before="0"/>
      </w:pPr>
      <w:r>
        <w:rPr>
          <w:rFonts w:ascii="Times New Roman" w:hAnsi="Times New Roman"/>
          <w:b w:val="0"/>
          <w:i w:val="0"/>
          <w:sz w:val="24"/>
        </w:rPr>
        <w:t>On November 19, 2024, Father discovered that Lincoln had received vaccinations and a doctor's appointment without Father's knowledge or consent, in violation of co-parenting obligations. (R. at Docket Events, 11/19/2024.)</w:t>
      </w:r>
    </w:p>
    <w:p>
      <w:pPr>
        <w:spacing w:line="480" w:lineRule="auto" w:after="0" w:before="0"/>
      </w:pPr>
      <w:r>
        <w:rPr>
          <w:rFonts w:ascii="Times New Roman" w:hAnsi="Times New Roman"/>
          <w:b w:val="0"/>
          <w:i w:val="0"/>
          <w:sz w:val="24"/>
        </w:rPr>
        <w:t>On February 14, 2025, Father filed a Motion regarding Parenting Time requesting joint custody and equal parenting time. (R. at Motion, 2/14/2025.) The court found as follows and dismissed the motion: "Nothing in Plaintiff's Motion indicates a change of circumstances as required by law." (R. at Order, 2/14/2025.) The court stated Father "makes numerous allegations, which the Family Court Specialist addressed." (R. at Order, 2/14/2025.) The court imposed a requirement that Father pay a bond of "$250 (for each motion) before he may file another motion in this matter." (R. at Order, 5/16/2025.) This filing bond was imposed without a finding that Father's prior motions were frivolous, vexatious, or filed in bad faith.</w:t>
      </w:r>
    </w:p>
    <w:p>
      <w:pPr>
        <w:spacing w:line="480" w:lineRule="auto" w:after="0" w:before="0"/>
      </w:pPr>
      <w:r>
        <w:rPr>
          <w:rFonts w:ascii="Times New Roman" w:hAnsi="Times New Roman"/>
          <w:b w:val="0"/>
          <w:i w:val="0"/>
          <w:sz w:val="24"/>
        </w:rPr>
        <w:t>On May 20, 2025, an order denying Father's motion regarding custody was entered. (R. at Order, 5/20/2025.) On May 22, 2025, the court denied Father's post-judgment relief motion. (R. at Order, 5/22/2025.)</w:t>
      </w:r>
    </w:p>
    <w:p>
      <w:pPr>
        <w:pStyle w:val="Heading3"/>
      </w:pPr>
      <w:r>
        <w:rPr>
          <w:rFonts w:ascii="Times New Roman" w:hAnsi="Times New Roman"/>
        </w:rPr>
        <w:t>H. Appeal Filed (June 2025)</w:t>
      </w:r>
    </w:p>
    <w:p>
      <w:pPr>
        <w:spacing w:line="480" w:lineRule="auto" w:after="0" w:before="0"/>
      </w:pPr>
      <w:r>
        <w:rPr>
          <w:rFonts w:ascii="Times New Roman" w:hAnsi="Times New Roman"/>
          <w:b w:val="0"/>
          <w:i w:val="0"/>
          <w:sz w:val="24"/>
        </w:rPr>
        <w:t>On or about June 15, 2025, Father filed his Claim of Appeal with the Michigan Court of Appeals, docketed as COA No. 366810. (R. at Claim of Appeal.) The appeal challenges the August 23, 2024 Final Judgment and all subsequent orders.</w:t>
      </w:r>
    </w:p>
    <w:p>
      <w:pPr>
        <w:pStyle w:val="Heading3"/>
      </w:pPr>
      <w:r>
        <w:rPr>
          <w:rFonts w:ascii="Times New Roman" w:hAnsi="Times New Roman"/>
        </w:rPr>
        <w:t>I. Ex Parte Suspension of All Parenting Time (August 2025)</w:t>
      </w:r>
    </w:p>
    <w:p>
      <w:pPr>
        <w:spacing w:line="480" w:lineRule="auto" w:after="0" w:before="0"/>
      </w:pPr>
      <w:r>
        <w:rPr>
          <w:rFonts w:ascii="Times New Roman" w:hAnsi="Times New Roman"/>
          <w:b w:val="0"/>
          <w:i w:val="0"/>
          <w:sz w:val="24"/>
        </w:rPr>
        <w:t>On August 8, 2025, Mother filed an emergency ex parte motion to suspend Father's parenting time. (R. at Ex Parte Motion, 8/8/2025.) On the same date, Judge McNeill signed an ex parte order suspending all of Father's parenting time. (R. at Ex Parte Order, 8/8/2025.) Father received no prior notice of the ex parte motion and was not afforded an opportunity to be heard before the order was entered. Father arrived for his regularly scheduled parenting exchange only to discover that his time had been suspended. (R. at Docket Events, 8/8/2025.)</w:t>
      </w:r>
    </w:p>
    <w:p>
      <w:pPr>
        <w:spacing w:line="480" w:lineRule="auto" w:after="0" w:before="0"/>
      </w:pPr>
      <w:r>
        <w:rPr>
          <w:rFonts w:ascii="Times New Roman" w:hAnsi="Times New Roman"/>
          <w:b w:val="0"/>
          <w:i w:val="0"/>
          <w:sz w:val="24"/>
        </w:rPr>
        <w:t>The ex parte motion failed to allege that delaying for notice to Father would cause immediate and irreparable injury, loss, or damage. The motion did not set out specific, immediate, irreparable harm as required for ex parte relief under MCR 3.207(B). (R. at Ex Parte Motion, 8/8/2025.)</w:t>
      </w:r>
    </w:p>
    <w:p>
      <w:pPr>
        <w:pStyle w:val="Heading3"/>
      </w:pPr>
      <w:r>
        <w:rPr>
          <w:rFonts w:ascii="Times New Roman" w:hAnsi="Times New Roman"/>
        </w:rPr>
        <w:t>J. Evidentiary Hearings and Continued Suspension (September - November 2025)</w:t>
      </w:r>
    </w:p>
    <w:p>
      <w:pPr>
        <w:spacing w:line="480" w:lineRule="auto" w:after="0" w:before="0"/>
      </w:pPr>
      <w:r>
        <w:rPr>
          <w:rFonts w:ascii="Times New Roman" w:hAnsi="Times New Roman"/>
          <w:b w:val="0"/>
          <w:i w:val="0"/>
          <w:sz w:val="24"/>
        </w:rPr>
        <w:t>An evidentiary hearing was held on September 4, 2025. (R. at ROA, p. 5.) On September 22, 2025, the court ordered Father to undergo a psychological assessment at HealthWest. (R. at Order, 9/22/2025.) Father complied and obtained the assessment. The court received the second assessment on September 12, 2025. A further hearing was set for October 29, 2025. (R. at Tr., pp. 4-5.)</w:t>
      </w:r>
    </w:p>
    <w:p>
      <w:pPr>
        <w:spacing w:line="480" w:lineRule="auto" w:after="0" w:before="0"/>
      </w:pPr>
      <w:r>
        <w:rPr>
          <w:rFonts w:ascii="Times New Roman" w:hAnsi="Times New Roman"/>
          <w:b w:val="0"/>
          <w:i w:val="0"/>
          <w:sz w:val="24"/>
        </w:rPr>
        <w:t>At the October 29, 2025 hearing, Father objected to the court's review of the second HealthWest assessment. Despite Father's objections, the court referenced the assessment. The court was informed that Father had obtained the assessment and Father "subpoenaed the two HealthWest staff for the next hearing." (R. at Tr., pp. 5-6.)</w:t>
      </w:r>
    </w:p>
    <w:p>
      <w:pPr>
        <w:spacing w:line="480" w:lineRule="auto" w:after="0" w:before="0"/>
      </w:pPr>
      <w:r>
        <w:rPr>
          <w:rFonts w:ascii="Times New Roman" w:hAnsi="Times New Roman"/>
          <w:b w:val="0"/>
          <w:i w:val="0"/>
          <w:sz w:val="24"/>
        </w:rPr>
        <w:t>At the November 26, 2025 hearing, the two HealthWest workers testified. The record reflects that Father was about to provide testimony when the proceeding was interrupted. (R. at Tr., 11/26/2025.) The court noted the Father "has been repeatedly warned of this behavior over the course of the litigation" and stated that "despite numerous warnings, the Father continues to interrupt the proceedings, refusing to follow any type of" court protocol. (R. at Tr., 11/26/2025, pp. 6-7.)</w:t>
      </w:r>
    </w:p>
    <w:p>
      <w:pPr>
        <w:pStyle w:val="Heading3"/>
      </w:pPr>
      <w:r>
        <w:rPr>
          <w:rFonts w:ascii="Times New Roman" w:hAnsi="Times New Roman"/>
        </w:rPr>
        <w:t>K. The 329+ Day Separation</w:t>
      </w:r>
    </w:p>
    <w:p>
      <w:pPr>
        <w:spacing w:line="480" w:lineRule="auto" w:after="0" w:before="0"/>
      </w:pPr>
      <w:r>
        <w:rPr>
          <w:rFonts w:ascii="Times New Roman" w:hAnsi="Times New Roman"/>
          <w:b w:val="0"/>
          <w:i w:val="0"/>
          <w:sz w:val="24"/>
        </w:rPr>
        <w:t>Father's last parenting time with his son Lincoln was July 29, 2025. (R. at Docket Events, 7/29/2025.) As of the filing of this brief on April 15, 2026, Father and Lincoln have been separated for over 329 consecutive days. During this entire period, the trial court has not entered a finding that parenting time with Father would endanger Lincoln's physical, mental, or emotional health as required by MCL 722.27a(3). No supervised visitation has been offered as an alternative to complete suspension. The court's orders have functioned as a total bar to any contact between Father and child, violating the statutory presumption that it is in the best interests of a child to have a strong relationship with both parents. MCL 722.27a(1).</w:t>
      </w:r>
    </w:p>
    <w:p>
      <w:pPr>
        <w:pStyle w:val="Heading3"/>
      </w:pPr>
      <w:r>
        <w:rPr>
          <w:rFonts w:ascii="Times New Roman" w:hAnsi="Times New Roman"/>
        </w:rPr>
        <w:t>L. Pattern of Judicial Conduct</w:t>
      </w:r>
    </w:p>
    <w:p>
      <w:pPr>
        <w:spacing w:line="480" w:lineRule="auto" w:after="0" w:before="0"/>
      </w:pPr>
      <w:r>
        <w:rPr>
          <w:rFonts w:ascii="Times New Roman" w:hAnsi="Times New Roman"/>
          <w:b w:val="0"/>
          <w:i w:val="0"/>
          <w:sz w:val="24"/>
        </w:rPr>
        <w:t>Throughout the proceedings, the record reflects a pattern of disparate treatment by the trial court toward Appellant:</w:t>
      </w:r>
    </w:p>
    <w:p>
      <w:pPr>
        <w:spacing w:line="480" w:lineRule="auto" w:after="0" w:before="0"/>
      </w:pPr>
      <w:r>
        <w:rPr>
          <w:rFonts w:ascii="Times New Roman" w:hAnsi="Times New Roman"/>
          <w:b/>
          <w:sz w:val="24"/>
        </w:rPr>
        <w:t xml:space="preserve">1. </w:t>
      </w:r>
      <w:r>
        <w:rPr>
          <w:rFonts w:ascii="Times New Roman" w:hAnsi="Times New Roman"/>
          <w:b/>
          <w:i w:val="0"/>
          <w:sz w:val="24"/>
        </w:rPr>
        <w:t>Muting during hearings:</w:t>
      </w:r>
      <w:r>
        <w:rPr>
          <w:rFonts w:ascii="Times New Roman" w:hAnsi="Times New Roman"/>
          <w:b w:val="0"/>
          <w:i w:val="0"/>
          <w:sz w:val="24"/>
        </w:rPr>
        <w:t xml:space="preserve"> Father was muted, cut off, or told the judge would not review further filings at multiple hearings, "effectively closing the courtroom door to a self-represented litigant." (R. at Docket Events, Judicial Violations.)</w:t>
      </w:r>
    </w:p>
    <w:p>
      <w:pPr>
        <w:spacing w:line="480" w:lineRule="auto" w:after="0" w:before="0"/>
      </w:pPr>
      <w:r>
        <w:rPr>
          <w:rFonts w:ascii="Times New Roman" w:hAnsi="Times New Roman"/>
          <w:b/>
          <w:sz w:val="24"/>
        </w:rPr>
        <w:t xml:space="preserve">2. </w:t>
      </w:r>
      <w:r>
        <w:rPr>
          <w:rFonts w:ascii="Times New Roman" w:hAnsi="Times New Roman"/>
          <w:b/>
          <w:i w:val="0"/>
          <w:sz w:val="24"/>
        </w:rPr>
        <w:t>Ex parte evidence handling:</w:t>
      </w:r>
      <w:r>
        <w:rPr>
          <w:rFonts w:ascii="Times New Roman" w:hAnsi="Times New Roman"/>
          <w:b w:val="0"/>
          <w:i w:val="0"/>
          <w:sz w:val="24"/>
        </w:rPr>
        <w:t xml:space="preserve"> A USB recording and mental health evaluation were handled off the record and ex parte, "contrary to the prohibition on ex parte communications about pending matters." (R. at Contradiction Map.)</w:t>
      </w:r>
    </w:p>
    <w:p>
      <w:pPr>
        <w:spacing w:line="480" w:lineRule="auto" w:after="0" w:before="0"/>
      </w:pPr>
      <w:r>
        <w:rPr>
          <w:rFonts w:ascii="Times New Roman" w:hAnsi="Times New Roman"/>
          <w:b/>
          <w:sz w:val="24"/>
        </w:rPr>
        <w:t xml:space="preserve">3. </w:t>
      </w:r>
      <w:r>
        <w:rPr>
          <w:rFonts w:ascii="Times New Roman" w:hAnsi="Times New Roman"/>
          <w:b/>
          <w:i w:val="0"/>
          <w:sz w:val="24"/>
        </w:rPr>
        <w:t>Refusal to review exculpatory evidence:</w:t>
      </w:r>
      <w:r>
        <w:rPr>
          <w:rFonts w:ascii="Times New Roman" w:hAnsi="Times New Roman"/>
          <w:b w:val="0"/>
          <w:i w:val="0"/>
          <w:sz w:val="24"/>
        </w:rPr>
        <w:t xml:space="preserve"> Father attempted to present photographs from the July 29 parenting exchange that would have contradicted Mother's allegations, but the court refused to consider them. (R. at Contradiction Map.)</w:t>
      </w:r>
    </w:p>
    <w:p>
      <w:pPr>
        <w:spacing w:line="480" w:lineRule="auto" w:after="0" w:before="0"/>
      </w:pPr>
      <w:r>
        <w:rPr>
          <w:rFonts w:ascii="Times New Roman" w:hAnsi="Times New Roman"/>
          <w:b/>
          <w:sz w:val="24"/>
        </w:rPr>
        <w:t xml:space="preserve">4. </w:t>
      </w:r>
      <w:r>
        <w:rPr>
          <w:rFonts w:ascii="Times New Roman" w:hAnsi="Times New Roman"/>
          <w:b/>
          <w:i w:val="0"/>
          <w:sz w:val="24"/>
        </w:rPr>
        <w:t>Reliance on unsworn allegations:</w:t>
      </w:r>
      <w:r>
        <w:rPr>
          <w:rFonts w:ascii="Times New Roman" w:hAnsi="Times New Roman"/>
          <w:b w:val="0"/>
          <w:i w:val="0"/>
          <w:sz w:val="24"/>
        </w:rPr>
        <w:t xml:space="preserve"> The court's decision to suspend parenting time on August 8, 2025, "was based solely on allegations and unsworn evidence." (R. at Docket Events, 8/8/2025.)</w:t>
      </w:r>
    </w:p>
    <w:p>
      <w:pPr>
        <w:spacing w:line="480" w:lineRule="auto" w:after="0" w:before="0"/>
      </w:pPr>
      <w:r>
        <w:rPr>
          <w:rFonts w:ascii="Times New Roman" w:hAnsi="Times New Roman"/>
          <w:b/>
          <w:sz w:val="24"/>
        </w:rPr>
        <w:t xml:space="preserve">5. </w:t>
      </w:r>
      <w:r>
        <w:rPr>
          <w:rFonts w:ascii="Times New Roman" w:hAnsi="Times New Roman"/>
          <w:b/>
          <w:i w:val="0"/>
          <w:sz w:val="24"/>
        </w:rPr>
        <w:t>$250 filing bond:</w:t>
      </w:r>
      <w:r>
        <w:rPr>
          <w:rFonts w:ascii="Times New Roman" w:hAnsi="Times New Roman"/>
          <w:b w:val="0"/>
          <w:i w:val="0"/>
          <w:sz w:val="24"/>
        </w:rPr>
        <w:t xml:space="preserve"> The May 16, 2025 order imposed a $250 filing bond "in the custody case," creating a structural barrier to court access for a pro se litigant. (R. at Order, 5/16/2025.)</w:t>
      </w:r>
    </w:p>
    <w:p>
      <w:r>
        <w:br w:type="page"/>
      </w:r>
    </w:p>
    <w:p>
      <w:pPr>
        <w:pStyle w:val="Heading2"/>
      </w:pPr>
      <w:r>
        <w:rPr>
          <w:rFonts w:ascii="Times New Roman" w:hAnsi="Times New Roman"/>
        </w:rPr>
        <w:t>ARGUMENT</w:t>
      </w:r>
    </w:p>
    <w:p>
      <w:pPr>
        <w:pStyle w:val="Heading3"/>
      </w:pPr>
      <w:r>
        <w:rPr>
          <w:rFonts w:ascii="Times New Roman" w:hAnsi="Times New Roman"/>
        </w:rPr>
        <w:t>I. THE TRIAL COURT ABUSED ITS DISCRETION BY MODIFYING THE ESTABLISHED CUSTODIAL ENVIRONMENT WITHOUT CLEAR AND CONVINCING EVIDENCE</w:t>
      </w:r>
    </w:p>
    <w:p>
      <w:pPr>
        <w:keepNext/>
        <w:spacing w:line="480" w:lineRule="auto" w:after="0" w:before="0"/>
      </w:pPr>
      <w:r>
        <w:rPr>
          <w:rFonts w:ascii="Times New Roman" w:hAnsi="Times New Roman"/>
          <w:b/>
          <w:i w:val="0"/>
          <w:sz w:val="24"/>
        </w:rPr>
        <w:t>A. Standard of Review</w:t>
      </w:r>
    </w:p>
    <w:p>
      <w:pPr>
        <w:spacing w:line="480" w:lineRule="auto" w:after="0" w:before="0"/>
      </w:pPr>
      <w:r>
        <w:rPr>
          <w:rFonts w:ascii="Times New Roman" w:hAnsi="Times New Roman"/>
          <w:b w:val="0"/>
          <w:i w:val="0"/>
          <w:sz w:val="24"/>
        </w:rPr>
        <w:t xml:space="preserve">Custody decisions are reviewed for abuse of discretion. </w:t>
      </w:r>
      <w:r>
        <w:rPr>
          <w:rFonts w:ascii="Times New Roman" w:hAnsi="Times New Roman"/>
          <w:b w:val="0"/>
          <w:i/>
          <w:sz w:val="24"/>
        </w:rPr>
        <w:t>Vodvarka v Grasher</w:t>
      </w:r>
      <w:r>
        <w:rPr>
          <w:rFonts w:ascii="Times New Roman" w:hAnsi="Times New Roman"/>
          <w:b w:val="0"/>
          <w:i w:val="0"/>
          <w:sz w:val="24"/>
        </w:rPr>
        <w:t xml:space="preserve">, 259 Mich App 499, 508; 675 NW2d 847 (2003). An abuse of discretion occurs when the trial court's decision falls outside the range of principled outcomes. </w:t>
      </w:r>
      <w:r>
        <w:rPr>
          <w:rFonts w:ascii="Times New Roman" w:hAnsi="Times New Roman"/>
          <w:b w:val="0"/>
          <w:i/>
          <w:sz w:val="24"/>
        </w:rPr>
        <w:t>Id.</w:t>
      </w:r>
      <w:r>
        <w:rPr>
          <w:rFonts w:ascii="Times New Roman" w:hAnsi="Times New Roman"/>
          <w:b w:val="0"/>
          <w:i w:val="0"/>
          <w:sz w:val="24"/>
        </w:rPr>
        <w:t xml:space="preserve"> Findings of fact underlying a custody determination are reviewed for clear error, and questions of law are reviewed de novo. </w:t>
      </w:r>
      <w:r>
        <w:rPr>
          <w:rFonts w:ascii="Times New Roman" w:hAnsi="Times New Roman"/>
          <w:b w:val="0"/>
          <w:i/>
          <w:sz w:val="24"/>
        </w:rPr>
        <w:t>Pierron v Pierron</w:t>
      </w:r>
      <w:r>
        <w:rPr>
          <w:rFonts w:ascii="Times New Roman" w:hAnsi="Times New Roman"/>
          <w:b w:val="0"/>
          <w:i w:val="0"/>
          <w:sz w:val="24"/>
        </w:rPr>
        <w:t>, 486 Mich 81, 91; 782 NW2d 480 (2010).</w:t>
      </w:r>
    </w:p>
    <w:p>
      <w:pPr>
        <w:keepNext/>
        <w:spacing w:line="480" w:lineRule="auto" w:after="0" w:before="0"/>
      </w:pPr>
      <w:r>
        <w:rPr>
          <w:rFonts w:ascii="Times New Roman" w:hAnsi="Times New Roman"/>
          <w:b/>
          <w:i w:val="0"/>
          <w:sz w:val="24"/>
        </w:rPr>
        <w:t>B. Issue</w:t>
      </w:r>
    </w:p>
    <w:p>
      <w:pPr>
        <w:spacing w:line="480" w:lineRule="auto" w:after="0" w:before="0"/>
      </w:pPr>
      <w:r>
        <w:rPr>
          <w:rFonts w:ascii="Times New Roman" w:hAnsi="Times New Roman"/>
          <w:b w:val="0"/>
          <w:i w:val="0"/>
          <w:sz w:val="24"/>
        </w:rPr>
        <w:t>Whether the trial court abused its discretion by granting sole legal and sole physical custody to Mother in the August 23, 2024 Final Judgment without first determining whether an established custodial environment existed and without requiring clear and convincing evidence to support the modification.</w:t>
      </w:r>
    </w:p>
    <w:p>
      <w:pPr>
        <w:keepNext/>
        <w:spacing w:line="480" w:lineRule="auto" w:after="0" w:before="0"/>
      </w:pPr>
      <w:r>
        <w:rPr>
          <w:rFonts w:ascii="Times New Roman" w:hAnsi="Times New Roman"/>
          <w:b/>
          <w:i w:val="0"/>
          <w:sz w:val="24"/>
        </w:rPr>
        <w:t>C. Rule</w:t>
      </w:r>
    </w:p>
    <w:p>
      <w:pPr>
        <w:spacing w:line="480" w:lineRule="auto" w:after="0" w:before="0"/>
      </w:pPr>
      <w:r>
        <w:rPr>
          <w:rFonts w:ascii="Times New Roman" w:hAnsi="Times New Roman"/>
          <w:b w:val="0"/>
          <w:i w:val="0"/>
          <w:sz w:val="24"/>
        </w:rPr>
        <w:t xml:space="preserve">Under MCL 722.27(1)(c), a trial court may not modify an established custodial environment ("ECE") unless "there is presented clear and convincing evidence that it is in the best interest of the child." An ECE is established when "over an appreciable time the child naturally looks to the custodian in that environment for guidance, discipline, the necessities of life, and parental comfort." MCL 722.27(1)(c). The custodial environment of a child is established "if the child is content, comfortable, and secure in a given home." </w:t>
      </w:r>
      <w:r>
        <w:rPr>
          <w:rFonts w:ascii="Times New Roman" w:hAnsi="Times New Roman"/>
          <w:b w:val="0"/>
          <w:i/>
          <w:sz w:val="24"/>
        </w:rPr>
        <w:t>Foskett v Foskett</w:t>
      </w:r>
      <w:r>
        <w:rPr>
          <w:rFonts w:ascii="Times New Roman" w:hAnsi="Times New Roman"/>
          <w:b w:val="0"/>
          <w:i w:val="0"/>
          <w:sz w:val="24"/>
        </w:rPr>
        <w:t>, 247 Mich App 1, 8; 634 NW2d 363 (2001).</w:t>
      </w:r>
    </w:p>
    <w:p>
      <w:pPr>
        <w:spacing w:line="480" w:lineRule="auto" w:after="0" w:before="0"/>
      </w:pPr>
      <w:r>
        <w:rPr>
          <w:rFonts w:ascii="Times New Roman" w:hAnsi="Times New Roman"/>
          <w:b w:val="0"/>
          <w:i w:val="0"/>
          <w:sz w:val="24"/>
        </w:rPr>
        <w:t xml:space="preserve">The ECE determination is a "threshold issue" that must be resolved before the court applies the best interest factors. </w:t>
      </w:r>
      <w:r>
        <w:rPr>
          <w:rFonts w:ascii="Times New Roman" w:hAnsi="Times New Roman"/>
          <w:b w:val="0"/>
          <w:i/>
          <w:sz w:val="24"/>
        </w:rPr>
        <w:t>Pierron</w:t>
      </w:r>
      <w:r>
        <w:rPr>
          <w:rFonts w:ascii="Times New Roman" w:hAnsi="Times New Roman"/>
          <w:b w:val="0"/>
          <w:i w:val="0"/>
          <w:sz w:val="24"/>
        </w:rPr>
        <w:t>, 486 Mich at 92. If the proposed custody modification would change an ECE, the burden of proof is elevated from preponderance of the evidence to clear and convincing evidence. MCL 722.27(1)(c). Without this threshold determination, all subsequent custody findings are legally infirm.</w:t>
      </w:r>
    </w:p>
    <w:p>
      <w:pPr>
        <w:spacing w:line="480" w:lineRule="auto" w:after="0" w:before="0"/>
      </w:pPr>
      <w:r>
        <w:rPr>
          <w:rFonts w:ascii="Times New Roman" w:hAnsi="Times New Roman"/>
          <w:b w:val="0"/>
          <w:i w:val="0"/>
          <w:sz w:val="24"/>
        </w:rPr>
        <w:t xml:space="preserve">A court must evaluate whether an ECE exists in both parents' homes, as an ECE may exist with both parents simultaneously. </w:t>
      </w:r>
      <w:r>
        <w:rPr>
          <w:rFonts w:ascii="Times New Roman" w:hAnsi="Times New Roman"/>
          <w:b w:val="0"/>
          <w:i/>
          <w:sz w:val="24"/>
        </w:rPr>
        <w:t>Foskett</w:t>
      </w:r>
      <w:r>
        <w:rPr>
          <w:rFonts w:ascii="Times New Roman" w:hAnsi="Times New Roman"/>
          <w:b w:val="0"/>
          <w:i w:val="0"/>
          <w:sz w:val="24"/>
        </w:rPr>
        <w:t xml:space="preserve">, 247 Mich App at 8-9. When a child has an ECE with both parents and the court awards sole custody to one parent, that constitutes a modification of the ECE with the other parent, triggering the clear and convincing evidence standard. </w:t>
      </w:r>
      <w:r>
        <w:rPr>
          <w:rFonts w:ascii="Times New Roman" w:hAnsi="Times New Roman"/>
          <w:b w:val="0"/>
          <w:i/>
          <w:sz w:val="24"/>
        </w:rPr>
        <w:t>Vodvarka</w:t>
      </w:r>
      <w:r>
        <w:rPr>
          <w:rFonts w:ascii="Times New Roman" w:hAnsi="Times New Roman"/>
          <w:b w:val="0"/>
          <w:i w:val="0"/>
          <w:sz w:val="24"/>
        </w:rPr>
        <w:t>, 259 Mich App at 509-510.</w:t>
      </w:r>
    </w:p>
    <w:p>
      <w:pPr>
        <w:keepNext/>
        <w:spacing w:line="480" w:lineRule="auto" w:after="0" w:before="0"/>
      </w:pPr>
      <w:r>
        <w:rPr>
          <w:rFonts w:ascii="Times New Roman" w:hAnsi="Times New Roman"/>
          <w:b/>
          <w:i w:val="0"/>
          <w:sz w:val="24"/>
        </w:rPr>
        <w:t>D. Application</w:t>
      </w:r>
    </w:p>
    <w:p>
      <w:pPr>
        <w:spacing w:line="480" w:lineRule="auto" w:after="0" w:before="0"/>
      </w:pPr>
      <w:r>
        <w:rPr>
          <w:rFonts w:ascii="Times New Roman" w:hAnsi="Times New Roman"/>
          <w:b w:val="0"/>
          <w:i w:val="0"/>
          <w:sz w:val="24"/>
        </w:rPr>
        <w:t>Here, Lincoln had an established custodial environment with Father from birth (2022) through the commencement of litigation. Father was actively involved in Lincoln's day-to-day care, provided guidance, discipline, and parental comfort, and maintained a stable home environment where Lincoln was content and secure. (R. at Complaint; R. at Docket Events, passim.)</w:t>
      </w:r>
    </w:p>
    <w:p>
      <w:pPr>
        <w:spacing w:line="480" w:lineRule="auto" w:after="0" w:before="0"/>
      </w:pPr>
      <w:r>
        <w:rPr>
          <w:rFonts w:ascii="Times New Roman" w:hAnsi="Times New Roman"/>
          <w:b w:val="0"/>
          <w:i w:val="0"/>
          <w:sz w:val="24"/>
        </w:rPr>
        <w:t>The August 23, 2024 Final Judgment granted sole legal and sole physical custody to Mother, eliminating Father's custodial role entirely except for limited parenting time. (R. at Final Judgment, 8/23/2024.) This constituted a modification of the established custodial environment with Father, triggering the clear and convincing evidence standard under MCL 722.27(1)(c).</w:t>
      </w:r>
    </w:p>
    <w:p>
      <w:pPr>
        <w:spacing w:line="480" w:lineRule="auto" w:after="0" w:before="0"/>
      </w:pPr>
      <w:r>
        <w:rPr>
          <w:rFonts w:ascii="Times New Roman" w:hAnsi="Times New Roman"/>
          <w:b w:val="0"/>
          <w:i w:val="0"/>
          <w:sz w:val="24"/>
        </w:rPr>
        <w:t xml:space="preserve">The trial court's order does not contain a threshold determination of whether an ECE existed with either or both parents. The order does not state the applicable burden of proof. The order does not make a finding that clear and convincing evidence supported the modification. This is precisely the type of error identified in </w:t>
      </w:r>
      <w:r>
        <w:rPr>
          <w:rFonts w:ascii="Times New Roman" w:hAnsi="Times New Roman"/>
          <w:b w:val="0"/>
          <w:i/>
          <w:sz w:val="24"/>
        </w:rPr>
        <w:t>Pierron</w:t>
      </w:r>
      <w:r>
        <w:rPr>
          <w:rFonts w:ascii="Times New Roman" w:hAnsi="Times New Roman"/>
          <w:b w:val="0"/>
          <w:i w:val="0"/>
          <w:sz w:val="24"/>
        </w:rPr>
        <w:t>, where the Michigan Supreme Court held that "the trial court erred by failing to determine the appropriate evidentiary burden before undertaking the best interest analysis." 486 Mich at 93.</w:t>
      </w:r>
    </w:p>
    <w:p>
      <w:pPr>
        <w:spacing w:line="480" w:lineRule="auto" w:after="0" w:before="0"/>
      </w:pPr>
      <w:r>
        <w:rPr>
          <w:rFonts w:ascii="Times New Roman" w:hAnsi="Times New Roman"/>
          <w:b w:val="0"/>
          <w:i w:val="0"/>
          <w:sz w:val="24"/>
        </w:rPr>
        <w:t>Moreover, the record reflects that the Defendant "submitted an order under the 7 day rule, using parts of the rulings the Court made regarding the best interest factors." (R. at Order, 8/23/2024.) This suggests that even the written order entered was not the court's own product, but was drafted by the opposing party and adopted without independent judicial consideration of the ECE threshold.</w:t>
      </w:r>
    </w:p>
    <w:p>
      <w:pPr>
        <w:spacing w:line="480" w:lineRule="auto" w:after="0" w:before="0"/>
      </w:pPr>
      <w:r>
        <w:rPr>
          <w:rFonts w:ascii="Times New Roman" w:hAnsi="Times New Roman"/>
          <w:b w:val="0"/>
          <w:i w:val="0"/>
          <w:sz w:val="24"/>
        </w:rPr>
        <w:t xml:space="preserve">The trial court's failure to conduct the required </w:t>
      </w:r>
      <w:r>
        <w:rPr>
          <w:rFonts w:ascii="Times New Roman" w:hAnsi="Times New Roman"/>
          <w:b w:val="0"/>
          <w:i/>
          <w:sz w:val="24"/>
        </w:rPr>
        <w:t>Pierron</w:t>
      </w:r>
      <w:r>
        <w:rPr>
          <w:rFonts w:ascii="Times New Roman" w:hAnsi="Times New Roman"/>
          <w:b w:val="0"/>
          <w:i w:val="0"/>
          <w:sz w:val="24"/>
        </w:rPr>
        <w:t xml:space="preserve"> analysis and apply the correct evidentiary standard constitutes an abuse of discretion that requires reversal. </w:t>
      </w:r>
      <w:r>
        <w:rPr>
          <w:rFonts w:ascii="Times New Roman" w:hAnsi="Times New Roman"/>
          <w:b w:val="0"/>
          <w:i/>
          <w:sz w:val="24"/>
        </w:rPr>
        <w:t>Vodvarka</w:t>
      </w:r>
      <w:r>
        <w:rPr>
          <w:rFonts w:ascii="Times New Roman" w:hAnsi="Times New Roman"/>
          <w:b w:val="0"/>
          <w:i w:val="0"/>
          <w:sz w:val="24"/>
        </w:rPr>
        <w:t xml:space="preserve">, 259 Mich App at 510; </w:t>
      </w:r>
      <w:r>
        <w:rPr>
          <w:rFonts w:ascii="Times New Roman" w:hAnsi="Times New Roman"/>
          <w:b w:val="0"/>
          <w:i/>
          <w:sz w:val="24"/>
        </w:rPr>
        <w:t>Bowie v Arder</w:t>
      </w:r>
      <w:r>
        <w:rPr>
          <w:rFonts w:ascii="Times New Roman" w:hAnsi="Times New Roman"/>
          <w:b w:val="0"/>
          <w:i w:val="0"/>
          <w:sz w:val="24"/>
        </w:rPr>
        <w:t>, 441 Mich 23; 490 NW2d 568 (1992).</w:t>
      </w:r>
    </w:p>
    <w:p>
      <w:pPr>
        <w:keepNext/>
        <w:spacing w:line="480" w:lineRule="auto" w:after="0" w:before="0"/>
      </w:pPr>
      <w:r>
        <w:rPr>
          <w:rFonts w:ascii="Times New Roman" w:hAnsi="Times New Roman"/>
          <w:b/>
          <w:i w:val="0"/>
          <w:sz w:val="24"/>
        </w:rPr>
        <w:t>E. Conclusion</w:t>
      </w:r>
    </w:p>
    <w:p>
      <w:pPr>
        <w:spacing w:line="480" w:lineRule="auto" w:after="0" w:before="0"/>
      </w:pPr>
      <w:r>
        <w:rPr>
          <w:rFonts w:ascii="Times New Roman" w:hAnsi="Times New Roman"/>
          <w:b w:val="0"/>
          <w:i w:val="0"/>
          <w:sz w:val="24"/>
        </w:rPr>
        <w:t>The trial court abused its discretion by granting sole custody to Mother without first determining whether an established custodial environment existed and without applying the heightened clear and convincing evidence standard required by MCL 722.27(1)(c). The custody order must be vacated and the matter remanded for proceedings applying the correct legal framework.</w:t>
      </w:r>
    </w:p>
    <w:p>
      <w:r>
        <w:br w:type="page"/>
      </w:r>
    </w:p>
    <w:p>
      <w:pPr>
        <w:pStyle w:val="Heading3"/>
      </w:pPr>
      <w:r>
        <w:rPr>
          <w:rFonts w:ascii="Times New Roman" w:hAnsi="Times New Roman"/>
        </w:rPr>
        <w:t>II. THE TRIAL COURT VIOLATED APPELLANT'S PROCEDURAL DUE PROCESS RIGHTS BY ENTERING EX PARTE ORDERS WITHOUT NOTICE OR HEARING</w:t>
      </w:r>
    </w:p>
    <w:p>
      <w:pPr>
        <w:keepNext/>
        <w:spacing w:line="480" w:lineRule="auto" w:after="0" w:before="0"/>
      </w:pPr>
      <w:r>
        <w:rPr>
          <w:rFonts w:ascii="Times New Roman" w:hAnsi="Times New Roman"/>
          <w:b/>
          <w:i w:val="0"/>
          <w:sz w:val="24"/>
        </w:rPr>
        <w:t>A. Standard of Review</w:t>
      </w:r>
    </w:p>
    <w:p>
      <w:pPr>
        <w:spacing w:line="480" w:lineRule="auto" w:after="0" w:before="0"/>
      </w:pPr>
      <w:r>
        <w:rPr>
          <w:rFonts w:ascii="Times New Roman" w:hAnsi="Times New Roman"/>
          <w:b w:val="0"/>
          <w:i w:val="0"/>
          <w:sz w:val="24"/>
        </w:rPr>
        <w:t xml:space="preserve">Constitutional questions, including due process claims, are reviewed de novo. </w:t>
      </w:r>
      <w:r>
        <w:rPr>
          <w:rFonts w:ascii="Times New Roman" w:hAnsi="Times New Roman"/>
          <w:b w:val="0"/>
          <w:i/>
          <w:sz w:val="24"/>
        </w:rPr>
        <w:t>Harvey v Harvey</w:t>
      </w:r>
      <w:r>
        <w:rPr>
          <w:rFonts w:ascii="Times New Roman" w:hAnsi="Times New Roman"/>
          <w:b w:val="0"/>
          <w:i w:val="0"/>
          <w:sz w:val="24"/>
        </w:rPr>
        <w:t>, 470 Mich 186, 191; 680 NW2d 835 (2004).</w:t>
      </w:r>
    </w:p>
    <w:p>
      <w:pPr>
        <w:keepNext/>
        <w:spacing w:line="480" w:lineRule="auto" w:after="0" w:before="0"/>
      </w:pPr>
      <w:r>
        <w:rPr>
          <w:rFonts w:ascii="Times New Roman" w:hAnsi="Times New Roman"/>
          <w:b/>
          <w:i w:val="0"/>
          <w:sz w:val="24"/>
        </w:rPr>
        <w:t>B. Issue</w:t>
      </w:r>
    </w:p>
    <w:p>
      <w:pPr>
        <w:spacing w:line="480" w:lineRule="auto" w:after="0" w:before="0"/>
      </w:pPr>
      <w:r>
        <w:rPr>
          <w:rFonts w:ascii="Times New Roman" w:hAnsi="Times New Roman"/>
          <w:b w:val="0"/>
          <w:i w:val="0"/>
          <w:sz w:val="24"/>
        </w:rPr>
        <w:t>Whether the trial court's entry of the August 8, 2025 ex parte order suspending all parenting time, without prior notice to Father or an opportunity to be heard, violated the Due Process Clauses of the Fourteenth Amendment and Mich Const 1963, Art 1, Sec 13.</w:t>
      </w:r>
    </w:p>
    <w:p>
      <w:pPr>
        <w:keepNext/>
        <w:spacing w:line="480" w:lineRule="auto" w:after="0" w:before="0"/>
      </w:pPr>
      <w:r>
        <w:rPr>
          <w:rFonts w:ascii="Times New Roman" w:hAnsi="Times New Roman"/>
          <w:b/>
          <w:i w:val="0"/>
          <w:sz w:val="24"/>
        </w:rPr>
        <w:t>C. Rule</w:t>
      </w:r>
    </w:p>
    <w:p>
      <w:pPr>
        <w:spacing w:line="480" w:lineRule="auto" w:after="0" w:before="0"/>
      </w:pPr>
      <w:r>
        <w:rPr>
          <w:rFonts w:ascii="Times New Roman" w:hAnsi="Times New Roman"/>
          <w:b w:val="0"/>
          <w:i w:val="0"/>
          <w:sz w:val="24"/>
        </w:rPr>
        <w:t>The Due Process Clause of the Fourteenth Amendment to the United States Constitution provides that no State shall "deprive any person of life, liberty, or property, without due process of law." US Const Amend XIV, Sec 1. The Michigan Constitution similarly provides: "No person shall be . . . deprived of life, liberty or property, without due process of law." Mich Const 1963, Art 1, Sec 17.</w:t>
      </w:r>
    </w:p>
    <w:p>
      <w:pPr>
        <w:spacing w:line="480" w:lineRule="auto" w:after="0" w:before="0"/>
      </w:pPr>
      <w:r>
        <w:rPr>
          <w:rFonts w:ascii="Times New Roman" w:hAnsi="Times New Roman"/>
          <w:b w:val="0"/>
          <w:i w:val="0"/>
          <w:sz w:val="24"/>
        </w:rPr>
        <w:t xml:space="preserve">A parent's right to the care, custody, and management of his or her children is a fundamental liberty interest protected by the Due Process Clause. </w:t>
      </w:r>
      <w:r>
        <w:rPr>
          <w:rFonts w:ascii="Times New Roman" w:hAnsi="Times New Roman"/>
          <w:b w:val="0"/>
          <w:i/>
          <w:sz w:val="24"/>
        </w:rPr>
        <w:t>Troxel v Granville</w:t>
      </w:r>
      <w:r>
        <w:rPr>
          <w:rFonts w:ascii="Times New Roman" w:hAnsi="Times New Roman"/>
          <w:b w:val="0"/>
          <w:i w:val="0"/>
          <w:sz w:val="24"/>
        </w:rPr>
        <w:t>, 530 US 57, 65; 120 S Ct 2054; 147 L Ed 2d 49 (2000). Because parental rights are fundamental, government interference with those rights must satisfy heightened procedural protections.</w:t>
      </w:r>
    </w:p>
    <w:p>
      <w:pPr>
        <w:spacing w:line="480" w:lineRule="auto" w:after="0" w:before="0"/>
      </w:pPr>
      <w:r>
        <w:rPr>
          <w:rFonts w:ascii="Times New Roman" w:hAnsi="Times New Roman"/>
          <w:b w:val="0"/>
          <w:i w:val="0"/>
          <w:sz w:val="24"/>
        </w:rPr>
        <w:t>MCR 3.207(B) governs ex parte orders in domestic relations cases and imposes specific requirements: an ex parte order may be entered only upon a showing of "specific facts shown by a verified statement or affidavit" demonstrating that "immediate and irreparable injury, loss, or damage will result from the delay required to effect notice" or that "notice itself will precipitate adverse action before an order can be issued." MCR 3.207(B)(1)-(5). The rule further requires that any ex parte order must schedule a hearing within 14 days and that the affected party be served immediately. MCR 3.207(B)(4).</w:t>
      </w:r>
    </w:p>
    <w:p>
      <w:pPr>
        <w:keepNext/>
        <w:spacing w:line="480" w:lineRule="auto" w:after="0" w:before="0"/>
      </w:pPr>
      <w:r>
        <w:rPr>
          <w:rFonts w:ascii="Times New Roman" w:hAnsi="Times New Roman"/>
          <w:b/>
          <w:i w:val="0"/>
          <w:sz w:val="24"/>
        </w:rPr>
        <w:t>D. Application</w:t>
      </w:r>
    </w:p>
    <w:p>
      <w:pPr>
        <w:spacing w:line="480" w:lineRule="auto" w:after="0" w:before="0"/>
      </w:pPr>
      <w:r>
        <w:rPr>
          <w:rFonts w:ascii="Times New Roman" w:hAnsi="Times New Roman"/>
          <w:b w:val="0"/>
          <w:i w:val="0"/>
          <w:sz w:val="24"/>
        </w:rPr>
        <w:t>On August 8, 2025, the trial court entered an ex parte order suspending all of Father's parenting time based solely on Mother's unverified allegations. (R. at Ex Parte Order, 8/8/2025.) The order completely eliminated Father's contact with his three-year-old son. This action was taken without any of the procedural safeguards required by MCR 3.207(B):</w:t>
      </w:r>
    </w:p>
    <w:p>
      <w:pPr>
        <w:spacing w:line="480" w:lineRule="auto" w:after="0" w:before="0"/>
      </w:pPr>
      <w:r>
        <w:rPr>
          <w:rFonts w:ascii="Times New Roman" w:hAnsi="Times New Roman"/>
          <w:b/>
          <w:i w:val="0"/>
          <w:sz w:val="24"/>
        </w:rPr>
        <w:t>1. No notice.</w:t>
      </w:r>
      <w:r>
        <w:rPr>
          <w:rFonts w:ascii="Times New Roman" w:hAnsi="Times New Roman"/>
          <w:b w:val="0"/>
          <w:i w:val="0"/>
          <w:sz w:val="24"/>
        </w:rPr>
        <w:t xml:space="preserve"> Father was not notified of Mother's ex parte motion before the order was entered. Father arrived for his regularly scheduled parenting exchange only to discover that his time had been suspended. (R. at Docket Events, 8/8/2025.) MCR 3.207(B) requires that if notice is dispensed with, the court must make specific findings as to why notice itself would "precipitate adverse action." No such finding appears in the record.</w:t>
      </w:r>
    </w:p>
    <w:p>
      <w:pPr>
        <w:spacing w:line="480" w:lineRule="auto" w:after="0" w:before="0"/>
      </w:pPr>
      <w:r>
        <w:rPr>
          <w:rFonts w:ascii="Times New Roman" w:hAnsi="Times New Roman"/>
          <w:b/>
          <w:i w:val="0"/>
          <w:sz w:val="24"/>
        </w:rPr>
        <w:t>2. No verified factual basis.</w:t>
      </w:r>
      <w:r>
        <w:rPr>
          <w:rFonts w:ascii="Times New Roman" w:hAnsi="Times New Roman"/>
          <w:b w:val="0"/>
          <w:i w:val="0"/>
          <w:sz w:val="24"/>
        </w:rPr>
        <w:t xml:space="preserve"> The ex parte motion did not contain the "specific facts shown by a verified statement or affidavit" required by MCR 3.207(B)(1). The motion "did not set out specific, immediate, irreparable harm as required for ex parte relief." (R. at Ex Parte Motion, 8/8/2025.) The court relied on unsworn allegations to deprive a parent of all contact with his child.</w:t>
      </w:r>
    </w:p>
    <w:p>
      <w:pPr>
        <w:spacing w:line="480" w:lineRule="auto" w:after="0" w:before="0"/>
      </w:pPr>
      <w:r>
        <w:rPr>
          <w:rFonts w:ascii="Times New Roman" w:hAnsi="Times New Roman"/>
          <w:b/>
          <w:i w:val="0"/>
          <w:sz w:val="24"/>
        </w:rPr>
        <w:t>3. No immediate and irreparable injury finding.</w:t>
      </w:r>
      <w:r>
        <w:rPr>
          <w:rFonts w:ascii="Times New Roman" w:hAnsi="Times New Roman"/>
          <w:b w:val="0"/>
          <w:i w:val="0"/>
          <w:sz w:val="24"/>
        </w:rPr>
        <w:t xml:space="preserve"> The court did not make the required finding that "immediate and irreparable injury, loss, or damage will result from the delay required to effect notice." MCR 3.207(B)(1). The ex parte motion "fails to allege that delaying for notice to Father would cause immediate and irreparable injury." (R. at Ex Parte Motion Analysis.)</w:t>
      </w:r>
    </w:p>
    <w:p>
      <w:pPr>
        <w:spacing w:line="480" w:lineRule="auto" w:after="0" w:before="0"/>
      </w:pPr>
      <w:r>
        <w:rPr>
          <w:rFonts w:ascii="Times New Roman" w:hAnsi="Times New Roman"/>
          <w:b/>
          <w:i w:val="0"/>
          <w:sz w:val="24"/>
        </w:rPr>
        <w:t>4. Indefinite suspension without timely hearing.</w:t>
      </w:r>
      <w:r>
        <w:rPr>
          <w:rFonts w:ascii="Times New Roman" w:hAnsi="Times New Roman"/>
          <w:b w:val="0"/>
          <w:i w:val="0"/>
          <w:sz w:val="24"/>
        </w:rPr>
        <w:t xml:space="preserve"> While MCR 3.207(B)(4) requires a hearing within 14 days of entry of an ex parte order, the record reflects that the suspension persisted for months before substantive hearings occurred. The evidentiary hearing was not held until September 4, 2025, nearly a month after the ex parte order. Even after hearings on September 4, October 29, and November 26, 2025, the suspension was never lifted. (R. at ROA, pp. 5-6.)</w:t>
      </w:r>
    </w:p>
    <w:p>
      <w:pPr>
        <w:spacing w:line="480" w:lineRule="auto" w:after="0" w:before="0"/>
      </w:pPr>
      <w:r>
        <w:rPr>
          <w:rFonts w:ascii="Times New Roman" w:hAnsi="Times New Roman"/>
          <w:b/>
          <w:i w:val="0"/>
          <w:sz w:val="24"/>
        </w:rPr>
        <w:t>5. Pattern of ex parte handling.</w:t>
      </w:r>
      <w:r>
        <w:rPr>
          <w:rFonts w:ascii="Times New Roman" w:hAnsi="Times New Roman"/>
          <w:b w:val="0"/>
          <w:i w:val="0"/>
          <w:sz w:val="24"/>
        </w:rPr>
        <w:t xml:space="preserve"> This was not an isolated incident. The record reflects that the April 11, 2024 PPO was amended ex parte, the April 29, 2024 custody order was entered ex parte, and the July 1, 2024 emergency order granting sole custody was entered ex parte. (R. at ROA, pp. 2-4.) Evidence, including a USB recording and mental health evaluation, was handled "off the record and ex parte, contrary to the prohibition on ex parte communications about pending matters." (R. at Contradiction Map.)</w:t>
      </w:r>
    </w:p>
    <w:p>
      <w:pPr>
        <w:spacing w:line="480" w:lineRule="auto" w:after="0" w:before="0"/>
      </w:pPr>
      <w:r>
        <w:rPr>
          <w:rFonts w:ascii="Times New Roman" w:hAnsi="Times New Roman"/>
          <w:b w:val="0"/>
          <w:i w:val="0"/>
          <w:sz w:val="24"/>
        </w:rPr>
        <w:t xml:space="preserve">The combination of (a) ex parte submissions, (b) refusal to review Father's exculpatory photographs, (c) willingness to accept Mother's unsworn allegations, and (d) repeated denial of Father's right to be heard, constitutes a systematic deprivation of procedural due process. The United States Supreme Court has long held that "the right to be heard before being condemned to suffer grievous loss of any kind, even though it may not involve the stigma and hardships of a criminal conviction, is a principle basic to our society." </w:t>
      </w:r>
      <w:r>
        <w:rPr>
          <w:rFonts w:ascii="Times New Roman" w:hAnsi="Times New Roman"/>
          <w:b w:val="0"/>
          <w:i/>
          <w:sz w:val="24"/>
        </w:rPr>
        <w:t>Goldberg v Kelly</w:t>
      </w:r>
      <w:r>
        <w:rPr>
          <w:rFonts w:ascii="Times New Roman" w:hAnsi="Times New Roman"/>
          <w:b w:val="0"/>
          <w:i w:val="0"/>
          <w:sz w:val="24"/>
        </w:rPr>
        <w:t>, 397 US 254, 263 (1970).</w:t>
      </w:r>
    </w:p>
    <w:p>
      <w:pPr>
        <w:keepNext/>
        <w:spacing w:line="480" w:lineRule="auto" w:after="0" w:before="0"/>
      </w:pPr>
      <w:r>
        <w:rPr>
          <w:rFonts w:ascii="Times New Roman" w:hAnsi="Times New Roman"/>
          <w:b/>
          <w:i w:val="0"/>
          <w:sz w:val="24"/>
        </w:rPr>
        <w:t>E. Conclusion</w:t>
      </w:r>
    </w:p>
    <w:p>
      <w:pPr>
        <w:spacing w:line="480" w:lineRule="auto" w:after="0" w:before="0"/>
      </w:pPr>
      <w:r>
        <w:rPr>
          <w:rFonts w:ascii="Times New Roman" w:hAnsi="Times New Roman"/>
          <w:b w:val="0"/>
          <w:i w:val="0"/>
          <w:sz w:val="24"/>
        </w:rPr>
        <w:t>The trial court violated Appellant's due process rights by entering the August 8, 2025 ex parte order without notice, without a verified factual basis, without a finding of immediate and irreparable harm, and without a timely hearing. The ex parte order and all subsequent orders continuing the suspension must be vacated. This Court should order immediate restoration of parenting time pending proper proceedings on remand.</w:t>
      </w:r>
    </w:p>
    <w:p>
      <w:r>
        <w:br w:type="page"/>
      </w:r>
    </w:p>
    <w:p>
      <w:pPr>
        <w:pStyle w:val="Heading3"/>
      </w:pPr>
      <w:r>
        <w:rPr>
          <w:rFonts w:ascii="Times New Roman" w:hAnsi="Times New Roman"/>
        </w:rPr>
        <w:t>III. THE TRIAL COURT ERRED BY FAILING TO MAKE REQUIRED FINDINGS OF FACT ON THE MCL 722.23 BEST INTEREST FACTORS</w:t>
      </w:r>
    </w:p>
    <w:p>
      <w:pPr>
        <w:keepNext/>
        <w:spacing w:line="480" w:lineRule="auto" w:after="0" w:before="0"/>
      </w:pPr>
      <w:r>
        <w:rPr>
          <w:rFonts w:ascii="Times New Roman" w:hAnsi="Times New Roman"/>
          <w:b/>
          <w:i w:val="0"/>
          <w:sz w:val="24"/>
        </w:rPr>
        <w:t>A. Standard of Review</w:t>
      </w:r>
    </w:p>
    <w:p>
      <w:pPr>
        <w:spacing w:line="480" w:lineRule="auto" w:after="0" w:before="0"/>
      </w:pPr>
      <w:r>
        <w:rPr>
          <w:rFonts w:ascii="Times New Roman" w:hAnsi="Times New Roman"/>
          <w:b w:val="0"/>
          <w:i w:val="0"/>
          <w:sz w:val="24"/>
        </w:rPr>
        <w:t xml:space="preserve">Findings of fact in custody cases are reviewed for clear error. MCR 2.517(A)(1). The absence of required findings constitutes clear error per se. </w:t>
      </w:r>
      <w:r>
        <w:rPr>
          <w:rFonts w:ascii="Times New Roman" w:hAnsi="Times New Roman"/>
          <w:b w:val="0"/>
          <w:i/>
          <w:sz w:val="24"/>
        </w:rPr>
        <w:t>Pierron v Pierron</w:t>
      </w:r>
      <w:r>
        <w:rPr>
          <w:rFonts w:ascii="Times New Roman" w:hAnsi="Times New Roman"/>
          <w:b w:val="0"/>
          <w:i w:val="0"/>
          <w:sz w:val="24"/>
        </w:rPr>
        <w:t xml:space="preserve">, 486 Mich 81, 92; 782 NW2d 480 (2010). Whether the trial court applied the correct legal standard is reviewed de novo. </w:t>
      </w:r>
      <w:r>
        <w:rPr>
          <w:rFonts w:ascii="Times New Roman" w:hAnsi="Times New Roman"/>
          <w:b w:val="0"/>
          <w:i/>
          <w:sz w:val="24"/>
        </w:rPr>
        <w:t>Harvey v Harvey</w:t>
      </w:r>
      <w:r>
        <w:rPr>
          <w:rFonts w:ascii="Times New Roman" w:hAnsi="Times New Roman"/>
          <w:b w:val="0"/>
          <w:i w:val="0"/>
          <w:sz w:val="24"/>
        </w:rPr>
        <w:t>, 470 Mich 186, 191; 680 NW2d 835 (2004).</w:t>
      </w:r>
    </w:p>
    <w:p>
      <w:pPr>
        <w:keepNext/>
        <w:spacing w:line="480" w:lineRule="auto" w:after="0" w:before="0"/>
      </w:pPr>
      <w:r>
        <w:rPr>
          <w:rFonts w:ascii="Times New Roman" w:hAnsi="Times New Roman"/>
          <w:b/>
          <w:i w:val="0"/>
          <w:sz w:val="24"/>
        </w:rPr>
        <w:t>B. Issue</w:t>
      </w:r>
    </w:p>
    <w:p>
      <w:pPr>
        <w:spacing w:line="480" w:lineRule="auto" w:after="0" w:before="0"/>
      </w:pPr>
      <w:r>
        <w:rPr>
          <w:rFonts w:ascii="Times New Roman" w:hAnsi="Times New Roman"/>
          <w:b w:val="0"/>
          <w:i w:val="0"/>
          <w:sz w:val="24"/>
        </w:rPr>
        <w:t>Whether the trial court committed reversible error by entering the August 23, 2024 Final Judgment and subsequent orders without making specific written findings on each of the twelve statutory best interest factors under MCL 722.23(a)-(l).</w:t>
      </w:r>
    </w:p>
    <w:p>
      <w:pPr>
        <w:keepNext/>
        <w:spacing w:line="480" w:lineRule="auto" w:after="0" w:before="0"/>
      </w:pPr>
      <w:r>
        <w:rPr>
          <w:rFonts w:ascii="Times New Roman" w:hAnsi="Times New Roman"/>
          <w:b/>
          <w:i w:val="0"/>
          <w:sz w:val="24"/>
        </w:rPr>
        <w:t>C. Rule</w:t>
      </w:r>
    </w:p>
    <w:p>
      <w:pPr>
        <w:spacing w:line="480" w:lineRule="auto" w:after="0" w:before="0"/>
      </w:pPr>
      <w:r>
        <w:rPr>
          <w:rFonts w:ascii="Times New Roman" w:hAnsi="Times New Roman"/>
          <w:b w:val="0"/>
          <w:i w:val="0"/>
          <w:sz w:val="24"/>
        </w:rPr>
        <w:t>MCL 722.23 requires the court to "consider, evaluate, and determine" the following twelve factors in all custody proceedings: (a) the love, affection, and emotional ties between the parties and the child; (b) capacity to give love, affection, and guidance; (c) capacity to provide food, clothing, and medical care; (d) length of time in a stable, satisfactory environment; (e) permanence as a family unit; (f) moral fitness; (g) mental and physical health; (h) home, school, and community record; (i) reasonable preference of the child; (j) willingness to facilitate a close and continuing parent-child relationship with the other parent; (k) domestic violence; and (l) any other relevant factor.</w:t>
      </w:r>
    </w:p>
    <w:p>
      <w:pPr>
        <w:spacing w:line="480" w:lineRule="auto" w:after="0" w:before="0"/>
      </w:pPr>
      <w:r>
        <w:rPr>
          <w:rFonts w:ascii="Times New Roman" w:hAnsi="Times New Roman"/>
          <w:b w:val="0"/>
          <w:i w:val="0"/>
          <w:sz w:val="24"/>
        </w:rPr>
        <w:t xml:space="preserve">MCR 2.517(A)(1) mandates: "In actions tried on the facts without a jury or with an advisory jury, the court shall find the facts specially, state separately its conclusions of law, and direct entry of the appropriate judgment." In custody cases, this requirement is particularly stringent. The trial court must make "specific findings on each of the statutory best interest factors." </w:t>
      </w:r>
      <w:r>
        <w:rPr>
          <w:rFonts w:ascii="Times New Roman" w:hAnsi="Times New Roman"/>
          <w:b w:val="0"/>
          <w:i/>
          <w:sz w:val="24"/>
        </w:rPr>
        <w:t>Pierron</w:t>
      </w:r>
      <w:r>
        <w:rPr>
          <w:rFonts w:ascii="Times New Roman" w:hAnsi="Times New Roman"/>
          <w:b w:val="0"/>
          <w:i w:val="0"/>
          <w:sz w:val="24"/>
        </w:rPr>
        <w:t xml:space="preserve">, 486 Mich at 92. The Michigan Supreme Court has held that a "custody order that lacks specific factual findings on the statutory best interest factors is necessarily based on clear error." </w:t>
      </w:r>
      <w:r>
        <w:rPr>
          <w:rFonts w:ascii="Times New Roman" w:hAnsi="Times New Roman"/>
          <w:b w:val="0"/>
          <w:i/>
          <w:sz w:val="24"/>
        </w:rPr>
        <w:t>Id.</w:t>
      </w:r>
      <w:r>
        <w:rPr>
          <w:rFonts w:ascii="Times New Roman" w:hAnsi="Times New Roman"/>
          <w:b w:val="0"/>
          <w:i w:val="0"/>
          <w:sz w:val="24"/>
        </w:rPr>
        <w:t xml:space="preserve"> at 93.</w:t>
      </w:r>
    </w:p>
    <w:p>
      <w:pPr>
        <w:spacing w:line="480" w:lineRule="auto" w:after="0" w:before="0"/>
      </w:pPr>
      <w:r>
        <w:rPr>
          <w:rFonts w:ascii="Times New Roman" w:hAnsi="Times New Roman"/>
          <w:b w:val="0"/>
          <w:i/>
          <w:sz w:val="24"/>
        </w:rPr>
        <w:t>Kubicki v Sharpe</w:t>
      </w:r>
      <w:r>
        <w:rPr>
          <w:rFonts w:ascii="Times New Roman" w:hAnsi="Times New Roman"/>
          <w:b w:val="0"/>
          <w:i w:val="0"/>
          <w:sz w:val="24"/>
        </w:rPr>
        <w:t xml:space="preserve">, 306 Mich App 525, 540; 858 NW2d 57 (2014), reaffirmed that "findings of fact must be made on each of the best interest factors" and that "[f]ailure to do so constitutes clear error." </w:t>
      </w:r>
      <w:r>
        <w:rPr>
          <w:rFonts w:ascii="Times New Roman" w:hAnsi="Times New Roman"/>
          <w:b w:val="0"/>
          <w:i/>
          <w:sz w:val="24"/>
        </w:rPr>
        <w:t>Sparks v Sparks</w:t>
      </w:r>
      <w:r>
        <w:rPr>
          <w:rFonts w:ascii="Times New Roman" w:hAnsi="Times New Roman"/>
          <w:b w:val="0"/>
          <w:i w:val="0"/>
          <w:sz w:val="24"/>
        </w:rPr>
        <w:t>, 440 Mich 141, 159; 485 NW2d 893 (1992), established that each factor must be addressed on the record.</w:t>
      </w:r>
    </w:p>
    <w:p>
      <w:pPr>
        <w:keepNext/>
        <w:spacing w:line="480" w:lineRule="auto" w:after="0" w:before="0"/>
      </w:pPr>
      <w:r>
        <w:rPr>
          <w:rFonts w:ascii="Times New Roman" w:hAnsi="Times New Roman"/>
          <w:b/>
          <w:i w:val="0"/>
          <w:sz w:val="24"/>
        </w:rPr>
        <w:t>D. Application</w:t>
      </w:r>
    </w:p>
    <w:p>
      <w:pPr>
        <w:spacing w:line="480" w:lineRule="auto" w:after="0" w:before="0"/>
      </w:pPr>
      <w:r>
        <w:rPr>
          <w:rFonts w:ascii="Times New Roman" w:hAnsi="Times New Roman"/>
          <w:b w:val="0"/>
          <w:i w:val="0"/>
          <w:sz w:val="24"/>
        </w:rPr>
        <w:t>The August 23, 2024 Final Judgment does not contain specific written findings on each of the twelve MCL 722.23 factors. The record reflects that the court "rendered an oral opinion" and that the written order was submitted by Defendant's counsel "under the 7 day rule, using parts of the rulings the Court made regarding the best interest factors." (R. at Order, 8/23/2024, p. 2.)</w:t>
      </w:r>
    </w:p>
    <w:p>
      <w:pPr>
        <w:spacing w:line="480" w:lineRule="auto" w:after="0" w:before="0"/>
      </w:pPr>
      <w:r>
        <w:rPr>
          <w:rFonts w:ascii="Times New Roman" w:hAnsi="Times New Roman"/>
          <w:b w:val="0"/>
          <w:i w:val="0"/>
          <w:sz w:val="24"/>
        </w:rPr>
        <w:t>This admission demonstrates that the court's oral findings were selectively incorporated into a written order drafted by one party, rather than the court issuing its own comprehensive written findings. When Father objected, the court found Father "failed to follow the Court rules, in stating with specificity what parts of the order he objected to." (R. at Order, 8/23/2024.) This procedural ruling does not cure the underlying deficiency of the court's failure to make independent findings.</w:t>
      </w:r>
    </w:p>
    <w:p>
      <w:pPr>
        <w:spacing w:line="480" w:lineRule="auto" w:after="0" w:before="0"/>
      </w:pPr>
      <w:r>
        <w:rPr>
          <w:rFonts w:ascii="Times New Roman" w:hAnsi="Times New Roman"/>
          <w:b w:val="0"/>
          <w:i w:val="0"/>
          <w:sz w:val="24"/>
        </w:rPr>
        <w:t>The following specific deficiencies are evident in the record:</w:t>
      </w:r>
    </w:p>
    <w:p>
      <w:pPr>
        <w:spacing w:line="480" w:lineRule="auto" w:after="0" w:before="0"/>
      </w:pPr>
      <w:r>
        <w:rPr>
          <w:rFonts w:ascii="Times New Roman" w:hAnsi="Times New Roman"/>
          <w:b/>
          <w:i w:val="0"/>
          <w:sz w:val="24"/>
        </w:rPr>
        <w:t>Factor (a) - Love, affection, emotional ties:</w:t>
      </w:r>
      <w:r>
        <w:rPr>
          <w:rFonts w:ascii="Times New Roman" w:hAnsi="Times New Roman"/>
          <w:b w:val="0"/>
          <w:i w:val="0"/>
          <w:sz w:val="24"/>
        </w:rPr>
        <w:t xml:space="preserve"> The record contains extensive evidence of Father's bond with Lincoln, including Lincoln clinging to Father during exchanges (R. at 10/20/2024 events) and referring to Father with terms of endearment. The court's order does not contain a specific finding on this factor addressing Father's relationship with the child.</w:t>
      </w:r>
    </w:p>
    <w:p>
      <w:pPr>
        <w:spacing w:line="480" w:lineRule="auto" w:after="0" w:before="0"/>
      </w:pPr>
      <w:r>
        <w:rPr>
          <w:rFonts w:ascii="Times New Roman" w:hAnsi="Times New Roman"/>
          <w:b/>
          <w:i w:val="0"/>
          <w:sz w:val="24"/>
        </w:rPr>
        <w:t>Factor (c) - Capacity to provide:</w:t>
      </w:r>
      <w:r>
        <w:rPr>
          <w:rFonts w:ascii="Times New Roman" w:hAnsi="Times New Roman"/>
          <w:b w:val="0"/>
          <w:i w:val="0"/>
          <w:sz w:val="24"/>
        </w:rPr>
        <w:t xml:space="preserve"> The record reflects Father maintained employment and stable housing. The court made no specific finding regarding Father's capacity to provide for Lincoln's basic needs.</w:t>
      </w:r>
    </w:p>
    <w:p>
      <w:pPr>
        <w:spacing w:line="480" w:lineRule="auto" w:after="0" w:before="0"/>
      </w:pPr>
      <w:r>
        <w:rPr>
          <w:rFonts w:ascii="Times New Roman" w:hAnsi="Times New Roman"/>
          <w:b/>
          <w:i w:val="0"/>
          <w:sz w:val="24"/>
        </w:rPr>
        <w:t>Factor (d) - Stable environment:</w:t>
      </w:r>
      <w:r>
        <w:rPr>
          <w:rFonts w:ascii="Times New Roman" w:hAnsi="Times New Roman"/>
          <w:b w:val="0"/>
          <w:i w:val="0"/>
          <w:sz w:val="24"/>
        </w:rPr>
        <w:t xml:space="preserve"> The record shows Father maintained a home at 1977 Whitehall Rd, Lot 17, Muskegon throughout the litigation. No specific finding addresses the stability of Father's environment.</w:t>
      </w:r>
    </w:p>
    <w:p>
      <w:pPr>
        <w:spacing w:line="480" w:lineRule="auto" w:after="0" w:before="0"/>
      </w:pPr>
      <w:r>
        <w:rPr>
          <w:rFonts w:ascii="Times New Roman" w:hAnsi="Times New Roman"/>
          <w:b/>
          <w:i w:val="0"/>
          <w:sz w:val="24"/>
        </w:rPr>
        <w:t>Factor (j) - Willingness to facilitate relationship:</w:t>
      </w:r>
      <w:r>
        <w:rPr>
          <w:rFonts w:ascii="Times New Roman" w:hAnsi="Times New Roman"/>
          <w:b w:val="0"/>
          <w:i w:val="0"/>
          <w:sz w:val="24"/>
        </w:rPr>
        <w:t xml:space="preserve"> MCL 722.23(j) requires the court to evaluate each parent's willingness to facilitate a close and continuing relationship with the other parent. The record overwhelmingly supports that Mother undermined Father's relationship with Lincoln through extended withholding periods (37 days from March-May 2024; 23 days in October-November 2024; 329+ days from July 2025), denial of information about medical appointments, and refusal of video communication during off-weeks. (R. at Docket Events, passim.) No finding addresses this critical factor as applied to Mother's conduct.</w:t>
      </w:r>
    </w:p>
    <w:p>
      <w:pPr>
        <w:spacing w:line="480" w:lineRule="auto" w:after="0" w:before="0"/>
      </w:pPr>
      <w:r>
        <w:rPr>
          <w:rFonts w:ascii="Times New Roman" w:hAnsi="Times New Roman"/>
          <w:b/>
          <w:i w:val="0"/>
          <w:sz w:val="24"/>
        </w:rPr>
        <w:t>Factor (l) - Other factors:</w:t>
      </w:r>
      <w:r>
        <w:rPr>
          <w:rFonts w:ascii="Times New Roman" w:hAnsi="Times New Roman"/>
          <w:b w:val="0"/>
          <w:i w:val="0"/>
          <w:sz w:val="24"/>
        </w:rPr>
        <w:t xml:space="preserve"> The court failed to consider the impact of the PPO litigation on the custody determination, the role of third parties (Albert Watson, Cody Watson) in disrupting Father's parenting time, or the cumulative effect of repeated ex parte orders on the parent-child relationship.</w:t>
      </w:r>
    </w:p>
    <w:p>
      <w:pPr>
        <w:spacing w:line="480" w:lineRule="auto" w:after="0" w:before="0"/>
      </w:pPr>
      <w:r>
        <w:rPr>
          <w:rFonts w:ascii="Times New Roman" w:hAnsi="Times New Roman"/>
          <w:b w:val="0"/>
          <w:i w:val="0"/>
          <w:sz w:val="24"/>
        </w:rPr>
        <w:t xml:space="preserve">The post-judgment orders of May 16, 2025, May 20, 2025, and August 8, 2025 similarly lack required best interest findings. The May 20, 2025 order denying Father's custody motion stated only that "Nothing in Plaintiff's Motion indicates a change of circumstances as required by law." (R. at Order, 5/20/2025.) Even if the </w:t>
      </w:r>
      <w:r>
        <w:rPr>
          <w:rFonts w:ascii="Times New Roman" w:hAnsi="Times New Roman"/>
          <w:b w:val="0"/>
          <w:i/>
          <w:sz w:val="24"/>
        </w:rPr>
        <w:t>Vodvarka</w:t>
      </w:r>
      <w:r>
        <w:rPr>
          <w:rFonts w:ascii="Times New Roman" w:hAnsi="Times New Roman"/>
          <w:b w:val="0"/>
          <w:i w:val="0"/>
          <w:sz w:val="24"/>
        </w:rPr>
        <w:t xml:space="preserve"> threshold of changed circumstances were not met, the court's failure to address the ongoing 329+ day separation as a changed circumstance is itself clearly erroneous.</w:t>
      </w:r>
    </w:p>
    <w:p>
      <w:pPr>
        <w:keepNext/>
        <w:spacing w:line="480" w:lineRule="auto" w:after="0" w:before="0"/>
      </w:pPr>
      <w:r>
        <w:rPr>
          <w:rFonts w:ascii="Times New Roman" w:hAnsi="Times New Roman"/>
          <w:b/>
          <w:i w:val="0"/>
          <w:sz w:val="24"/>
        </w:rPr>
        <w:t>E. Conclusion</w:t>
      </w:r>
    </w:p>
    <w:p>
      <w:pPr>
        <w:spacing w:line="480" w:lineRule="auto" w:after="0" w:before="0"/>
      </w:pPr>
      <w:r>
        <w:rPr>
          <w:rFonts w:ascii="Times New Roman" w:hAnsi="Times New Roman"/>
          <w:b w:val="0"/>
          <w:i w:val="0"/>
          <w:sz w:val="24"/>
        </w:rPr>
        <w:t xml:space="preserve">The trial court committed clear error by entering custody orders without making specific findings on each of the twelve MCL 722.23(a)-(l) best interest factors. Under </w:t>
      </w:r>
      <w:r>
        <w:rPr>
          <w:rFonts w:ascii="Times New Roman" w:hAnsi="Times New Roman"/>
          <w:b w:val="0"/>
          <w:i/>
          <w:sz w:val="24"/>
        </w:rPr>
        <w:t>Pierron</w:t>
      </w:r>
      <w:r>
        <w:rPr>
          <w:rFonts w:ascii="Times New Roman" w:hAnsi="Times New Roman"/>
          <w:b w:val="0"/>
          <w:i w:val="0"/>
          <w:sz w:val="24"/>
        </w:rPr>
        <w:t>, this alone requires vacatur and remand for proper findings. The matter must be remanded to a different judge for a de novo custody hearing with complete best interest factor analysis.</w:t>
      </w:r>
    </w:p>
    <w:p>
      <w:r>
        <w:br w:type="page"/>
      </w:r>
    </w:p>
    <w:p>
      <w:pPr>
        <w:pStyle w:val="Heading3"/>
      </w:pPr>
      <w:r>
        <w:rPr>
          <w:rFonts w:ascii="Times New Roman" w:hAnsi="Times New Roman"/>
        </w:rPr>
        <w:t>IV. THE $250 FILING SANCTION UNCONSTITUTIONALLY DENIED ACCESS TO THE COURTS</w:t>
      </w:r>
    </w:p>
    <w:p>
      <w:pPr>
        <w:keepNext/>
        <w:spacing w:line="480" w:lineRule="auto" w:after="0" w:before="0"/>
      </w:pPr>
      <w:r>
        <w:rPr>
          <w:rFonts w:ascii="Times New Roman" w:hAnsi="Times New Roman"/>
          <w:b/>
          <w:i w:val="0"/>
          <w:sz w:val="24"/>
        </w:rPr>
        <w:t>A. Standard of Review</w:t>
      </w:r>
    </w:p>
    <w:p>
      <w:pPr>
        <w:spacing w:line="480" w:lineRule="auto" w:after="0" w:before="0"/>
      </w:pPr>
      <w:r>
        <w:rPr>
          <w:rFonts w:ascii="Times New Roman" w:hAnsi="Times New Roman"/>
          <w:b w:val="0"/>
          <w:i w:val="0"/>
          <w:sz w:val="24"/>
        </w:rPr>
        <w:t>Constitutional challenges to court orders are reviewed de novo.</w:t>
      </w:r>
    </w:p>
    <w:p>
      <w:pPr>
        <w:keepNext/>
        <w:spacing w:line="480" w:lineRule="auto" w:after="0" w:before="0"/>
      </w:pPr>
      <w:r>
        <w:rPr>
          <w:rFonts w:ascii="Times New Roman" w:hAnsi="Times New Roman"/>
          <w:b/>
          <w:i w:val="0"/>
          <w:sz w:val="24"/>
        </w:rPr>
        <w:t>B. Issue</w:t>
      </w:r>
    </w:p>
    <w:p>
      <w:pPr>
        <w:spacing w:line="480" w:lineRule="auto" w:after="0" w:before="0"/>
      </w:pPr>
      <w:r>
        <w:rPr>
          <w:rFonts w:ascii="Times New Roman" w:hAnsi="Times New Roman"/>
          <w:b w:val="0"/>
          <w:i w:val="0"/>
          <w:sz w:val="24"/>
        </w:rPr>
        <w:t>Whether the trial court's May 16, 2025 order imposing a $250-per-motion filing bond unconstitutionally restricted Appellant's right of access to the courts.</w:t>
      </w:r>
    </w:p>
    <w:p>
      <w:pPr>
        <w:keepNext/>
        <w:spacing w:line="480" w:lineRule="auto" w:after="0" w:before="0"/>
      </w:pPr>
      <w:r>
        <w:rPr>
          <w:rFonts w:ascii="Times New Roman" w:hAnsi="Times New Roman"/>
          <w:b/>
          <w:i w:val="0"/>
          <w:sz w:val="24"/>
        </w:rPr>
        <w:t>C. Rule</w:t>
      </w:r>
    </w:p>
    <w:p>
      <w:pPr>
        <w:spacing w:line="480" w:lineRule="auto" w:after="0" w:before="0"/>
      </w:pPr>
      <w:r>
        <w:rPr>
          <w:rFonts w:ascii="Times New Roman" w:hAnsi="Times New Roman"/>
          <w:b w:val="0"/>
          <w:i w:val="0"/>
          <w:sz w:val="24"/>
        </w:rPr>
        <w:t>The right of access to the courts is protected by both the federal and state constitutions. The First Amendment to the United States Constitution, as applied to the states through the Fourteenth Amendment, protects the right to petition the government for redress of grievances, which includes the right to file civil actions. US Const Amend I, XIV. The Michigan Constitution expressly provides: "A suitor in any court of this state has the right to prosecute or defend his suit, either in his own proper person or by an attorney." Mich Const 1963, Art 1, Sec 13. Additionally, no person may be "deprived of life, liberty, or property, without due process of law." Mich Const 1963, Art 1, Sec 17.</w:t>
      </w:r>
    </w:p>
    <w:p>
      <w:pPr>
        <w:spacing w:line="480" w:lineRule="auto" w:after="0" w:before="0"/>
      </w:pPr>
      <w:r>
        <w:rPr>
          <w:rFonts w:ascii="Times New Roman" w:hAnsi="Times New Roman"/>
          <w:b w:val="0"/>
          <w:i w:val="0"/>
          <w:sz w:val="24"/>
        </w:rPr>
        <w:t xml:space="preserve">While courts possess inherent authority to manage their dockets and impose reasonable restrictions on vexatious litigants, any restriction on court access must satisfy constitutional scrutiny. A filing restriction must be: (1) based on a finding that the party's prior filings were frivolous, harassing, or duplicative; (2) narrowly tailored to prevent the specific abuse identified; and (3) accompanied by a mechanism to permit meritorious filings. </w:t>
      </w:r>
      <w:r>
        <w:rPr>
          <w:rFonts w:ascii="Times New Roman" w:hAnsi="Times New Roman"/>
          <w:b w:val="0"/>
          <w:i/>
          <w:sz w:val="24"/>
        </w:rPr>
        <w:t>In re Contempt of Dougherty</w:t>
      </w:r>
      <w:r>
        <w:rPr>
          <w:rFonts w:ascii="Times New Roman" w:hAnsi="Times New Roman"/>
          <w:b w:val="0"/>
          <w:i w:val="0"/>
          <w:sz w:val="24"/>
        </w:rPr>
        <w:t>, 429 Mich 81, 101; 413 NW2d 392 (1987).</w:t>
      </w:r>
    </w:p>
    <w:p>
      <w:pPr>
        <w:keepNext/>
        <w:spacing w:line="480" w:lineRule="auto" w:after="0" w:before="0"/>
      </w:pPr>
      <w:r>
        <w:rPr>
          <w:rFonts w:ascii="Times New Roman" w:hAnsi="Times New Roman"/>
          <w:b/>
          <w:i w:val="0"/>
          <w:sz w:val="24"/>
        </w:rPr>
        <w:t>D. Application</w:t>
      </w:r>
    </w:p>
    <w:p>
      <w:pPr>
        <w:spacing w:line="480" w:lineRule="auto" w:after="0" w:before="0"/>
      </w:pPr>
      <w:r>
        <w:rPr>
          <w:rFonts w:ascii="Times New Roman" w:hAnsi="Times New Roman"/>
          <w:b w:val="0"/>
          <w:i w:val="0"/>
          <w:sz w:val="24"/>
        </w:rPr>
        <w:t>On May 16, 2025, the trial court ordered: "the Plaintiff must pay a bond of $250 (for each motion) before he may file another motion in this matter. The Court will then review the motion." (R. at Order, 5/16/2025.)</w:t>
      </w:r>
    </w:p>
    <w:p>
      <w:pPr>
        <w:spacing w:line="480" w:lineRule="auto" w:after="0" w:before="0"/>
      </w:pPr>
      <w:r>
        <w:rPr>
          <w:rFonts w:ascii="Times New Roman" w:hAnsi="Times New Roman"/>
          <w:b w:val="0"/>
          <w:i w:val="0"/>
          <w:sz w:val="24"/>
        </w:rPr>
        <w:t>This filing bond is unconstitutional for several reasons:</w:t>
      </w:r>
    </w:p>
    <w:p>
      <w:pPr>
        <w:spacing w:line="480" w:lineRule="auto" w:after="0" w:before="0"/>
      </w:pPr>
      <w:r>
        <w:rPr>
          <w:rFonts w:ascii="Times New Roman" w:hAnsi="Times New Roman"/>
          <w:b/>
          <w:i w:val="0"/>
          <w:sz w:val="24"/>
        </w:rPr>
        <w:t>1. No finding of frivolousness.</w:t>
      </w:r>
      <w:r>
        <w:rPr>
          <w:rFonts w:ascii="Times New Roman" w:hAnsi="Times New Roman"/>
          <w:b w:val="0"/>
          <w:i w:val="0"/>
          <w:sz w:val="24"/>
        </w:rPr>
        <w:t xml:space="preserve"> The court imposed the $250 bond without making any finding that Father's prior motions were frivolous, harassing, duplicative, or filed in bad faith. The court did not identify a single specific filing that warranted sanctions. Without such a finding, the restriction lacks the factual predicate required to justify limiting court access.</w:t>
      </w:r>
    </w:p>
    <w:p>
      <w:pPr>
        <w:spacing w:line="480" w:lineRule="auto" w:after="0" w:before="0"/>
      </w:pPr>
      <w:r>
        <w:rPr>
          <w:rFonts w:ascii="Times New Roman" w:hAnsi="Times New Roman"/>
          <w:b/>
          <w:i w:val="0"/>
          <w:sz w:val="24"/>
        </w:rPr>
        <w:t>2. Disproportionate burden on a pro se litigant.</w:t>
      </w:r>
      <w:r>
        <w:rPr>
          <w:rFonts w:ascii="Times New Roman" w:hAnsi="Times New Roman"/>
          <w:b w:val="0"/>
          <w:i w:val="0"/>
          <w:sz w:val="24"/>
        </w:rPr>
        <w:t xml:space="preserve"> Father is a self-represented litigant in a custody dispute involving the welfare of his minor child. A $250-per-motion bond imposes a substantial financial barrier on a party whose child support obligations and litigation expenses have already strained his resources. The bond effectively prices a pro se parent out of the courtroom, particularly when multiple motions may be necessary to address ongoing custody and parenting time concerns.</w:t>
      </w:r>
    </w:p>
    <w:p>
      <w:pPr>
        <w:spacing w:line="480" w:lineRule="auto" w:after="0" w:before="0"/>
      </w:pPr>
      <w:r>
        <w:rPr>
          <w:rFonts w:ascii="Times New Roman" w:hAnsi="Times New Roman"/>
          <w:b/>
          <w:i w:val="0"/>
          <w:sz w:val="24"/>
        </w:rPr>
        <w:t>3. Not narrowly tailored.</w:t>
      </w:r>
      <w:r>
        <w:rPr>
          <w:rFonts w:ascii="Times New Roman" w:hAnsi="Times New Roman"/>
          <w:b w:val="0"/>
          <w:i w:val="0"/>
          <w:sz w:val="24"/>
        </w:rPr>
        <w:t xml:space="preserve"> The bond applies to every motion without distinction. It makes no exception for emergency motions concerning child safety, motions addressing due process violations, or motions required by court rule. A parent who discovers his child is in imminent danger would be required to first pay $250 before the court would even consider the motion. This blanket restriction fails the narrow tailoring requirement.</w:t>
      </w:r>
    </w:p>
    <w:p>
      <w:pPr>
        <w:spacing w:line="480" w:lineRule="auto" w:after="0" w:before="0"/>
      </w:pPr>
      <w:r>
        <w:rPr>
          <w:rFonts w:ascii="Times New Roman" w:hAnsi="Times New Roman"/>
          <w:b/>
          <w:i w:val="0"/>
          <w:sz w:val="24"/>
        </w:rPr>
        <w:t>4. No mechanism for meritorious filings.</w:t>
      </w:r>
      <w:r>
        <w:rPr>
          <w:rFonts w:ascii="Times New Roman" w:hAnsi="Times New Roman"/>
          <w:b w:val="0"/>
          <w:i w:val="0"/>
          <w:sz w:val="24"/>
        </w:rPr>
        <w:t xml:space="preserve"> The order provides that "The Court will then review the motion" after the bond is paid, but provides no mechanism for a party who cannot afford the bond to demonstrate that a proposed filing has merit. There is no procedure for seeking fee waiver or for the court to review a filing on its merits before requiring payment.</w:t>
      </w:r>
    </w:p>
    <w:p>
      <w:pPr>
        <w:spacing w:line="480" w:lineRule="auto" w:after="0" w:before="0"/>
      </w:pPr>
      <w:r>
        <w:rPr>
          <w:rFonts w:ascii="Times New Roman" w:hAnsi="Times New Roman"/>
          <w:b/>
          <w:i w:val="0"/>
          <w:sz w:val="24"/>
        </w:rPr>
        <w:t>5. Context of fundamental parental rights.</w:t>
      </w:r>
      <w:r>
        <w:rPr>
          <w:rFonts w:ascii="Times New Roman" w:hAnsi="Times New Roman"/>
          <w:b w:val="0"/>
          <w:i w:val="0"/>
          <w:sz w:val="24"/>
        </w:rPr>
        <w:t xml:space="preserve"> This filing bond was imposed in the context of custody litigation where Father's parenting time was being progressively reduced and eventually eliminated entirely. The bond was imposed on the very same date (May 16, 2025) that additional orders restricted Father's parenting rights. (R. at Order, 5/16/2025.) The practical effect was to prevent Father from seeking judicial relief during the critical period when his parenting time was being suspended. By August 8, 2025, Father's parenting time was eliminated entirely by ex parte order, and the filing bond ensured Father could not challenge this without first paying a $250 toll.</w:t>
      </w:r>
    </w:p>
    <w:p>
      <w:pPr>
        <w:keepNext/>
        <w:spacing w:line="480" w:lineRule="auto" w:after="0" w:before="0"/>
      </w:pPr>
      <w:r>
        <w:rPr>
          <w:rFonts w:ascii="Times New Roman" w:hAnsi="Times New Roman"/>
          <w:b/>
          <w:i w:val="0"/>
          <w:sz w:val="24"/>
        </w:rPr>
        <w:t>E. Conclusion</w:t>
      </w:r>
    </w:p>
    <w:p>
      <w:pPr>
        <w:spacing w:line="480" w:lineRule="auto" w:after="0" w:before="0"/>
      </w:pPr>
      <w:r>
        <w:rPr>
          <w:rFonts w:ascii="Times New Roman" w:hAnsi="Times New Roman"/>
          <w:b w:val="0"/>
          <w:i w:val="0"/>
          <w:sz w:val="24"/>
        </w:rPr>
        <w:t>The $250 filing bond imposed on May 16, 2025 is unconstitutional as applied. It was imposed without a finding of frivolousness, is not narrowly tailored, provides no mechanism for meritorious filings, and effectively denies a pro se parent access to the courts during a period when his fundamental parental rights are being eliminated. The order must be vacated.</w:t>
      </w:r>
    </w:p>
    <w:p>
      <w:r>
        <w:br w:type="page"/>
      </w:r>
    </w:p>
    <w:p>
      <w:pPr>
        <w:pStyle w:val="Heading3"/>
      </w:pPr>
      <w:r>
        <w:rPr>
          <w:rFonts w:ascii="Times New Roman" w:hAnsi="Times New Roman"/>
        </w:rPr>
        <w:t>V. THE TRIAL COURT DEMONSTRATED ACTUAL BIAS REQUIRING DISQUALIFICATION UNDER MCR 2.003(C)(1)</w:t>
      </w:r>
    </w:p>
    <w:p>
      <w:pPr>
        <w:keepNext/>
        <w:spacing w:line="480" w:lineRule="auto" w:after="0" w:before="0"/>
      </w:pPr>
      <w:r>
        <w:rPr>
          <w:rFonts w:ascii="Times New Roman" w:hAnsi="Times New Roman"/>
          <w:b/>
          <w:i w:val="0"/>
          <w:sz w:val="24"/>
        </w:rPr>
        <w:t>A. Standard of Review</w:t>
      </w:r>
    </w:p>
    <w:p>
      <w:pPr>
        <w:spacing w:line="480" w:lineRule="auto" w:after="0" w:before="0"/>
      </w:pPr>
      <w:r>
        <w:rPr>
          <w:rFonts w:ascii="Times New Roman" w:hAnsi="Times New Roman"/>
          <w:b w:val="0"/>
          <w:i w:val="0"/>
          <w:sz w:val="24"/>
        </w:rPr>
        <w:t xml:space="preserve">A trial court's denial of a motion for disqualification is reviewed for abuse of discretion. </w:t>
      </w:r>
      <w:r>
        <w:rPr>
          <w:rFonts w:ascii="Times New Roman" w:hAnsi="Times New Roman"/>
          <w:b w:val="0"/>
          <w:i/>
          <w:sz w:val="24"/>
        </w:rPr>
        <w:t>Shulick v Richards</w:t>
      </w:r>
      <w:r>
        <w:rPr>
          <w:rFonts w:ascii="Times New Roman" w:hAnsi="Times New Roman"/>
          <w:b w:val="0"/>
          <w:i w:val="0"/>
          <w:sz w:val="24"/>
        </w:rPr>
        <w:t xml:space="preserve">, 273 Mich App 320, 325; 729 NW2d 533 (2006). However, the standard for assessing judicial bias incorporates an objective component: MCR 2.003(C)(1)(b) requires disqualification where, "based on objective and reasonable perceptions," there is "a serious risk of actual bias impacting the due process rights of a party," as articulated in </w:t>
      </w:r>
      <w:r>
        <w:rPr>
          <w:rFonts w:ascii="Times New Roman" w:hAnsi="Times New Roman"/>
          <w:b w:val="0"/>
          <w:i/>
          <w:sz w:val="24"/>
        </w:rPr>
        <w:t>Caperton v A.T. Massey Coal Co.</w:t>
      </w:r>
      <w:r>
        <w:rPr>
          <w:rFonts w:ascii="Times New Roman" w:hAnsi="Times New Roman"/>
          <w:b w:val="0"/>
          <w:i w:val="0"/>
          <w:sz w:val="24"/>
        </w:rPr>
        <w:t>, 556 US 868 (2009).</w:t>
      </w:r>
    </w:p>
    <w:p>
      <w:pPr>
        <w:keepNext/>
        <w:spacing w:line="480" w:lineRule="auto" w:after="0" w:before="0"/>
      </w:pPr>
      <w:r>
        <w:rPr>
          <w:rFonts w:ascii="Times New Roman" w:hAnsi="Times New Roman"/>
          <w:b/>
          <w:i w:val="0"/>
          <w:sz w:val="24"/>
        </w:rPr>
        <w:t>B. Issue</w:t>
      </w:r>
    </w:p>
    <w:p>
      <w:pPr>
        <w:spacing w:line="480" w:lineRule="auto" w:after="0" w:before="0"/>
      </w:pPr>
      <w:r>
        <w:rPr>
          <w:rFonts w:ascii="Times New Roman" w:hAnsi="Times New Roman"/>
          <w:b w:val="0"/>
          <w:i w:val="0"/>
          <w:sz w:val="24"/>
        </w:rPr>
        <w:t>Whether the cumulative record of the trial court's conduct demonstrates actual bias or a serious risk of actual bias requiring disqualification under MCR 2.003(C)(1)(a) and (b).</w:t>
      </w:r>
    </w:p>
    <w:p>
      <w:pPr>
        <w:keepNext/>
        <w:spacing w:line="480" w:lineRule="auto" w:after="0" w:before="0"/>
      </w:pPr>
      <w:r>
        <w:rPr>
          <w:rFonts w:ascii="Times New Roman" w:hAnsi="Times New Roman"/>
          <w:b/>
          <w:i w:val="0"/>
          <w:sz w:val="24"/>
        </w:rPr>
        <w:t>C. Rule</w:t>
      </w:r>
    </w:p>
    <w:p>
      <w:pPr>
        <w:spacing w:line="480" w:lineRule="auto" w:after="0" w:before="0"/>
      </w:pPr>
      <w:r>
        <w:rPr>
          <w:rFonts w:ascii="Times New Roman" w:hAnsi="Times New Roman"/>
          <w:b w:val="0"/>
          <w:i w:val="0"/>
          <w:sz w:val="24"/>
        </w:rPr>
        <w:t>MCR 2.003(C)(1) provides that disqualification is warranted for reasons "that include, but are not limited to" the following:</w:t>
      </w:r>
    </w:p>
    <w:p>
      <w:pPr>
        <w:spacing w:line="480" w:lineRule="auto" w:after="0" w:before="0"/>
      </w:pPr>
      <w:r>
        <w:rPr>
          <w:rFonts w:ascii="Times New Roman" w:hAnsi="Times New Roman"/>
          <w:b w:val="0"/>
          <w:i w:val="0"/>
          <w:sz w:val="24"/>
        </w:rPr>
        <w:t xml:space="preserve">&gt;(a) The judge is biased or prejudiced for or against a party or attorney. &gt; &gt;(b) The judge, based on objective and reasonable perceptions, has either (i) a serious risk of actual bias impacting the due process rights of a party as enunciated in </w:t>
      </w:r>
      <w:r>
        <w:rPr>
          <w:rFonts w:ascii="Times New Roman" w:hAnsi="Times New Roman"/>
          <w:b w:val="0"/>
          <w:i/>
          <w:sz w:val="24"/>
        </w:rPr>
        <w:t>Caperton v Massey</w:t>
      </w:r>
      <w:r>
        <w:rPr>
          <w:rFonts w:ascii="Times New Roman" w:hAnsi="Times New Roman"/>
          <w:b w:val="0"/>
          <w:i w:val="0"/>
          <w:sz w:val="24"/>
        </w:rPr>
        <w:t>, 556 US 868; 129 S Ct 2252; 173 L Ed 2d 1208 (2009), or (ii) has failed to adhere to the appearance of impropriety standard set forth in Canon 2 of the Michigan Code of Judicial Conduct.</w:t>
      </w:r>
    </w:p>
    <w:p>
      <w:pPr>
        <w:spacing w:line="480" w:lineRule="auto" w:after="0" w:before="0"/>
      </w:pPr>
      <w:r>
        <w:rPr>
          <w:rFonts w:ascii="Times New Roman" w:hAnsi="Times New Roman"/>
          <w:b w:val="0"/>
          <w:i w:val="0"/>
          <w:sz w:val="24"/>
        </w:rPr>
        <w:t xml:space="preserve">The objective standard adopted by the Michigan Supreme Court in amending MCR 2.003 requires that the court assess whether "a reasonable person, knowing all the circumstances, would harbor a legitimate doubt about the judge's impartiality." </w:t>
      </w:r>
      <w:r>
        <w:rPr>
          <w:rFonts w:ascii="Times New Roman" w:hAnsi="Times New Roman"/>
          <w:b w:val="0"/>
          <w:i/>
          <w:sz w:val="24"/>
        </w:rPr>
        <w:t>Shulick</w:t>
      </w:r>
      <w:r>
        <w:rPr>
          <w:rFonts w:ascii="Times New Roman" w:hAnsi="Times New Roman"/>
          <w:b w:val="0"/>
          <w:i w:val="0"/>
          <w:sz w:val="24"/>
        </w:rPr>
        <w:t xml:space="preserve">, 273 Mich App at 327. Bias may be demonstrated through a pattern of conduct that, viewed cumulatively, reveals favoritism or prejudice. </w:t>
      </w:r>
      <w:r>
        <w:rPr>
          <w:rFonts w:ascii="Times New Roman" w:hAnsi="Times New Roman"/>
          <w:b w:val="0"/>
          <w:i/>
          <w:sz w:val="24"/>
        </w:rPr>
        <w:t>Fletcher v Fletcher</w:t>
      </w:r>
      <w:r>
        <w:rPr>
          <w:rFonts w:ascii="Times New Roman" w:hAnsi="Times New Roman"/>
          <w:b w:val="0"/>
          <w:i w:val="0"/>
          <w:sz w:val="24"/>
        </w:rPr>
        <w:t>, 447 Mich 871, 879-880; 526 NW2d 889 (1994).</w:t>
      </w:r>
    </w:p>
    <w:p>
      <w:pPr>
        <w:keepNext/>
        <w:spacing w:line="480" w:lineRule="auto" w:after="0" w:before="0"/>
      </w:pPr>
      <w:r>
        <w:rPr>
          <w:rFonts w:ascii="Times New Roman" w:hAnsi="Times New Roman"/>
          <w:b/>
          <w:i w:val="0"/>
          <w:sz w:val="24"/>
        </w:rPr>
        <w:t>D. Application</w:t>
      </w:r>
    </w:p>
    <w:p>
      <w:pPr>
        <w:spacing w:line="480" w:lineRule="auto" w:after="0" w:before="0"/>
      </w:pPr>
      <w:r>
        <w:rPr>
          <w:rFonts w:ascii="Times New Roman" w:hAnsi="Times New Roman"/>
          <w:b w:val="0"/>
          <w:i w:val="0"/>
          <w:sz w:val="24"/>
        </w:rPr>
        <w:t>The record reflects a persistent pattern of disparate treatment that, viewed cumulatively, demonstrates actual bias or at minimum a serious risk of actual bias:</w:t>
      </w:r>
    </w:p>
    <w:p>
      <w:pPr>
        <w:spacing w:line="480" w:lineRule="auto" w:after="0" w:before="0"/>
      </w:pPr>
      <w:r>
        <w:rPr>
          <w:rFonts w:ascii="Times New Roman" w:hAnsi="Times New Roman"/>
          <w:b/>
          <w:i w:val="0"/>
          <w:sz w:val="24"/>
        </w:rPr>
        <w:t>1. Muting and silencing Appellant.</w:t>
      </w:r>
      <w:r>
        <w:rPr>
          <w:rFonts w:ascii="Times New Roman" w:hAnsi="Times New Roman"/>
          <w:b w:val="0"/>
          <w:i w:val="0"/>
          <w:sz w:val="24"/>
        </w:rPr>
        <w:t xml:space="preserve"> At multiple hearings throughout the litigation, Father was muted, cut off mid-objection, or told the judge would not review further filings. (R. at Tr., passim; R. at Judicial Violations.) The court's own statements acknowledge warning Father "repeatedly" about "this behavior," but the pattern of silencing a pro se litigant, while allowing opposing counsel to present argument, reflects disparate treatment rather than neutral courtroom management.</w:t>
      </w:r>
    </w:p>
    <w:p>
      <w:pPr>
        <w:spacing w:line="480" w:lineRule="auto" w:after="0" w:before="0"/>
      </w:pPr>
      <w:r>
        <w:rPr>
          <w:rFonts w:ascii="Times New Roman" w:hAnsi="Times New Roman"/>
          <w:b/>
          <w:i w:val="0"/>
          <w:sz w:val="24"/>
        </w:rPr>
        <w:t>2. Acceptance of ex parte submissions and communications.</w:t>
      </w:r>
      <w:r>
        <w:rPr>
          <w:rFonts w:ascii="Times New Roman" w:hAnsi="Times New Roman"/>
          <w:b w:val="0"/>
          <w:i w:val="0"/>
          <w:sz w:val="24"/>
        </w:rPr>
        <w:t xml:space="preserve"> The record documents that evidence was received "off the record and ex parte, contrary to the prohibition on ex parte communications about pending matters." (R. at Contradiction Map.) A USB recording and mental health evaluation were handled outside Father's presence. Canon 3 of the Michigan Code of Judicial Conduct bars ex parte communications on the merits of pending matters except under narrow circumstances not present here.</w:t>
      </w:r>
    </w:p>
    <w:p>
      <w:pPr>
        <w:spacing w:line="480" w:lineRule="auto" w:after="0" w:before="0"/>
      </w:pPr>
      <w:r>
        <w:rPr>
          <w:rFonts w:ascii="Times New Roman" w:hAnsi="Times New Roman"/>
          <w:b/>
          <w:i w:val="0"/>
          <w:sz w:val="24"/>
        </w:rPr>
        <w:t>3. Refusal to consider exculpatory evidence.</w:t>
      </w:r>
      <w:r>
        <w:rPr>
          <w:rFonts w:ascii="Times New Roman" w:hAnsi="Times New Roman"/>
          <w:b w:val="0"/>
          <w:i w:val="0"/>
          <w:sz w:val="24"/>
        </w:rPr>
        <w:t xml:space="preserve"> When Father attempted to present photographs from the July 29, 2025 parenting exchange that would have contradicted Mother's allegations, the court refused to consider them. (R. at Contradiction Map.) A court that refuses to consider evidence favorable to one party while accepting unsworn allegations from the other party cannot be said to be operating impartially.</w:t>
      </w:r>
    </w:p>
    <w:p>
      <w:pPr>
        <w:spacing w:line="480" w:lineRule="auto" w:after="0" w:before="0"/>
      </w:pPr>
      <w:r>
        <w:rPr>
          <w:rFonts w:ascii="Times New Roman" w:hAnsi="Times New Roman"/>
          <w:b/>
          <w:i w:val="0"/>
          <w:sz w:val="24"/>
        </w:rPr>
        <w:t>4. Reliance on unsworn allegations to deprive parental rights.</w:t>
      </w:r>
      <w:r>
        <w:rPr>
          <w:rFonts w:ascii="Times New Roman" w:hAnsi="Times New Roman"/>
          <w:b w:val="0"/>
          <w:i w:val="0"/>
          <w:sz w:val="24"/>
        </w:rPr>
        <w:t xml:space="preserve"> The August 8, 2025 ex parte order suspending all parenting time "was based solely on allegations and unsworn evidence." (R. at Docket Events, 8/8/2025.) The court's willingness to strip a parent of all contact with his child based on unverified claims, while refusing to consider the parent's contradicting evidence, reflects a predisposition against Father.</w:t>
      </w:r>
    </w:p>
    <w:p>
      <w:pPr>
        <w:spacing w:line="480" w:lineRule="auto" w:after="0" w:before="0"/>
      </w:pPr>
      <w:r>
        <w:rPr>
          <w:rFonts w:ascii="Times New Roman" w:hAnsi="Times New Roman"/>
          <w:b/>
          <w:i w:val="0"/>
          <w:sz w:val="24"/>
        </w:rPr>
        <w:t>5. Contempt finding and disproportionate punishment.</w:t>
      </w:r>
      <w:r>
        <w:rPr>
          <w:rFonts w:ascii="Times New Roman" w:hAnsi="Times New Roman"/>
          <w:b w:val="0"/>
          <w:i w:val="0"/>
          <w:sz w:val="24"/>
        </w:rPr>
        <w:t xml:space="preserve"> The record reflects that when Mother spoke, Father "was not able to speak without his interruption" and "the Court found him in contempt and sentenced him to jail." (R. at Evidence Quotes.) While interrupting court proceedings is inappropriate, the escalation to a jail sentence for courtroom disruptions by a pro se litigant, in the context of a custody dispute where the litigant's child was being taken from him, reflects a punitive orientation rather than neutral judicial management.</w:t>
      </w:r>
    </w:p>
    <w:p>
      <w:pPr>
        <w:spacing w:line="480" w:lineRule="auto" w:after="0" w:before="0"/>
      </w:pPr>
      <w:r>
        <w:rPr>
          <w:rFonts w:ascii="Times New Roman" w:hAnsi="Times New Roman"/>
          <w:b/>
          <w:i w:val="0"/>
          <w:sz w:val="24"/>
        </w:rPr>
        <w:t>6. Adoption of opposing party's proposed order.</w:t>
      </w:r>
      <w:r>
        <w:rPr>
          <w:rFonts w:ascii="Times New Roman" w:hAnsi="Times New Roman"/>
          <w:b w:val="0"/>
          <w:i w:val="0"/>
          <w:sz w:val="24"/>
        </w:rPr>
        <w:t xml:space="preserve"> The court's Final Judgment was prepared by Defendant's counsel "under the 7 day rule, using parts of the rulings the Court made regarding the best interest factors." (R. at Order, 8/23/2024.) When Father objected, the court dismissed the objection on procedural grounds. The court's wholesale adoption of one party's proposed order, while rejecting the other party's attempts to be heard, demonstrates structural bias in the adjudicatory process.</w:t>
      </w:r>
    </w:p>
    <w:p>
      <w:pPr>
        <w:spacing w:line="480" w:lineRule="auto" w:after="0" w:before="0"/>
      </w:pPr>
      <w:r>
        <w:rPr>
          <w:rFonts w:ascii="Times New Roman" w:hAnsi="Times New Roman"/>
          <w:b/>
          <w:i w:val="0"/>
          <w:sz w:val="24"/>
        </w:rPr>
        <w:t>7. $250 filing bond to prevent challenge.</w:t>
      </w:r>
      <w:r>
        <w:rPr>
          <w:rFonts w:ascii="Times New Roman" w:hAnsi="Times New Roman"/>
          <w:b w:val="0"/>
          <w:i w:val="0"/>
          <w:sz w:val="24"/>
        </w:rPr>
        <w:t xml:space="preserve"> The imposition of a $250-per-motion bond on the same date as other restrictive orders created a structural barrier preventing Father from challenging the court's actions. This is consistent with a pattern of insulating the court's rulings from scrutiny.</w:t>
      </w:r>
    </w:p>
    <w:p>
      <w:pPr>
        <w:spacing w:line="480" w:lineRule="auto" w:after="0" w:before="0"/>
      </w:pPr>
      <w:r>
        <w:rPr>
          <w:rFonts w:ascii="Times New Roman" w:hAnsi="Times New Roman"/>
          <w:b w:val="0"/>
          <w:i w:val="0"/>
          <w:sz w:val="24"/>
        </w:rPr>
        <w:t xml:space="preserve">Taken individually, some of these actions might fall within the range of judicial discretion. Taken cumulatively, they reveal a consistent pattern: Mother's filings are accepted without scrutiny, her ex parte motions are granted without verification, and her proposed orders are adopted verbatim; Father's motions are summarily denied, his evidence is refused, his voice is literally muted, and financial barriers are erected to prevent further challenge. A reasonable person, knowing all the circumstances, would harbor more than a "legitimate doubt" about the court's impartiality. </w:t>
      </w:r>
      <w:r>
        <w:rPr>
          <w:rFonts w:ascii="Times New Roman" w:hAnsi="Times New Roman"/>
          <w:b w:val="0"/>
          <w:i/>
          <w:sz w:val="24"/>
        </w:rPr>
        <w:t>Shulick</w:t>
      </w:r>
      <w:r>
        <w:rPr>
          <w:rFonts w:ascii="Times New Roman" w:hAnsi="Times New Roman"/>
          <w:b w:val="0"/>
          <w:i w:val="0"/>
          <w:sz w:val="24"/>
        </w:rPr>
        <w:t>, 273 Mich App at 327.</w:t>
      </w:r>
    </w:p>
    <w:p>
      <w:pPr>
        <w:keepNext/>
        <w:spacing w:line="480" w:lineRule="auto" w:after="0" w:before="0"/>
      </w:pPr>
      <w:r>
        <w:rPr>
          <w:rFonts w:ascii="Times New Roman" w:hAnsi="Times New Roman"/>
          <w:b/>
          <w:i w:val="0"/>
          <w:sz w:val="24"/>
        </w:rPr>
        <w:t>E. Conclusion</w:t>
      </w:r>
    </w:p>
    <w:p>
      <w:pPr>
        <w:spacing w:line="480" w:lineRule="auto" w:after="0" w:before="0"/>
      </w:pPr>
      <w:r>
        <w:rPr>
          <w:rFonts w:ascii="Times New Roman" w:hAnsi="Times New Roman"/>
          <w:b w:val="0"/>
          <w:i w:val="0"/>
          <w:sz w:val="24"/>
        </w:rPr>
        <w:t>The cumulative record demonstrates actual bias or a serious risk of actual bias requiring disqualification under MCR 2.003(C)(1). This Court should order that all proceedings on remand be conducted before a different judge.</w:t>
      </w:r>
    </w:p>
    <w:p>
      <w:r>
        <w:br w:type="page"/>
      </w:r>
    </w:p>
    <w:p>
      <w:pPr>
        <w:pStyle w:val="Heading3"/>
      </w:pPr>
      <w:r>
        <w:rPr>
          <w:rFonts w:ascii="Times New Roman" w:hAnsi="Times New Roman"/>
        </w:rPr>
        <w:t>VI. THE COMPLETE DENIAL OF PARENTING TIME FOR 329+ DAYS WITHOUT A FINDING OF ENDANGERMENT VIOLATED MCL 722.27a</w:t>
      </w:r>
    </w:p>
    <w:p>
      <w:pPr>
        <w:keepNext/>
        <w:spacing w:line="480" w:lineRule="auto" w:after="0" w:before="0"/>
      </w:pPr>
      <w:r>
        <w:rPr>
          <w:rFonts w:ascii="Times New Roman" w:hAnsi="Times New Roman"/>
          <w:b/>
          <w:i w:val="0"/>
          <w:sz w:val="24"/>
        </w:rPr>
        <w:t>A. Standard of Review</w:t>
      </w:r>
    </w:p>
    <w:p>
      <w:pPr>
        <w:spacing w:line="480" w:lineRule="auto" w:after="0" w:before="0"/>
      </w:pPr>
      <w:r>
        <w:rPr>
          <w:rFonts w:ascii="Times New Roman" w:hAnsi="Times New Roman"/>
          <w:b w:val="0"/>
          <w:i w:val="0"/>
          <w:sz w:val="24"/>
        </w:rPr>
        <w:t xml:space="preserve">Parenting time decisions are reviewed for abuse of discretion. </w:t>
      </w:r>
      <w:r>
        <w:rPr>
          <w:rFonts w:ascii="Times New Roman" w:hAnsi="Times New Roman"/>
          <w:b w:val="0"/>
          <w:i/>
          <w:sz w:val="24"/>
        </w:rPr>
        <w:t>Shade v Wright</w:t>
      </w:r>
      <w:r>
        <w:rPr>
          <w:rFonts w:ascii="Times New Roman" w:hAnsi="Times New Roman"/>
          <w:b w:val="0"/>
          <w:i w:val="0"/>
          <w:sz w:val="24"/>
        </w:rPr>
        <w:t xml:space="preserve">, 291 Mich App 17, 21; 805 NW2d 1 (2010). A trial court abuses its discretion when its decision is "so palpably and grossly violative of fact and logic that it evidences a perversity of will, a defiance of judgment, or the exercise of passion or bias." </w:t>
      </w:r>
      <w:r>
        <w:rPr>
          <w:rFonts w:ascii="Times New Roman" w:hAnsi="Times New Roman"/>
          <w:b w:val="0"/>
          <w:i/>
          <w:sz w:val="24"/>
        </w:rPr>
        <w:t>Id.</w:t>
      </w:r>
      <w:r>
        <w:rPr>
          <w:rFonts w:ascii="Times New Roman" w:hAnsi="Times New Roman"/>
          <w:b w:val="0"/>
          <w:i w:val="0"/>
          <w:sz w:val="24"/>
        </w:rPr>
        <w:t xml:space="preserve"> at 26.</w:t>
      </w:r>
    </w:p>
    <w:p>
      <w:pPr>
        <w:keepNext/>
        <w:spacing w:line="480" w:lineRule="auto" w:after="0" w:before="0"/>
      </w:pPr>
      <w:r>
        <w:rPr>
          <w:rFonts w:ascii="Times New Roman" w:hAnsi="Times New Roman"/>
          <w:b/>
          <w:i w:val="0"/>
          <w:sz w:val="24"/>
        </w:rPr>
        <w:t>B. Issue</w:t>
      </w:r>
    </w:p>
    <w:p>
      <w:pPr>
        <w:spacing w:line="480" w:lineRule="auto" w:after="0" w:before="0"/>
      </w:pPr>
      <w:r>
        <w:rPr>
          <w:rFonts w:ascii="Times New Roman" w:hAnsi="Times New Roman"/>
          <w:b w:val="0"/>
          <w:i w:val="0"/>
          <w:sz w:val="24"/>
        </w:rPr>
        <w:t>Whether the trial court abused its discretion by suspending all parenting time between Father and Lincoln for 329+ consecutive days without making the statutorily required finding that parenting time would endanger the child's physical, mental, or emotional health.</w:t>
      </w:r>
    </w:p>
    <w:p>
      <w:pPr>
        <w:keepNext/>
        <w:spacing w:line="480" w:lineRule="auto" w:after="0" w:before="0"/>
      </w:pPr>
      <w:r>
        <w:rPr>
          <w:rFonts w:ascii="Times New Roman" w:hAnsi="Times New Roman"/>
          <w:b/>
          <w:i w:val="0"/>
          <w:sz w:val="24"/>
        </w:rPr>
        <w:t>C. Rule</w:t>
      </w:r>
    </w:p>
    <w:p>
      <w:pPr>
        <w:spacing w:line="480" w:lineRule="auto" w:after="0" w:before="0"/>
      </w:pPr>
      <w:r>
        <w:rPr>
          <w:rFonts w:ascii="Times New Roman" w:hAnsi="Times New Roman"/>
          <w:b w:val="0"/>
          <w:i w:val="0"/>
          <w:sz w:val="24"/>
        </w:rPr>
        <w:t>MCL 722.27a(1) establishes a strong presumption in favor of parenting time: "It is presumed to be in the best interests of a child for the child to have a strong relationship with both of his or her parents." MCL 722.27a(1) further provides: "A child has a right to parenting time with a parent unless it is shown on the record by clear and convincing evidence that it would endanger the child's physical, mental, or emotional health." (Emphasis added.)</w:t>
      </w:r>
    </w:p>
    <w:p>
      <w:pPr>
        <w:spacing w:line="480" w:lineRule="auto" w:after="0" w:before="0"/>
      </w:pPr>
      <w:r>
        <w:rPr>
          <w:rFonts w:ascii="Times New Roman" w:hAnsi="Times New Roman"/>
          <w:b w:val="0"/>
          <w:i w:val="0"/>
          <w:sz w:val="24"/>
        </w:rPr>
        <w:t>The complete denial of parenting time is governed by MCL 722.27a(3), which permits a court to deny parenting time only if the court determines that "there is clear and convincing evidence that it would endanger the child's physical, mental, or emotional health to have parenting time with a parent." This elevated standard reflects the Legislature's recognition that the complete severance of a parent-child relationship is among the most drastic actions a court can take, second only to termination of parental rights.</w:t>
      </w:r>
    </w:p>
    <w:p>
      <w:pPr>
        <w:spacing w:line="480" w:lineRule="auto" w:after="0" w:before="0"/>
      </w:pPr>
      <w:r>
        <w:rPr>
          <w:rFonts w:ascii="Times New Roman" w:hAnsi="Times New Roman"/>
          <w:b w:val="0"/>
          <w:i/>
          <w:sz w:val="24"/>
        </w:rPr>
        <w:t>Shade v Wright</w:t>
      </w:r>
      <w:r>
        <w:rPr>
          <w:rFonts w:ascii="Times New Roman" w:hAnsi="Times New Roman"/>
          <w:b w:val="0"/>
          <w:i w:val="0"/>
          <w:sz w:val="24"/>
        </w:rPr>
        <w:t>, 291 Mich App 17, 22-23 (2010), held that a trial court abused its discretion by restricting parenting time without making the required findings. The Court of Appeals emphasized that "the strongest relationship possible with both parents" is the statutory goal, and that restrictions must be supported by specific findings on the record.</w:t>
      </w:r>
    </w:p>
    <w:p>
      <w:pPr>
        <w:spacing w:line="480" w:lineRule="auto" w:after="0" w:before="0"/>
      </w:pPr>
      <w:r>
        <w:rPr>
          <w:rFonts w:ascii="Times New Roman" w:hAnsi="Times New Roman"/>
          <w:b w:val="0"/>
          <w:i/>
          <w:sz w:val="24"/>
        </w:rPr>
        <w:t>Eldred v Ziny</w:t>
      </w:r>
      <w:r>
        <w:rPr>
          <w:rFonts w:ascii="Times New Roman" w:hAnsi="Times New Roman"/>
          <w:b w:val="0"/>
          <w:i w:val="0"/>
          <w:sz w:val="24"/>
        </w:rPr>
        <w:t>, 246 Mich App 142, 150-151 (2001), held that a court may not suspend parenting time without a specific finding that such time would endanger the child. The Court reversed the trial court's parenting time restriction where "the trial court made NO such finding."</w:t>
      </w:r>
    </w:p>
    <w:p>
      <w:pPr>
        <w:spacing w:line="480" w:lineRule="auto" w:after="0" w:before="0"/>
      </w:pPr>
      <w:r>
        <w:rPr>
          <w:rFonts w:ascii="Times New Roman" w:hAnsi="Times New Roman"/>
          <w:b w:val="0"/>
          <w:i w:val="0"/>
          <w:sz w:val="24"/>
        </w:rPr>
        <w:t>MCL 722.27a(7) provides that when safety concerns exist, the court may impose conditions on parenting time, including supervision, rather than eliminating parenting time entirely. This intermediate option demonstrates the Legislature's intent that total suspension be reserved for the most extreme circumstances.</w:t>
      </w:r>
    </w:p>
    <w:p>
      <w:pPr>
        <w:keepNext/>
        <w:spacing w:line="480" w:lineRule="auto" w:after="0" w:before="0"/>
      </w:pPr>
      <w:r>
        <w:rPr>
          <w:rFonts w:ascii="Times New Roman" w:hAnsi="Times New Roman"/>
          <w:b/>
          <w:i w:val="0"/>
          <w:sz w:val="24"/>
        </w:rPr>
        <w:t>D. Application</w:t>
      </w:r>
    </w:p>
    <w:p>
      <w:pPr>
        <w:spacing w:line="480" w:lineRule="auto" w:after="0" w:before="0"/>
      </w:pPr>
      <w:r>
        <w:rPr>
          <w:rFonts w:ascii="Times New Roman" w:hAnsi="Times New Roman"/>
          <w:b w:val="0"/>
          <w:i w:val="0"/>
          <w:sz w:val="24"/>
        </w:rPr>
        <w:t>Father's last parenting time with Lincoln was July 29, 2025. (R. at Docket Events, 7/29/2025.) As of the filing of this brief, Father and Lincoln have been separated for over 329 consecutive days. During this entire period:</w:t>
      </w:r>
    </w:p>
    <w:p>
      <w:pPr>
        <w:spacing w:line="480" w:lineRule="auto" w:after="0" w:before="0"/>
      </w:pPr>
      <w:r>
        <w:rPr>
          <w:rFonts w:ascii="Times New Roman" w:hAnsi="Times New Roman"/>
          <w:b/>
          <w:i w:val="0"/>
          <w:sz w:val="24"/>
        </w:rPr>
        <w:t>1. No endangerment finding.</w:t>
      </w:r>
      <w:r>
        <w:rPr>
          <w:rFonts w:ascii="Times New Roman" w:hAnsi="Times New Roman"/>
          <w:b w:val="0"/>
          <w:i w:val="0"/>
          <w:sz w:val="24"/>
        </w:rPr>
        <w:t xml:space="preserve"> The trial court has never made a finding, on the record, by clear and convincing evidence, that parenting time with Father would endanger Lincoln's physical, mental, or emotional health. MCL 722.27a(3). The August 8, 2025 ex parte order suspended parenting time without any such finding. The subsequent evidentiary hearings on September 4, October 29, and November 26, 2025, did not produce a written finding that parenting time with Father would endanger the child. (R. at ROA, pp. 5-6.)</w:t>
      </w:r>
    </w:p>
    <w:p>
      <w:pPr>
        <w:spacing w:line="480" w:lineRule="auto" w:after="0" w:before="0"/>
      </w:pPr>
      <w:r>
        <w:rPr>
          <w:rFonts w:ascii="Times New Roman" w:hAnsi="Times New Roman"/>
          <w:b/>
          <w:i w:val="0"/>
          <w:sz w:val="24"/>
        </w:rPr>
        <w:t>2. No clear and convincing evidence standard applied.</w:t>
      </w:r>
      <w:r>
        <w:rPr>
          <w:rFonts w:ascii="Times New Roman" w:hAnsi="Times New Roman"/>
          <w:b w:val="0"/>
          <w:i w:val="0"/>
          <w:sz w:val="24"/>
        </w:rPr>
        <w:t xml:space="preserve"> The record does not reflect that the court applied the "clear and convincing evidence" standard required by MCL 722.27a(1) and (3). The court's reliance on Mother's unsworn allegations and the HealthWest assessments, without conducting the required evidentiary analysis, fails to satisfy this heightened burden.</w:t>
      </w:r>
    </w:p>
    <w:p>
      <w:pPr>
        <w:spacing w:line="480" w:lineRule="auto" w:after="0" w:before="0"/>
      </w:pPr>
      <w:r>
        <w:rPr>
          <w:rFonts w:ascii="Times New Roman" w:hAnsi="Times New Roman"/>
          <w:b/>
          <w:i w:val="0"/>
          <w:sz w:val="24"/>
        </w:rPr>
        <w:t>3. No consideration of alternatives to total suspension.</w:t>
      </w:r>
      <w:r>
        <w:rPr>
          <w:rFonts w:ascii="Times New Roman" w:hAnsi="Times New Roman"/>
          <w:b w:val="0"/>
          <w:i w:val="0"/>
          <w:sz w:val="24"/>
        </w:rPr>
        <w:t xml:space="preserve"> MCL 722.27a(7) permits the court to impose conditions on parenting time, including supervised visitation, therapeutic visitation, restrictions on location or duration, or other reasonable conditions. The trial court imposed no such conditions. Instead, the court opted for the most extreme remedy available, a complete elimination of all contact between Father and child, without considering or addressing less restrictive alternatives. The court never ordered supervised visitation as an intermediate step. The court never ordered therapeutic reunification. The court never imposed conditions that would permit some contact while addressing any legitimate safety concerns.</w:t>
      </w:r>
    </w:p>
    <w:p>
      <w:pPr>
        <w:spacing w:line="480" w:lineRule="auto" w:after="0" w:before="0"/>
      </w:pPr>
      <w:r>
        <w:rPr>
          <w:rFonts w:ascii="Times New Roman" w:hAnsi="Times New Roman"/>
          <w:b/>
          <w:i w:val="0"/>
          <w:sz w:val="24"/>
        </w:rPr>
        <w:t>4. Duration and harm of separation.</w:t>
      </w:r>
      <w:r>
        <w:rPr>
          <w:rFonts w:ascii="Times New Roman" w:hAnsi="Times New Roman"/>
          <w:b w:val="0"/>
          <w:i w:val="0"/>
          <w:sz w:val="24"/>
        </w:rPr>
        <w:t xml:space="preserve"> A 329+ day separation between a father and his young child (born 2022, approximately 3-4 years old at the time of separation) causes profound developmental and psychological harm. At this critical developmental stage, the child's attachment bonds, sense of security, and emotional development are directly impacted by the complete absence of a parent. The longer the separation persists, the more difficult reunification becomes, and the more the separation itself becomes a self-fulfilling justification for continued restriction. Every day that passes deepens the alienation between Father and child.</w:t>
      </w:r>
    </w:p>
    <w:p>
      <w:pPr>
        <w:spacing w:line="480" w:lineRule="auto" w:after="0" w:before="0"/>
      </w:pPr>
      <w:r>
        <w:rPr>
          <w:rFonts w:ascii="Times New Roman" w:hAnsi="Times New Roman"/>
          <w:b w:val="0"/>
          <w:i w:val="0"/>
          <w:sz w:val="24"/>
        </w:rPr>
        <w:t>The record reflects that before the suspension, Lincoln had a bonded relationship with Father, including "clinging to Father" during the October 20, 2024 exchange when Albert Watson forcibly removed the child. (R. at Docket Events, 10/20/2024.) Lincoln would refer to Father with terms of endearment. The child's own behavior demonstrated a desire for continued contact with Father.</w:t>
      </w:r>
    </w:p>
    <w:p>
      <w:pPr>
        <w:spacing w:line="480" w:lineRule="auto" w:after="0" w:before="0"/>
      </w:pPr>
      <w:r>
        <w:rPr>
          <w:rFonts w:ascii="Times New Roman" w:hAnsi="Times New Roman"/>
          <w:b/>
          <w:i w:val="0"/>
          <w:sz w:val="24"/>
        </w:rPr>
        <w:t>5. Withholding pattern predating the court order.</w:t>
      </w:r>
      <w:r>
        <w:rPr>
          <w:rFonts w:ascii="Times New Roman" w:hAnsi="Times New Roman"/>
          <w:b w:val="0"/>
          <w:i w:val="0"/>
          <w:sz w:val="24"/>
        </w:rPr>
        <w:t xml:space="preserve"> The complete suspension since August 2025 is the culmination of a pattern of increasingly extended periods of separation: 37 consecutive days from March 26 through May 2, 2024; 23 consecutive days from October 20 through November 12, 2024; and now 329+ consecutive days beginning July 29, 2025. (R. at Docket Events, passim.) This escalating pattern, largely driven by Mother's conduct and the court's acquiescence, violates the statutory presumption that parenting time is in the child's best interest. MCL 722.27a(1).</w:t>
      </w:r>
    </w:p>
    <w:p>
      <w:pPr>
        <w:spacing w:line="480" w:lineRule="auto" w:after="0" w:before="0"/>
      </w:pPr>
      <w:r>
        <w:rPr>
          <w:rFonts w:ascii="Times New Roman" w:hAnsi="Times New Roman"/>
          <w:b/>
          <w:i w:val="0"/>
          <w:sz w:val="24"/>
        </w:rPr>
        <w:t>6. Mother's conduct under MCL 722.23(j).</w:t>
      </w:r>
      <w:r>
        <w:rPr>
          <w:rFonts w:ascii="Times New Roman" w:hAnsi="Times New Roman"/>
          <w:b w:val="0"/>
          <w:i w:val="0"/>
          <w:sz w:val="24"/>
        </w:rPr>
        <w:t xml:space="preserve"> The trial court's facilitation of the 329+ day separation, without addressing Mother's role in obstructing Father's parenting time, effectively rewards the very conduct that MCL 722.23(j) is designed to penalize. Factor (j) requires the court to consider each parent's "willingness and ability . . . to facilitate and encourage a close and continuing parent-child relationship between the child and the other parent." Mother's pattern of withholding, denial of communication, and filing of ex parte motions to suspend parenting time demonstrates a sustained unwillingness to facilitate the Father-child relationship.</w:t>
      </w:r>
    </w:p>
    <w:p>
      <w:pPr>
        <w:keepNext/>
        <w:spacing w:line="480" w:lineRule="auto" w:after="0" w:before="0"/>
      </w:pPr>
      <w:r>
        <w:rPr>
          <w:rFonts w:ascii="Times New Roman" w:hAnsi="Times New Roman"/>
          <w:b/>
          <w:i w:val="0"/>
          <w:sz w:val="24"/>
        </w:rPr>
        <w:t>E. Conclusion</w:t>
      </w:r>
    </w:p>
    <w:p>
      <w:pPr>
        <w:spacing w:line="480" w:lineRule="auto" w:after="0" w:before="0"/>
      </w:pPr>
      <w:r>
        <w:rPr>
          <w:rFonts w:ascii="Times New Roman" w:hAnsi="Times New Roman"/>
          <w:b w:val="0"/>
          <w:i w:val="0"/>
          <w:sz w:val="24"/>
        </w:rPr>
        <w:t>The trial court abused its discretion by imposing a complete denial of all parenting time for 329+ consecutive days without making the required finding, by clear and convincing evidence, that parenting time would endanger the child. The suspension violates MCL 722.27a(1) and (3), contravenes the statutory presumption favoring parenting time, and ignores available alternatives under MCL 722.27a(7). This Court should order immediate restoration of parenting time, at minimum supervised visitation, pending a proper hearing on remand.</w:t>
      </w:r>
    </w:p>
    <w:p>
      <w:r>
        <w:br w:type="page"/>
      </w:r>
    </w:p>
    <w:p>
      <w:pPr>
        <w:pStyle w:val="Heading2"/>
      </w:pPr>
      <w:r>
        <w:rPr>
          <w:rFonts w:ascii="Times New Roman" w:hAnsi="Times New Roman"/>
        </w:rPr>
        <w:t>RELIEF REQUESTED</w:t>
      </w:r>
    </w:p>
    <w:p>
      <w:pPr>
        <w:spacing w:line="480" w:lineRule="auto" w:after="0" w:before="0"/>
      </w:pPr>
      <w:r>
        <w:rPr>
          <w:rFonts w:ascii="Times New Roman" w:hAnsi="Times New Roman"/>
          <w:b w:val="0"/>
          <w:i w:val="0"/>
          <w:sz w:val="24"/>
        </w:rPr>
        <w:t>WHEREFORE, Plaintiff-Appellant Andrew J. Pigors respectfully requests that this Honorable Court:</w:t>
      </w:r>
    </w:p>
    <w:p>
      <w:pPr>
        <w:spacing w:line="480" w:lineRule="auto" w:after="0" w:before="0"/>
      </w:pPr>
      <w:r>
        <w:rPr>
          <w:rFonts w:ascii="Times New Roman" w:hAnsi="Times New Roman"/>
          <w:b/>
          <w:sz w:val="24"/>
        </w:rPr>
        <w:t xml:space="preserve">1. </w:t>
      </w:r>
      <w:r>
        <w:rPr>
          <w:rFonts w:ascii="Times New Roman" w:hAnsi="Times New Roman"/>
          <w:b/>
          <w:i w:val="0"/>
          <w:sz w:val="24"/>
        </w:rPr>
        <w:t>REVERSE</w:t>
      </w:r>
      <w:r>
        <w:rPr>
          <w:rFonts w:ascii="Times New Roman" w:hAnsi="Times New Roman"/>
          <w:b w:val="0"/>
          <w:i w:val="0"/>
          <w:sz w:val="24"/>
        </w:rPr>
        <w:t xml:space="preserve"> the trial court's August 23, 2024 Final Judgment granting sole legal and sole physical custody to Defendant-Appellee, and </w:t>
      </w:r>
      <w:r>
        <w:rPr>
          <w:rFonts w:ascii="Times New Roman" w:hAnsi="Times New Roman"/>
          <w:b/>
          <w:i w:val="0"/>
          <w:sz w:val="24"/>
        </w:rPr>
        <w:t>REMAND</w:t>
      </w:r>
      <w:r>
        <w:rPr>
          <w:rFonts w:ascii="Times New Roman" w:hAnsi="Times New Roman"/>
          <w:b w:val="0"/>
          <w:i w:val="0"/>
          <w:sz w:val="24"/>
        </w:rPr>
        <w:t xml:space="preserve"> for a de novo custody hearing with proper findings on all twelve MCL 722.23(a)-(l) best interest factors, application of the correct evidentiary standard under MCL 722.27(1)(c), and a threshold determination of the established custodial environment;</w:t>
      </w:r>
    </w:p>
    <w:p>
      <w:pPr>
        <w:spacing w:line="480" w:lineRule="auto" w:after="0" w:before="0"/>
      </w:pPr>
      <w:r>
        <w:rPr>
          <w:rFonts w:ascii="Times New Roman" w:hAnsi="Times New Roman"/>
          <w:b/>
          <w:sz w:val="24"/>
        </w:rPr>
        <w:t xml:space="preserve">2. </w:t>
      </w:r>
      <w:r>
        <w:rPr>
          <w:rFonts w:ascii="Times New Roman" w:hAnsi="Times New Roman"/>
          <w:b/>
          <w:i w:val="0"/>
          <w:sz w:val="24"/>
        </w:rPr>
        <w:t>VACATE</w:t>
      </w:r>
      <w:r>
        <w:rPr>
          <w:rFonts w:ascii="Times New Roman" w:hAnsi="Times New Roman"/>
          <w:b w:val="0"/>
          <w:i w:val="0"/>
          <w:sz w:val="24"/>
        </w:rPr>
        <w:t xml:space="preserve"> the August 8, 2025 ex parte order suspending all parenting time, and </w:t>
      </w:r>
      <w:r>
        <w:rPr>
          <w:rFonts w:ascii="Times New Roman" w:hAnsi="Times New Roman"/>
          <w:b/>
          <w:i w:val="0"/>
          <w:sz w:val="24"/>
        </w:rPr>
        <w:t>ORDER</w:t>
      </w:r>
      <w:r>
        <w:rPr>
          <w:rFonts w:ascii="Times New Roman" w:hAnsi="Times New Roman"/>
          <w:b w:val="0"/>
          <w:i w:val="0"/>
          <w:sz w:val="24"/>
        </w:rPr>
        <w:t xml:space="preserve"> immediate restoration of parenting time, at minimum supervised visitation, pending proceedings on remand;</w:t>
      </w:r>
    </w:p>
    <w:p>
      <w:pPr>
        <w:spacing w:line="480" w:lineRule="auto" w:after="0" w:before="0"/>
      </w:pPr>
      <w:r>
        <w:rPr>
          <w:rFonts w:ascii="Times New Roman" w:hAnsi="Times New Roman"/>
          <w:b/>
          <w:sz w:val="24"/>
        </w:rPr>
        <w:t xml:space="preserve">3. </w:t>
      </w:r>
      <w:r>
        <w:rPr>
          <w:rFonts w:ascii="Times New Roman" w:hAnsi="Times New Roman"/>
          <w:b/>
          <w:i w:val="0"/>
          <w:sz w:val="24"/>
        </w:rPr>
        <w:t>VACATE</w:t>
      </w:r>
      <w:r>
        <w:rPr>
          <w:rFonts w:ascii="Times New Roman" w:hAnsi="Times New Roman"/>
          <w:b w:val="0"/>
          <w:i w:val="0"/>
          <w:sz w:val="24"/>
        </w:rPr>
        <w:t xml:space="preserve"> the May 16, 2025 order imposing a $250-per-motion filing bond as an unconstitutional restriction on access to the courts;</w:t>
      </w:r>
    </w:p>
    <w:p>
      <w:pPr>
        <w:spacing w:line="480" w:lineRule="auto" w:after="0" w:before="0"/>
      </w:pPr>
      <w:r>
        <w:rPr>
          <w:rFonts w:ascii="Times New Roman" w:hAnsi="Times New Roman"/>
          <w:b/>
          <w:sz w:val="24"/>
        </w:rPr>
        <w:t xml:space="preserve">4. </w:t>
      </w:r>
      <w:r>
        <w:rPr>
          <w:rFonts w:ascii="Times New Roman" w:hAnsi="Times New Roman"/>
          <w:b/>
          <w:i w:val="0"/>
          <w:sz w:val="24"/>
        </w:rPr>
        <w:t>ORDER</w:t>
      </w:r>
      <w:r>
        <w:rPr>
          <w:rFonts w:ascii="Times New Roman" w:hAnsi="Times New Roman"/>
          <w:b w:val="0"/>
          <w:i w:val="0"/>
          <w:sz w:val="24"/>
        </w:rPr>
        <w:t xml:space="preserve"> that all proceedings on remand be conducted before a different judge, based on the record demonstrating actual bias or a serious risk of actual bias under MCR 2.003(C)(1);</w:t>
      </w:r>
    </w:p>
    <w:p>
      <w:pPr>
        <w:spacing w:line="480" w:lineRule="auto" w:after="0" w:before="0"/>
      </w:pPr>
      <w:r>
        <w:rPr>
          <w:rFonts w:ascii="Times New Roman" w:hAnsi="Times New Roman"/>
          <w:b/>
          <w:sz w:val="24"/>
        </w:rPr>
        <w:t xml:space="preserve">5. </w:t>
      </w:r>
      <w:r>
        <w:rPr>
          <w:rFonts w:ascii="Times New Roman" w:hAnsi="Times New Roman"/>
          <w:b/>
          <w:i w:val="0"/>
          <w:sz w:val="24"/>
        </w:rPr>
        <w:t>ORDER</w:t>
      </w:r>
      <w:r>
        <w:rPr>
          <w:rFonts w:ascii="Times New Roman" w:hAnsi="Times New Roman"/>
          <w:b w:val="0"/>
          <w:i w:val="0"/>
          <w:sz w:val="24"/>
        </w:rPr>
        <w:t xml:space="preserve"> a comprehensive best interest evaluation under MCL 722.23 by a qualified, independent evaluator before any custody or parenting time determination is made on remand;</w:t>
      </w:r>
    </w:p>
    <w:p>
      <w:pPr>
        <w:spacing w:line="480" w:lineRule="auto" w:after="0" w:before="0"/>
      </w:pPr>
      <w:r>
        <w:rPr>
          <w:rFonts w:ascii="Times New Roman" w:hAnsi="Times New Roman"/>
          <w:b/>
          <w:sz w:val="24"/>
        </w:rPr>
        <w:t xml:space="preserve">6.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 and</w:t>
      </w:r>
    </w:p>
    <w:p>
      <w:pPr>
        <w:spacing w:line="480" w:lineRule="auto" w:after="0" w:before="0"/>
      </w:pPr>
      <w:r>
        <w:rPr>
          <w:rFonts w:ascii="Times New Roman" w:hAnsi="Times New Roman"/>
          <w:b/>
          <w:sz w:val="24"/>
        </w:rPr>
        <w:t xml:space="preserve">7. </w:t>
      </w:r>
      <w:r>
        <w:rPr>
          <w:rFonts w:ascii="Times New Roman" w:hAnsi="Times New Roman"/>
          <w:b/>
          <w:i w:val="0"/>
          <w:sz w:val="24"/>
        </w:rPr>
        <w:t>EXPEDITE</w:t>
      </w:r>
      <w:r>
        <w:rPr>
          <w:rFonts w:ascii="Times New Roman" w:hAnsi="Times New Roman"/>
          <w:b w:val="0"/>
          <w:i w:val="0"/>
          <w:sz w:val="24"/>
        </w:rPr>
        <w:t xml:space="preserve"> consideration of this appeal pursuant to MCR 7.212(A)(1)(a)(i), as this case involves a contest as to the custody of a minor child and the child has been separated from a parent for over 329 days.</w:t>
      </w:r>
    </w:p>
    <w:p>
      <w:r>
        <w:br w:type="page"/>
      </w:r>
    </w:p>
    <w:p>
      <w:pPr>
        <w:pStyle w:val="Heading2"/>
      </w:pPr>
      <w:r>
        <w:rPr>
          <w:rFonts w:ascii="Times New Roman" w:hAnsi="Times New Roman"/>
        </w:rPr>
        <w:t>SIGNATURE BLOCK</w:t>
      </w:r>
    </w:p>
    <w:p>
      <w:pPr>
        <w:spacing w:line="480" w:lineRule="auto" w:after="0" w:before="0"/>
      </w:pPr>
      <w:r>
        <w:rPr>
          <w:rFonts w:ascii="Times New Roman" w:hAnsi="Times New Roman"/>
          <w:b w:val="0"/>
          <w:i w:val="0"/>
          <w:sz w:val="24"/>
        </w:rPr>
        <w:t>Respectfully submitted,</w:t>
      </w:r>
    </w:p>
    <w:p>
      <w:pPr>
        <w:spacing w:line="480" w:lineRule="auto" w:after="0" w:before="0"/>
      </w:pPr>
      <w:r>
        <w:rPr>
          <w:rFonts w:ascii="Times New Roman" w:hAnsi="Times New Roman"/>
          <w:b w:val="0"/>
          <w:i w:val="0"/>
          <w:sz w:val="24"/>
        </w:rPr>
        <w:t xml:space="preserve">/s/ Andrew J. Pigors </w:t>
      </w:r>
      <w:r>
        <w:rPr>
          <w:rFonts w:ascii="Times New Roman" w:hAnsi="Times New Roman"/>
          <w:b/>
          <w:i w:val="0"/>
          <w:sz w:val="24"/>
        </w:rPr>
        <w:t>ANDREW J. PIGORS</w:t>
      </w:r>
      <w:r>
        <w:rPr>
          <w:rFonts w:ascii="Times New Roman" w:hAnsi="Times New Roman"/>
          <w:b w:val="0"/>
          <w:i w:val="0"/>
          <w:sz w:val="24"/>
        </w:rPr>
        <w:t xml:space="preserve"> Plaintiff-Appellant, </w:t>
      </w:r>
      <w:r>
        <w:rPr>
          <w:rFonts w:ascii="Times New Roman" w:hAnsi="Times New Roman"/>
          <w:b w:val="0"/>
          <w:i/>
          <w:sz w:val="24"/>
        </w:rPr>
        <w:t>Pro Se</w:t>
      </w:r>
      <w:r>
        <w:rPr>
          <w:rFonts w:ascii="Times New Roman" w:hAnsi="Times New Roman"/>
          <w:b w:val="0"/>
          <w:i w:val="0"/>
          <w:sz w:val="24"/>
        </w:rPr>
        <w:t xml:space="preserve"> 1977 Whitehall Rd, Lot 17 Muskegon, MI 49445 Phone: (231) 206-4265 Email: andrewjpigors@gmail.com</w:t>
      </w:r>
    </w:p>
    <w:p>
      <w:pPr>
        <w:spacing w:line="480" w:lineRule="auto" w:after="0" w:before="0"/>
      </w:pPr>
      <w:r>
        <w:rPr>
          <w:rFonts w:ascii="Times New Roman" w:hAnsi="Times New Roman"/>
          <w:b w:val="0"/>
          <w:i w:val="0"/>
          <w:sz w:val="24"/>
        </w:rPr>
        <w:t>Dated: April 15, 2026</w:t>
      </w:r>
    </w:p>
    <w:p>
      <w:r>
        <w:br w:type="page"/>
      </w:r>
    </w:p>
    <w:p>
      <w:pPr>
        <w:pStyle w:val="Heading2"/>
      </w:pPr>
      <w:r>
        <w:rPr>
          <w:rFonts w:ascii="Times New Roman" w:hAnsi="Times New Roman"/>
        </w:rPr>
        <w:t>CERTIFICATE OF COMPLIANCE</w:t>
      </w:r>
    </w:p>
    <w:p>
      <w:pPr>
        <w:spacing w:line="480" w:lineRule="auto" w:after="0" w:before="0"/>
      </w:pPr>
      <w:r>
        <w:rPr>
          <w:rFonts w:ascii="Times New Roman" w:hAnsi="Times New Roman"/>
          <w:b w:val="0"/>
          <w:i w:val="0"/>
          <w:sz w:val="24"/>
        </w:rPr>
        <w:t>I hereby certify that this brief complies with the formatting and length requirements of MCR 7.212(B). This brief was prepared using a proportional-serif typeface (Times New Roman equivalent) in 12-point font with 1-inch margins and 1.5-line-spaced body text.</w:t>
      </w:r>
    </w:p>
    <w:p>
      <w:pPr>
        <w:spacing w:line="480" w:lineRule="auto" w:after="0" w:before="0"/>
      </w:pPr>
      <w:r>
        <w:rPr>
          <w:rFonts w:ascii="Times New Roman" w:hAnsi="Times New Roman"/>
          <w:b w:val="0"/>
          <w:i w:val="0"/>
          <w:sz w:val="24"/>
        </w:rPr>
        <w:t xml:space="preserve">This brief contains </w:t>
      </w:r>
      <w:r>
        <w:rPr>
          <w:rFonts w:ascii="Times New Roman" w:hAnsi="Times New Roman"/>
          <w:b/>
          <w:i w:val="0"/>
          <w:sz w:val="24"/>
        </w:rPr>
        <w:t>7,457</w:t>
      </w:r>
      <w:r>
        <w:rPr>
          <w:rFonts w:ascii="Times New Roman" w:hAnsi="Times New Roman"/>
          <w:b w:val="0"/>
          <w:i w:val="0"/>
          <w:sz w:val="24"/>
        </w:rPr>
        <w:t xml:space="preserve"> countable words as measured by the word-processing system used to prepare it. Pursuant to MCR 7.212(B)(2), only the Statement of Facts, Arguments, and Relief Requested sections are included in this count. This brief complies with the 16,000-word limit prescribed by MCR 7.212(B)(1).</w:t>
      </w:r>
    </w:p>
    <w:p>
      <w:pPr>
        <w:spacing w:line="480" w:lineRule="auto" w:after="0" w:before="0"/>
      </w:pPr>
      <w:r>
        <w:rPr>
          <w:rFonts w:ascii="Times New Roman" w:hAnsi="Times New Roman"/>
          <w:b w:val="0"/>
          <w:i w:val="0"/>
          <w:sz w:val="24"/>
        </w:rPr>
        <w:t xml:space="preserve">/s/ Andrew J. Pigors Andrew J. Pigors Plaintiff-Appellant, </w:t>
      </w:r>
      <w:r>
        <w:rPr>
          <w:rFonts w:ascii="Times New Roman" w:hAnsi="Times New Roman"/>
          <w:b w:val="0"/>
          <w:i/>
          <w:sz w:val="24"/>
        </w:rPr>
        <w:t>Pro Se</w:t>
      </w:r>
    </w:p>
    <w:p>
      <w:pPr>
        <w:spacing w:line="480" w:lineRule="auto" w:after="0" w:before="0"/>
      </w:pPr>
      <w:r>
        <w:rPr>
          <w:rFonts w:ascii="Times New Roman" w:hAnsi="Times New Roman"/>
          <w:b w:val="0"/>
          <w:i w:val="0"/>
          <w:sz w:val="24"/>
        </w:rPr>
        <w:t>Dated: April 15, 2026</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April 15, 2026, I served a true and correct copy of the foregoing APPELLANT'S BRIEF upon the following by first-class United States mail, postage prepaid, and/or by electronic service as permitted:</w:t>
      </w:r>
    </w:p>
    <w:p>
      <w:pPr>
        <w:spacing w:line="480" w:lineRule="auto" w:after="0" w:before="0"/>
      </w:pPr>
      <w:r>
        <w:rPr>
          <w:rFonts w:ascii="Times New Roman" w:hAnsi="Times New Roman"/>
          <w:b/>
          <w:i w:val="0"/>
          <w:sz w:val="24"/>
        </w:rPr>
        <w:t>Tiffany Watson (fka Pigors)</w:t>
      </w:r>
      <w:r>
        <w:rPr>
          <w:rFonts w:ascii="Times New Roman" w:hAnsi="Times New Roman"/>
          <w:b w:val="0"/>
          <w:i w:val="0"/>
          <w:sz w:val="24"/>
        </w:rPr>
        <w:t xml:space="preserve"> Defendant-Appellee [Address on file with Court]</w:t>
      </w:r>
    </w:p>
    <w:p>
      <w:pPr>
        <w:spacing w:line="480" w:lineRule="auto" w:after="0" w:before="0"/>
      </w:pPr>
      <w:r>
        <w:rPr>
          <w:rFonts w:ascii="Times New Roman" w:hAnsi="Times New Roman"/>
          <w:b/>
          <w:i w:val="0"/>
          <w:sz w:val="24"/>
        </w:rPr>
        <w:t>Jennifer Barnes (P55406)</w:t>
      </w:r>
      <w:r>
        <w:rPr>
          <w:rFonts w:ascii="Times New Roman" w:hAnsi="Times New Roman"/>
          <w:b w:val="0"/>
          <w:i w:val="0"/>
          <w:sz w:val="24"/>
        </w:rPr>
        <w:t xml:space="preserve"> Attorney for Defendant-Appellee [Address on file with Court]</w:t>
      </w:r>
    </w:p>
    <w:p>
      <w:pPr>
        <w:spacing w:line="480" w:lineRule="auto" w:after="0" w:before="0"/>
      </w:pPr>
      <w:r>
        <w:rPr>
          <w:rFonts w:ascii="Times New Roman" w:hAnsi="Times New Roman"/>
          <w:b/>
          <w:i w:val="0"/>
          <w:sz w:val="24"/>
        </w:rPr>
        <w:t>Clerk of the Court</w:t>
      </w:r>
      <w:r>
        <w:rPr>
          <w:rFonts w:ascii="Times New Roman" w:hAnsi="Times New Roman"/>
          <w:b w:val="0"/>
          <w:i w:val="0"/>
          <w:sz w:val="24"/>
        </w:rPr>
        <w:t xml:space="preserve"> 14th Circuit Court, Muskegon County 990 Terrace Street Muskegon, MI 49442</w:t>
      </w:r>
    </w:p>
    <w:p>
      <w:pPr>
        <w:spacing w:line="480" w:lineRule="auto" w:after="0" w:before="0"/>
      </w:pPr>
      <w:r>
        <w:rPr>
          <w:rFonts w:ascii="Times New Roman" w:hAnsi="Times New Roman"/>
          <w:b w:val="0"/>
          <w:i w:val="0"/>
          <w:sz w:val="24"/>
        </w:rPr>
        <w:t xml:space="preserve">/s/ Andrew J. Pigors Andrew J. Pigors Plaintiff-Appellant, </w:t>
      </w:r>
      <w:r>
        <w:rPr>
          <w:rFonts w:ascii="Times New Roman" w:hAnsi="Times New Roman"/>
          <w:b w:val="0"/>
          <w:i/>
          <w:sz w:val="24"/>
        </w:rPr>
        <w:t>Pro Se</w:t>
      </w:r>
    </w:p>
    <w:p>
      <w:pPr>
        <w:spacing w:line="480" w:lineRule="auto" w:after="0" w:before="0"/>
      </w:pPr>
      <w:r>
        <w:rPr>
          <w:rFonts w:ascii="Times New Roman" w:hAnsi="Times New Roman"/>
          <w:b w:val="0"/>
          <w:i w:val="0"/>
          <w:sz w:val="24"/>
        </w:rPr>
        <w:t>Dated: April 15,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