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pPr>
      <w:r>
        <w:rPr>
          <w:rFonts w:ascii="Times New Roman" w:hAnsi="Times New Roman"/>
          <w:b w:val="0"/>
          <w:i w:val="0"/>
          <w:sz w:val="24"/>
        </w:rPr>
        <w:t># APPELLANT'S BRIEF ON APPEAL</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val="0"/>
          <w:i w:val="0"/>
          <w:sz w:val="24"/>
        </w:rPr>
        <w:t>## STATE OF MICHIGAN</w:t>
      </w:r>
    </w:p>
    <w:p>
      <w:pPr>
        <w:spacing w:line="240" w:lineRule="auto" w:after="0" w:before="0"/>
        <w:jc w:val="center"/>
      </w:pPr>
      <w:r>
        <w:rPr>
          <w:rFonts w:ascii="Times New Roman" w:hAnsi="Times New Roman"/>
          <w:b/>
          <w:i w:val="0"/>
          <w:sz w:val="24"/>
        </w:rPr>
        <w:t>## IN THE COURT OF APPEALS</w:t>
      </w:r>
    </w:p>
    <w:p>
      <w:r>
        <w:br w:type="page"/>
      </w:r>
    </w:p>
    <w:p>
      <w:pPr>
        <w:spacing w:line="480" w:lineRule="auto" w:after="0" w:before="0"/>
      </w:pPr>
      <w:r>
        <w:rPr>
          <w:rFonts w:ascii="Times New Roman" w:hAnsi="Times New Roman"/>
          <w:b/>
          <w:i w:val="0"/>
          <w:sz w:val="24"/>
        </w:rPr>
        <w:t>ANDREW PIGORS,</w:t>
      </w:r>
      <w:r>
        <w:rPr>
          <w:rFonts w:ascii="Times New Roman" w:hAnsi="Times New Roman"/>
          <w:b w:val="0"/>
          <w:i w:val="0"/>
          <w:sz w:val="24"/>
        </w:rPr>
        <w:t xml:space="preserve"> </w:t>
      </w:r>
      <w:r>
        <w:rPr>
          <w:rFonts w:ascii="Times New Roman" w:hAnsi="Times New Roman"/>
          <w:b w:val="0"/>
          <w:i/>
          <w:sz w:val="24"/>
        </w:rPr>
        <w:t>Plaintiff-Appellant,</w:t>
      </w:r>
    </w:p>
    <w:p>
      <w:pPr>
        <w:spacing w:line="480" w:lineRule="auto" w:after="0" w:before="0"/>
      </w:pPr>
      <w:r>
        <w:rPr>
          <w:rFonts w:ascii="Times New Roman" w:hAnsi="Times New Roman"/>
          <w:b w:val="0"/>
          <w:i w:val="0"/>
          <w:sz w:val="24"/>
        </w:rPr>
        <w:t xml:space="preserve">v.                                                          COA Docket No. 366810 LC Case No. 2024-001507-DC </w:t>
      </w:r>
      <w:r>
        <w:rPr>
          <w:rFonts w:ascii="Times New Roman" w:hAnsi="Times New Roman"/>
          <w:b/>
          <w:i w:val="0"/>
          <w:sz w:val="24"/>
        </w:rPr>
        <w:t>TIFFANY WATSON (fka PIGORS),</w:t>
      </w:r>
      <w:r>
        <w:rPr>
          <w:rFonts w:ascii="Times New Roman" w:hAnsi="Times New Roman"/>
          <w:b w:val="0"/>
          <w:i w:val="0"/>
          <w:sz w:val="24"/>
        </w:rPr>
        <w:t xml:space="preserve"> </w:t>
      </w:r>
      <w:r>
        <w:rPr>
          <w:rFonts w:ascii="Times New Roman" w:hAnsi="Times New Roman"/>
          <w:b w:val="0"/>
          <w:i/>
          <w:sz w:val="24"/>
        </w:rPr>
        <w:t>Defendant-Appellee.</w:t>
      </w:r>
    </w:p>
    <w:p>
      <w:r>
        <w:br w:type="page"/>
      </w:r>
    </w:p>
    <w:p>
      <w:pPr>
        <w:spacing w:line="480" w:lineRule="auto" w:after="0" w:before="0"/>
      </w:pPr>
      <w:r>
        <w:rPr>
          <w:rFonts w:ascii="Times New Roman" w:hAnsi="Times New Roman"/>
          <w:b/>
          <w:i w:val="0"/>
          <w:sz w:val="24"/>
        </w:rPr>
        <w:t>APPELLANT'S BRIEF ON APPEAL</w:t>
      </w:r>
    </w:p>
    <w:p>
      <w:r>
        <w:br w:type="page"/>
      </w:r>
    </w:p>
    <w:p>
      <w:pPr>
        <w:spacing w:line="480" w:lineRule="auto" w:after="0" w:before="0"/>
      </w:pPr>
      <w:r>
        <w:rPr>
          <w:rFonts w:ascii="Times New Roman" w:hAnsi="Times New Roman"/>
          <w:b/>
          <w:i w:val="0"/>
          <w:sz w:val="24"/>
        </w:rPr>
        <w:t>Andrew Pigors, Pro Se</w:t>
      </w:r>
      <w:r>
        <w:rPr>
          <w:rFonts w:ascii="Times New Roman" w:hAnsi="Times New Roman"/>
          <w:b w:val="0"/>
          <w:i w:val="0"/>
          <w:sz w:val="24"/>
        </w:rPr>
        <w:t xml:space="preserve"> Plaintiff-Appellant 1423 W. Norton Ave, Norton Shores, Michigan 49441 Phone: 231-260-1936 Email: andrewjpigors@gmail.com</w:t>
      </w:r>
    </w:p>
    <w:p>
      <w:r>
        <w:br w:type="page"/>
      </w:r>
    </w:p>
    <w:p>
      <w:pPr>
        <w:pStyle w:val="Heading2"/>
      </w:pPr>
      <w:r>
        <w:rPr>
          <w:rFonts w:ascii="Times New Roman" w:hAnsi="Times New Roman"/>
        </w:rPr>
        <w:t>TABLE OF CONTENTS</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Section</w:t>
            </w:r>
          </w:p>
        </w:tc>
        <w:tc>
          <w:tcPr>
            <w:tcW w:type="dxa" w:w="4680"/>
          </w:tcPr>
          <w:p>
            <w:pPr>
              <w:spacing w:line="240" w:lineRule="auto"/>
            </w:pPr>
            <w:r/>
            <w:r>
              <w:rPr>
                <w:rFonts w:ascii="Times New Roman" w:hAnsi="Times New Roman"/>
                <w:b/>
                <w:sz w:val="24"/>
              </w:rPr>
              <w:t>Page</w:t>
            </w:r>
          </w:p>
        </w:tc>
      </w:tr>
      <w:tr>
        <w:tc>
          <w:tcPr>
            <w:tcW w:type="dxa" w:w="4680"/>
          </w:tcPr>
          <w:p>
            <w:pPr>
              <w:spacing w:line="240" w:lineRule="auto"/>
            </w:pPr>
            <w:r/>
            <w:r>
              <w:rPr>
                <w:rFonts w:ascii="Times New Roman" w:hAnsi="Times New Roman"/>
                <w:b w:val="0"/>
                <w:i w:val="0"/>
                <w:sz w:val="24"/>
              </w:rPr>
              <w:t>Table of Authorities</w:t>
            </w:r>
          </w:p>
        </w:tc>
        <w:tc>
          <w:tcPr>
            <w:tcW w:type="dxa" w:w="4680"/>
          </w:tcPr>
          <w:p>
            <w:pPr>
              <w:spacing w:line="240" w:lineRule="auto"/>
            </w:pPr>
            <w:r/>
            <w:r>
              <w:rPr>
                <w:rFonts w:ascii="Times New Roman" w:hAnsi="Times New Roman"/>
                <w:b w:val="0"/>
                <w:i w:val="0"/>
                <w:sz w:val="24"/>
              </w:rPr>
              <w:t>ii</w:t>
            </w:r>
          </w:p>
        </w:tc>
      </w:tr>
      <w:tr>
        <w:tc>
          <w:tcPr>
            <w:tcW w:type="dxa" w:w="4680"/>
          </w:tcPr>
          <w:p>
            <w:pPr>
              <w:spacing w:line="240" w:lineRule="auto"/>
            </w:pPr>
            <w:r/>
            <w:r>
              <w:rPr>
                <w:rFonts w:ascii="Times New Roman" w:hAnsi="Times New Roman"/>
                <w:b w:val="0"/>
                <w:i w:val="0"/>
                <w:sz w:val="24"/>
              </w:rPr>
              <w:t>Statement of Jurisdiction</w:t>
            </w:r>
          </w:p>
        </w:tc>
        <w:tc>
          <w:tcPr>
            <w:tcW w:type="dxa" w:w="4680"/>
          </w:tcPr>
          <w:p>
            <w:pPr>
              <w:spacing w:line="240" w:lineRule="auto"/>
            </w:pPr>
            <w:r/>
            <w:r>
              <w:rPr>
                <w:rFonts w:ascii="Times New Roman" w:hAnsi="Times New Roman"/>
                <w:b w:val="0"/>
                <w:i w:val="0"/>
                <w:sz w:val="24"/>
              </w:rPr>
              <w:t>1</w:t>
            </w:r>
          </w:p>
        </w:tc>
      </w:tr>
      <w:tr>
        <w:tc>
          <w:tcPr>
            <w:tcW w:type="dxa" w:w="4680"/>
          </w:tcPr>
          <w:p>
            <w:pPr>
              <w:spacing w:line="240" w:lineRule="auto"/>
            </w:pPr>
            <w:r/>
            <w:r>
              <w:rPr>
                <w:rFonts w:ascii="Times New Roman" w:hAnsi="Times New Roman"/>
                <w:b w:val="0"/>
                <w:i w:val="0"/>
                <w:sz w:val="24"/>
              </w:rPr>
              <w:t>Statement of Questions Presented</w:t>
            </w:r>
          </w:p>
        </w:tc>
        <w:tc>
          <w:tcPr>
            <w:tcW w:type="dxa" w:w="4680"/>
          </w:tcPr>
          <w:p>
            <w:pPr>
              <w:spacing w:line="240" w:lineRule="auto"/>
            </w:pPr>
            <w:r/>
            <w:r>
              <w:rPr>
                <w:rFonts w:ascii="Times New Roman" w:hAnsi="Times New Roman"/>
                <w:b w:val="0"/>
                <w:i w:val="0"/>
                <w:sz w:val="24"/>
              </w:rPr>
              <w:t>1</w:t>
            </w:r>
          </w:p>
        </w:tc>
      </w:tr>
      <w:tr>
        <w:tc>
          <w:tcPr>
            <w:tcW w:type="dxa" w:w="4680"/>
          </w:tcPr>
          <w:p>
            <w:pPr>
              <w:spacing w:line="240" w:lineRule="auto"/>
            </w:pPr>
            <w:r/>
            <w:r>
              <w:rPr>
                <w:rFonts w:ascii="Times New Roman" w:hAnsi="Times New Roman"/>
                <w:b w:val="0"/>
                <w:i w:val="0"/>
                <w:sz w:val="24"/>
              </w:rPr>
              <w:t>Statement of Facts</w:t>
            </w:r>
          </w:p>
        </w:tc>
        <w:tc>
          <w:tcPr>
            <w:tcW w:type="dxa" w:w="4680"/>
          </w:tcPr>
          <w:p>
            <w:pPr>
              <w:spacing w:line="240" w:lineRule="auto"/>
            </w:pPr>
            <w:r/>
            <w:r>
              <w:rPr>
                <w:rFonts w:ascii="Times New Roman" w:hAnsi="Times New Roman"/>
                <w:b w:val="0"/>
                <w:i w:val="0"/>
                <w:sz w:val="24"/>
              </w:rPr>
              <w:t>3</w:t>
            </w:r>
          </w:p>
        </w:tc>
      </w:tr>
      <w:tr>
        <w:tc>
          <w:tcPr>
            <w:tcW w:type="dxa" w:w="4680"/>
          </w:tcPr>
          <w:p>
            <w:pPr>
              <w:spacing w:line="240" w:lineRule="auto"/>
            </w:pPr>
            <w:r/>
            <w:r>
              <w:rPr>
                <w:rFonts w:ascii="Times New Roman" w:hAnsi="Times New Roman"/>
                <w:b w:val="0"/>
                <w:i w:val="0"/>
                <w:sz w:val="24"/>
              </w:rPr>
              <w:t>Standard of Review</w:t>
            </w:r>
          </w:p>
        </w:tc>
        <w:tc>
          <w:tcPr>
            <w:tcW w:type="dxa" w:w="4680"/>
          </w:tcPr>
          <w:p>
            <w:pPr>
              <w:spacing w:line="240" w:lineRule="auto"/>
            </w:pPr>
            <w:r/>
            <w:r>
              <w:rPr>
                <w:rFonts w:ascii="Times New Roman" w:hAnsi="Times New Roman"/>
                <w:b w:val="0"/>
                <w:i w:val="0"/>
                <w:sz w:val="24"/>
              </w:rPr>
              <w:t>6</w:t>
            </w:r>
          </w:p>
        </w:tc>
      </w:tr>
      <w:tr>
        <w:tc>
          <w:tcPr>
            <w:tcW w:type="dxa" w:w="4680"/>
          </w:tcPr>
          <w:p>
            <w:pPr>
              <w:spacing w:line="240" w:lineRule="auto"/>
            </w:pPr>
            <w:r/>
            <w:r>
              <w:rPr>
                <w:rFonts w:ascii="Times New Roman" w:hAnsi="Times New Roman"/>
                <w:b w:val="0"/>
                <w:i w:val="0"/>
                <w:sz w:val="24"/>
              </w:rPr>
              <w:t>Argument</w:t>
            </w:r>
          </w:p>
        </w:tc>
        <w:tc>
          <w:tcPr>
            <w:tcW w:type="dxa" w:w="4680"/>
          </w:tcPr>
          <w:p>
            <w:pPr>
              <w:spacing w:line="240" w:lineRule="auto"/>
            </w:pPr>
            <w:r/>
            <w:r>
              <w:rPr>
                <w:rFonts w:ascii="Times New Roman" w:hAnsi="Times New Roman"/>
                <w:b w:val="0"/>
                <w:i w:val="0"/>
                <w:sz w:val="24"/>
              </w:rPr>
              <w:t>7</w:t>
            </w:r>
          </w:p>
        </w:tc>
      </w:tr>
      <w:tr>
        <w:tc>
          <w:tcPr>
            <w:tcW w:type="dxa" w:w="4680"/>
          </w:tcPr>
          <w:p>
            <w:pPr>
              <w:spacing w:line="240" w:lineRule="auto"/>
            </w:pPr>
            <w:r/>
            <w:r>
              <w:rPr>
                <w:rFonts w:ascii="Times New Roman" w:hAnsi="Times New Roman"/>
                <w:b w:val="0"/>
                <w:i w:val="0"/>
                <w:sz w:val="24"/>
              </w:rPr>
              <w:t>I. The Trial Court Committed Plain Error by Suspending Parenting Time Ex Parte Without MCR 3.207(B) Compliance</w:t>
            </w:r>
          </w:p>
        </w:tc>
        <w:tc>
          <w:tcPr>
            <w:tcW w:type="dxa" w:w="4680"/>
          </w:tcPr>
          <w:p>
            <w:pPr>
              <w:spacing w:line="240" w:lineRule="auto"/>
            </w:pPr>
            <w:r/>
            <w:r>
              <w:rPr>
                <w:rFonts w:ascii="Times New Roman" w:hAnsi="Times New Roman"/>
                <w:b w:val="0"/>
                <w:i w:val="0"/>
                <w:sz w:val="24"/>
              </w:rPr>
              <w:t>7</w:t>
            </w:r>
          </w:p>
        </w:tc>
      </w:tr>
      <w:tr>
        <w:tc>
          <w:tcPr>
            <w:tcW w:type="dxa" w:w="4680"/>
          </w:tcPr>
          <w:p>
            <w:pPr>
              <w:spacing w:line="240" w:lineRule="auto"/>
            </w:pPr>
            <w:r/>
            <w:r>
              <w:rPr>
                <w:rFonts w:ascii="Times New Roman" w:hAnsi="Times New Roman"/>
                <w:b w:val="0"/>
                <w:i w:val="0"/>
                <w:sz w:val="24"/>
              </w:rPr>
              <w:t>II. The Trial Court Committed Plain Error by Failing to Apply the Best Interest Factors</w:t>
            </w:r>
          </w:p>
        </w:tc>
        <w:tc>
          <w:tcPr>
            <w:tcW w:type="dxa" w:w="4680"/>
          </w:tcPr>
          <w:p>
            <w:pPr>
              <w:spacing w:line="240" w:lineRule="auto"/>
            </w:pPr>
            <w:r/>
            <w:r>
              <w:rPr>
                <w:rFonts w:ascii="Times New Roman" w:hAnsi="Times New Roman"/>
                <w:b w:val="0"/>
                <w:i w:val="0"/>
                <w:sz w:val="24"/>
              </w:rPr>
              <w:t>10</w:t>
            </w:r>
          </w:p>
        </w:tc>
      </w:tr>
      <w:tr>
        <w:tc>
          <w:tcPr>
            <w:tcW w:type="dxa" w:w="4680"/>
          </w:tcPr>
          <w:p>
            <w:pPr>
              <w:spacing w:line="240" w:lineRule="auto"/>
            </w:pPr>
            <w:r/>
            <w:r>
              <w:rPr>
                <w:rFonts w:ascii="Times New Roman" w:hAnsi="Times New Roman"/>
                <w:b w:val="0"/>
                <w:i w:val="0"/>
                <w:sz w:val="24"/>
              </w:rPr>
              <w:t>III. The Trial Court Committed Plain Error by Denying Due Process</w:t>
            </w:r>
          </w:p>
        </w:tc>
        <w:tc>
          <w:tcPr>
            <w:tcW w:type="dxa" w:w="4680"/>
          </w:tcPr>
          <w:p>
            <w:pPr>
              <w:spacing w:line="240" w:lineRule="auto"/>
            </w:pPr>
            <w:r/>
            <w:r>
              <w:rPr>
                <w:rFonts w:ascii="Times New Roman" w:hAnsi="Times New Roman"/>
                <w:b w:val="0"/>
                <w:i w:val="0"/>
                <w:sz w:val="24"/>
              </w:rPr>
              <w:t>13</w:t>
            </w:r>
          </w:p>
        </w:tc>
      </w:tr>
      <w:tr>
        <w:tc>
          <w:tcPr>
            <w:tcW w:type="dxa" w:w="4680"/>
          </w:tcPr>
          <w:p>
            <w:pPr>
              <w:spacing w:line="240" w:lineRule="auto"/>
            </w:pPr>
            <w:r/>
            <w:r>
              <w:rPr>
                <w:rFonts w:ascii="Times New Roman" w:hAnsi="Times New Roman"/>
                <w:b w:val="0"/>
                <w:i w:val="0"/>
                <w:sz w:val="24"/>
              </w:rPr>
              <w:t>IV. The Trial Court's Pattern of Conduct Demonstrates Bias Requiring Disqualification</w:t>
            </w:r>
          </w:p>
        </w:tc>
        <w:tc>
          <w:tcPr>
            <w:tcW w:type="dxa" w:w="4680"/>
          </w:tcPr>
          <w:p>
            <w:pPr>
              <w:spacing w:line="240" w:lineRule="auto"/>
            </w:pPr>
            <w:r/>
            <w:r>
              <w:rPr>
                <w:rFonts w:ascii="Times New Roman" w:hAnsi="Times New Roman"/>
                <w:b w:val="0"/>
                <w:i w:val="0"/>
                <w:sz w:val="24"/>
              </w:rPr>
              <w:t>16</w:t>
            </w:r>
          </w:p>
        </w:tc>
      </w:tr>
      <w:tr>
        <w:tc>
          <w:tcPr>
            <w:tcW w:type="dxa" w:w="4680"/>
          </w:tcPr>
          <w:p>
            <w:pPr>
              <w:spacing w:line="240" w:lineRule="auto"/>
            </w:pPr>
            <w:r/>
            <w:r>
              <w:rPr>
                <w:rFonts w:ascii="Times New Roman" w:hAnsi="Times New Roman"/>
                <w:b w:val="0"/>
                <w:i w:val="0"/>
                <w:sz w:val="24"/>
              </w:rPr>
              <w:t>V. The Ex Parte Communications Violated Canon 3(A)(4) and Tainted All Subsequent Orders</w:t>
            </w:r>
          </w:p>
        </w:tc>
        <w:tc>
          <w:tcPr>
            <w:tcW w:type="dxa" w:w="4680"/>
          </w:tcPr>
          <w:p>
            <w:pPr>
              <w:spacing w:line="240" w:lineRule="auto"/>
            </w:pPr>
            <w:r/>
            <w:r>
              <w:rPr>
                <w:rFonts w:ascii="Times New Roman" w:hAnsi="Times New Roman"/>
                <w:b w:val="0"/>
                <w:i w:val="0"/>
                <w:sz w:val="24"/>
              </w:rPr>
              <w:t>19</w:t>
            </w:r>
          </w:p>
        </w:tc>
      </w:tr>
      <w:tr>
        <w:tc>
          <w:tcPr>
            <w:tcW w:type="dxa" w:w="4680"/>
          </w:tcPr>
          <w:p>
            <w:pPr>
              <w:spacing w:line="240" w:lineRule="auto"/>
            </w:pPr>
            <w:r/>
            <w:r>
              <w:rPr>
                <w:rFonts w:ascii="Times New Roman" w:hAnsi="Times New Roman"/>
                <w:b w:val="0"/>
                <w:i w:val="0"/>
                <w:sz w:val="24"/>
              </w:rPr>
              <w:t>Relief Requested</w:t>
            </w:r>
          </w:p>
        </w:tc>
        <w:tc>
          <w:tcPr>
            <w:tcW w:type="dxa" w:w="4680"/>
          </w:tcPr>
          <w:p>
            <w:pPr>
              <w:spacing w:line="240" w:lineRule="auto"/>
            </w:pPr>
            <w:r/>
            <w:r>
              <w:rPr>
                <w:rFonts w:ascii="Times New Roman" w:hAnsi="Times New Roman"/>
                <w:b w:val="0"/>
                <w:i w:val="0"/>
                <w:sz w:val="24"/>
              </w:rPr>
              <w:t>22</w:t>
            </w:r>
          </w:p>
        </w:tc>
      </w:tr>
      <w:tr>
        <w:tc>
          <w:tcPr>
            <w:tcW w:type="dxa" w:w="4680"/>
          </w:tcPr>
          <w:p>
            <w:pPr>
              <w:spacing w:line="240" w:lineRule="auto"/>
            </w:pPr>
            <w:r/>
            <w:r>
              <w:rPr>
                <w:rFonts w:ascii="Times New Roman" w:hAnsi="Times New Roman"/>
                <w:b w:val="0"/>
                <w:i w:val="0"/>
                <w:sz w:val="24"/>
              </w:rPr>
              <w:t>Certificate of Service</w:t>
            </w:r>
          </w:p>
        </w:tc>
        <w:tc>
          <w:tcPr>
            <w:tcW w:type="dxa" w:w="4680"/>
          </w:tcPr>
          <w:p>
            <w:pPr>
              <w:spacing w:line="240" w:lineRule="auto"/>
            </w:pPr>
            <w:r/>
            <w:r>
              <w:rPr>
                <w:rFonts w:ascii="Times New Roman" w:hAnsi="Times New Roman"/>
                <w:b w:val="0"/>
                <w:i w:val="0"/>
                <w:sz w:val="24"/>
              </w:rPr>
              <w:t>23</w:t>
            </w:r>
          </w:p>
        </w:tc>
      </w:tr>
    </w:tbl>
    <w:p>
      <w:pPr>
        <w:pStyle w:val="Heading2"/>
      </w:pPr>
      <w:r>
        <w:rPr>
          <w:rFonts w:ascii="Times New Roman" w:hAnsi="Times New Roman"/>
        </w:rPr>
        <w:t>TABLE OF AUTHORITIES</w:t>
      </w:r>
    </w:p>
    <w:p>
      <w:pPr>
        <w:pStyle w:val="Heading3"/>
      </w:pPr>
      <w:r>
        <w:rPr>
          <w:rFonts w:ascii="Times New Roman" w:hAnsi="Times New Roman"/>
        </w:rPr>
        <w:t>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Page</w:t>
            </w:r>
          </w:p>
        </w:tc>
      </w:tr>
      <w:tr>
        <w:tc>
          <w:tcPr>
            <w:tcW w:type="dxa" w:w="3120"/>
          </w:tcPr>
          <w:p>
            <w:pPr>
              <w:spacing w:line="240" w:lineRule="auto"/>
            </w:pPr>
            <w:r/>
            <w:r>
              <w:rPr>
                <w:rFonts w:ascii="Times New Roman" w:hAnsi="Times New Roman"/>
                <w:b w:val="0"/>
                <w:i/>
                <w:sz w:val="24"/>
              </w:rPr>
              <w:t>Bowie v Arder</w:t>
            </w:r>
          </w:p>
        </w:tc>
        <w:tc>
          <w:tcPr>
            <w:tcW w:type="dxa" w:w="3120"/>
          </w:tcPr>
          <w:p>
            <w:pPr>
              <w:spacing w:line="240" w:lineRule="auto"/>
            </w:pPr>
            <w:r/>
            <w:r>
              <w:rPr>
                <w:rFonts w:ascii="Times New Roman" w:hAnsi="Times New Roman"/>
                <w:b w:val="0"/>
                <w:i w:val="0"/>
                <w:sz w:val="24"/>
              </w:rPr>
              <w:t>441 Mich 23 (1992)</w:t>
            </w:r>
          </w:p>
        </w:tc>
        <w:tc>
          <w:tcPr>
            <w:tcW w:type="dxa" w:w="3120"/>
          </w:tcPr>
          <w:p>
            <w:pPr>
              <w:spacing w:line="240" w:lineRule="auto"/>
            </w:pPr>
            <w:r/>
            <w:r>
              <w:rPr>
                <w:rFonts w:ascii="Times New Roman" w:hAnsi="Times New Roman"/>
                <w:b w:val="0"/>
                <w:i w:val="0"/>
                <w:sz w:val="24"/>
              </w:rPr>
              <w:t>15</w:t>
            </w:r>
          </w:p>
        </w:tc>
      </w:tr>
      <w:tr>
        <w:tc>
          <w:tcPr>
            <w:tcW w:type="dxa" w:w="3120"/>
          </w:tcPr>
          <w:p>
            <w:pPr>
              <w:spacing w:line="240" w:lineRule="auto"/>
            </w:pPr>
            <w:r/>
            <w:r>
              <w:rPr>
                <w:rFonts w:ascii="Times New Roman" w:hAnsi="Times New Roman"/>
                <w:b w:val="0"/>
                <w:i/>
                <w:sz w:val="24"/>
              </w:rPr>
              <w:t>Cain v Michigan Dep't of Corrections</w:t>
            </w:r>
          </w:p>
        </w:tc>
        <w:tc>
          <w:tcPr>
            <w:tcW w:type="dxa" w:w="3120"/>
          </w:tcPr>
          <w:p>
            <w:pPr>
              <w:spacing w:line="240" w:lineRule="auto"/>
            </w:pPr>
            <w:r/>
            <w:r>
              <w:rPr>
                <w:rFonts w:ascii="Times New Roman" w:hAnsi="Times New Roman"/>
                <w:b w:val="0"/>
                <w:i w:val="0"/>
                <w:sz w:val="24"/>
              </w:rPr>
              <w:t>451 Mich 470 (1996)</w:t>
            </w:r>
          </w:p>
        </w:tc>
        <w:tc>
          <w:tcPr>
            <w:tcW w:type="dxa" w:w="3120"/>
          </w:tcPr>
          <w:p>
            <w:pPr>
              <w:spacing w:line="240" w:lineRule="auto"/>
            </w:pPr>
            <w:r/>
            <w:r>
              <w:rPr>
                <w:rFonts w:ascii="Times New Roman" w:hAnsi="Times New Roman"/>
                <w:b w:val="0"/>
                <w:i w:val="0"/>
                <w:sz w:val="24"/>
              </w:rPr>
              <w:t>17</w:t>
            </w:r>
          </w:p>
        </w:tc>
      </w:tr>
      <w:tr>
        <w:tc>
          <w:tcPr>
            <w:tcW w:type="dxa" w:w="3120"/>
          </w:tcPr>
          <w:p>
            <w:pPr>
              <w:spacing w:line="240" w:lineRule="auto"/>
            </w:pPr>
            <w:r/>
            <w:r>
              <w:rPr>
                <w:rFonts w:ascii="Times New Roman" w:hAnsi="Times New Roman"/>
                <w:b w:val="0"/>
                <w:i/>
                <w:sz w:val="24"/>
              </w:rPr>
              <w:t>Grannis v Ordean</w:t>
            </w:r>
          </w:p>
        </w:tc>
        <w:tc>
          <w:tcPr>
            <w:tcW w:type="dxa" w:w="3120"/>
          </w:tcPr>
          <w:p>
            <w:pPr>
              <w:spacing w:line="240" w:lineRule="auto"/>
            </w:pPr>
            <w:r/>
            <w:r>
              <w:rPr>
                <w:rFonts w:ascii="Times New Roman" w:hAnsi="Times New Roman"/>
                <w:b w:val="0"/>
                <w:i w:val="0"/>
                <w:sz w:val="24"/>
              </w:rPr>
              <w:t>234 US 385 (1914)</w:t>
            </w:r>
          </w:p>
        </w:tc>
        <w:tc>
          <w:tcPr>
            <w:tcW w:type="dxa" w:w="3120"/>
          </w:tcPr>
          <w:p>
            <w:pPr>
              <w:spacing w:line="240" w:lineRule="auto"/>
            </w:pPr>
            <w:r/>
            <w:r>
              <w:rPr>
                <w:rFonts w:ascii="Times New Roman" w:hAnsi="Times New Roman"/>
                <w:b w:val="0"/>
                <w:i w:val="0"/>
                <w:sz w:val="24"/>
              </w:rPr>
              <w:t>14</w:t>
            </w:r>
          </w:p>
        </w:tc>
      </w:tr>
      <w:tr>
        <w:tc>
          <w:tcPr>
            <w:tcW w:type="dxa" w:w="3120"/>
          </w:tcPr>
          <w:p>
            <w:pPr>
              <w:spacing w:line="240" w:lineRule="auto"/>
            </w:pPr>
            <w:r/>
            <w:r>
              <w:rPr>
                <w:rFonts w:ascii="Times New Roman" w:hAnsi="Times New Roman"/>
                <w:b w:val="0"/>
                <w:i/>
                <w:sz w:val="24"/>
              </w:rPr>
              <w:t>In re Sanders</w:t>
            </w:r>
          </w:p>
        </w:tc>
        <w:tc>
          <w:tcPr>
            <w:tcW w:type="dxa" w:w="3120"/>
          </w:tcPr>
          <w:p>
            <w:pPr>
              <w:spacing w:line="240" w:lineRule="auto"/>
            </w:pPr>
            <w:r/>
            <w:r>
              <w:rPr>
                <w:rFonts w:ascii="Times New Roman" w:hAnsi="Times New Roman"/>
                <w:b w:val="0"/>
                <w:i w:val="0"/>
                <w:sz w:val="24"/>
              </w:rPr>
              <w:t>495 Mich 394 (2014)</w:t>
            </w:r>
          </w:p>
        </w:tc>
        <w:tc>
          <w:tcPr>
            <w:tcW w:type="dxa" w:w="3120"/>
          </w:tcPr>
          <w:p>
            <w:pPr>
              <w:spacing w:line="240" w:lineRule="auto"/>
            </w:pPr>
            <w:r/>
            <w:r>
              <w:rPr>
                <w:rFonts w:ascii="Times New Roman" w:hAnsi="Times New Roman"/>
                <w:b w:val="0"/>
                <w:i w:val="0"/>
                <w:sz w:val="24"/>
              </w:rPr>
              <w:t>14</w:t>
            </w:r>
          </w:p>
        </w:tc>
      </w:tr>
      <w:tr>
        <w:tc>
          <w:tcPr>
            <w:tcW w:type="dxa" w:w="3120"/>
          </w:tcPr>
          <w:p>
            <w:pPr>
              <w:spacing w:line="240" w:lineRule="auto"/>
            </w:pPr>
            <w:r/>
            <w:r>
              <w:rPr>
                <w:rFonts w:ascii="Times New Roman" w:hAnsi="Times New Roman"/>
                <w:b w:val="0"/>
                <w:i/>
                <w:sz w:val="24"/>
              </w:rPr>
              <w:t>People v Carines</w:t>
            </w:r>
          </w:p>
        </w:tc>
        <w:tc>
          <w:tcPr>
            <w:tcW w:type="dxa" w:w="3120"/>
          </w:tcPr>
          <w:p>
            <w:pPr>
              <w:spacing w:line="240" w:lineRule="auto"/>
            </w:pPr>
            <w:r/>
            <w:r>
              <w:rPr>
                <w:rFonts w:ascii="Times New Roman" w:hAnsi="Times New Roman"/>
                <w:b w:val="0"/>
                <w:i w:val="0"/>
                <w:sz w:val="24"/>
              </w:rPr>
              <w:t>460 Mich 750 (1999)</w:t>
            </w:r>
          </w:p>
        </w:tc>
        <w:tc>
          <w:tcPr>
            <w:tcW w:type="dxa" w:w="3120"/>
          </w:tcPr>
          <w:p>
            <w:pPr>
              <w:spacing w:line="240" w:lineRule="auto"/>
            </w:pPr>
            <w:r/>
            <w:r>
              <w:rPr>
                <w:rFonts w:ascii="Times New Roman" w:hAnsi="Times New Roman"/>
                <w:b w:val="0"/>
                <w:i w:val="0"/>
                <w:sz w:val="24"/>
              </w:rPr>
              <w:t>6, 7, 8</w:t>
            </w:r>
          </w:p>
        </w:tc>
      </w:tr>
      <w:tr>
        <w:tc>
          <w:tcPr>
            <w:tcW w:type="dxa" w:w="3120"/>
          </w:tcPr>
          <w:p>
            <w:pPr>
              <w:spacing w:line="240" w:lineRule="auto"/>
            </w:pPr>
            <w:r/>
            <w:r>
              <w:rPr>
                <w:rFonts w:ascii="Times New Roman" w:hAnsi="Times New Roman"/>
                <w:b w:val="0"/>
                <w:i/>
                <w:sz w:val="24"/>
              </w:rPr>
              <w:t>Pierron v Pierron</w:t>
            </w:r>
          </w:p>
        </w:tc>
        <w:tc>
          <w:tcPr>
            <w:tcW w:type="dxa" w:w="3120"/>
          </w:tcPr>
          <w:p>
            <w:pPr>
              <w:spacing w:line="240" w:lineRule="auto"/>
            </w:pPr>
            <w:r/>
            <w:r>
              <w:rPr>
                <w:rFonts w:ascii="Times New Roman" w:hAnsi="Times New Roman"/>
                <w:b w:val="0"/>
                <w:i w:val="0"/>
                <w:sz w:val="24"/>
              </w:rPr>
              <w:t>486 Mich 81 (2010)</w:t>
            </w:r>
          </w:p>
        </w:tc>
        <w:tc>
          <w:tcPr>
            <w:tcW w:type="dxa" w:w="3120"/>
          </w:tcPr>
          <w:p>
            <w:pPr>
              <w:spacing w:line="240" w:lineRule="auto"/>
            </w:pPr>
            <w:r/>
            <w:r>
              <w:rPr>
                <w:rFonts w:ascii="Times New Roman" w:hAnsi="Times New Roman"/>
                <w:b w:val="0"/>
                <w:i w:val="0"/>
                <w:sz w:val="24"/>
              </w:rPr>
              <w:t>11</w:t>
            </w:r>
          </w:p>
        </w:tc>
      </w:tr>
      <w:tr>
        <w:tc>
          <w:tcPr>
            <w:tcW w:type="dxa" w:w="3120"/>
          </w:tcPr>
          <w:p>
            <w:pPr>
              <w:spacing w:line="240" w:lineRule="auto"/>
            </w:pPr>
            <w:r/>
            <w:r>
              <w:rPr>
                <w:rFonts w:ascii="Times New Roman" w:hAnsi="Times New Roman"/>
                <w:b w:val="0"/>
                <w:i/>
                <w:sz w:val="24"/>
              </w:rPr>
              <w:t>Santosky v Kramer</w:t>
            </w:r>
          </w:p>
        </w:tc>
        <w:tc>
          <w:tcPr>
            <w:tcW w:type="dxa" w:w="3120"/>
          </w:tcPr>
          <w:p>
            <w:pPr>
              <w:spacing w:line="240" w:lineRule="auto"/>
            </w:pPr>
            <w:r/>
            <w:r>
              <w:rPr>
                <w:rFonts w:ascii="Times New Roman" w:hAnsi="Times New Roman"/>
                <w:b w:val="0"/>
                <w:i w:val="0"/>
                <w:sz w:val="24"/>
              </w:rPr>
              <w:t>455 US 745 (1982)</w:t>
            </w:r>
          </w:p>
        </w:tc>
        <w:tc>
          <w:tcPr>
            <w:tcW w:type="dxa" w:w="3120"/>
          </w:tcPr>
          <w:p>
            <w:pPr>
              <w:spacing w:line="240" w:lineRule="auto"/>
            </w:pPr>
            <w:r/>
            <w:r>
              <w:rPr>
                <w:rFonts w:ascii="Times New Roman" w:hAnsi="Times New Roman"/>
                <w:b w:val="0"/>
                <w:i w:val="0"/>
                <w:sz w:val="24"/>
              </w:rPr>
              <w:t>14</w:t>
            </w:r>
          </w:p>
        </w:tc>
      </w:tr>
      <w:tr>
        <w:tc>
          <w:tcPr>
            <w:tcW w:type="dxa" w:w="3120"/>
          </w:tcPr>
          <w:p>
            <w:pPr>
              <w:spacing w:line="240" w:lineRule="auto"/>
            </w:pPr>
            <w:r/>
            <w:r>
              <w:rPr>
                <w:rFonts w:ascii="Times New Roman" w:hAnsi="Times New Roman"/>
                <w:b w:val="0"/>
                <w:i/>
                <w:sz w:val="24"/>
              </w:rPr>
              <w:t>Troxel v Granville</w:t>
            </w:r>
          </w:p>
        </w:tc>
        <w:tc>
          <w:tcPr>
            <w:tcW w:type="dxa" w:w="3120"/>
          </w:tcPr>
          <w:p>
            <w:pPr>
              <w:spacing w:line="240" w:lineRule="auto"/>
            </w:pPr>
            <w:r/>
            <w:r>
              <w:rPr>
                <w:rFonts w:ascii="Times New Roman" w:hAnsi="Times New Roman"/>
                <w:b w:val="0"/>
                <w:i w:val="0"/>
                <w:sz w:val="24"/>
              </w:rPr>
              <w:t>530 US 57 (2000)</w:t>
            </w:r>
          </w:p>
        </w:tc>
        <w:tc>
          <w:tcPr>
            <w:tcW w:type="dxa" w:w="3120"/>
          </w:tcPr>
          <w:p>
            <w:pPr>
              <w:spacing w:line="240" w:lineRule="auto"/>
            </w:pPr>
            <w:r/>
            <w:r>
              <w:rPr>
                <w:rFonts w:ascii="Times New Roman" w:hAnsi="Times New Roman"/>
                <w:b w:val="0"/>
                <w:i w:val="0"/>
                <w:sz w:val="24"/>
              </w:rPr>
              <w:t>14</w:t>
            </w:r>
          </w:p>
        </w:tc>
      </w:tr>
      <w:tr>
        <w:tc>
          <w:tcPr>
            <w:tcW w:type="dxa" w:w="3120"/>
          </w:tcPr>
          <w:p>
            <w:pPr>
              <w:spacing w:line="240" w:lineRule="auto"/>
            </w:pPr>
            <w:r/>
            <w:r>
              <w:rPr>
                <w:rFonts w:ascii="Times New Roman" w:hAnsi="Times New Roman"/>
                <w:b w:val="0"/>
                <w:i/>
                <w:sz w:val="24"/>
              </w:rPr>
              <w:t>DeRose v DeRose</w:t>
            </w:r>
          </w:p>
        </w:tc>
        <w:tc>
          <w:tcPr>
            <w:tcW w:type="dxa" w:w="3120"/>
          </w:tcPr>
          <w:p>
            <w:pPr>
              <w:spacing w:line="240" w:lineRule="auto"/>
            </w:pPr>
            <w:r/>
            <w:r>
              <w:rPr>
                <w:rFonts w:ascii="Times New Roman" w:hAnsi="Times New Roman"/>
                <w:b w:val="0"/>
                <w:i w:val="0"/>
                <w:sz w:val="24"/>
              </w:rPr>
              <w:t>469 Mich 320 (2003)</w:t>
            </w:r>
          </w:p>
        </w:tc>
        <w:tc>
          <w:tcPr>
            <w:tcW w:type="dxa" w:w="3120"/>
          </w:tcPr>
          <w:p>
            <w:pPr>
              <w:spacing w:line="240" w:lineRule="auto"/>
            </w:pPr>
            <w:r/>
            <w:r>
              <w:rPr>
                <w:rFonts w:ascii="Times New Roman" w:hAnsi="Times New Roman"/>
                <w:b w:val="0"/>
                <w:i w:val="0"/>
                <w:sz w:val="24"/>
              </w:rPr>
              <w:t>11</w:t>
            </w:r>
          </w:p>
        </w:tc>
      </w:tr>
      <w:tr>
        <w:tc>
          <w:tcPr>
            <w:tcW w:type="dxa" w:w="3120"/>
          </w:tcPr>
          <w:p>
            <w:pPr>
              <w:spacing w:line="240" w:lineRule="auto"/>
            </w:pPr>
            <w:r/>
            <w:r>
              <w:rPr>
                <w:rFonts w:ascii="Times New Roman" w:hAnsi="Times New Roman"/>
                <w:b w:val="0"/>
                <w:i/>
                <w:sz w:val="24"/>
              </w:rPr>
              <w:t>Foskett v Foskett</w:t>
            </w:r>
          </w:p>
        </w:tc>
        <w:tc>
          <w:tcPr>
            <w:tcW w:type="dxa" w:w="3120"/>
          </w:tcPr>
          <w:p>
            <w:pPr>
              <w:spacing w:line="240" w:lineRule="auto"/>
            </w:pPr>
            <w:r/>
            <w:r>
              <w:rPr>
                <w:rFonts w:ascii="Times New Roman" w:hAnsi="Times New Roman"/>
                <w:b w:val="0"/>
                <w:i w:val="0"/>
                <w:sz w:val="24"/>
              </w:rPr>
              <w:t>247 Mich App 1 (2001)</w:t>
            </w:r>
          </w:p>
        </w:tc>
        <w:tc>
          <w:tcPr>
            <w:tcW w:type="dxa" w:w="3120"/>
          </w:tcPr>
          <w:p>
            <w:pPr>
              <w:spacing w:line="240" w:lineRule="auto"/>
            </w:pPr>
            <w:r/>
            <w:r>
              <w:rPr>
                <w:rFonts w:ascii="Times New Roman" w:hAnsi="Times New Roman"/>
                <w:b w:val="0"/>
                <w:i w:val="0"/>
                <w:sz w:val="24"/>
              </w:rPr>
              <w:t>12</w:t>
            </w:r>
          </w:p>
        </w:tc>
      </w:tr>
      <w:tr>
        <w:tc>
          <w:tcPr>
            <w:tcW w:type="dxa" w:w="3120"/>
          </w:tcPr>
          <w:p>
            <w:pPr>
              <w:spacing w:line="240" w:lineRule="auto"/>
            </w:pPr>
            <w:r/>
            <w:r>
              <w:rPr>
                <w:rFonts w:ascii="Times New Roman" w:hAnsi="Times New Roman"/>
                <w:b w:val="0"/>
                <w:i/>
                <w:sz w:val="24"/>
              </w:rPr>
              <w:t>Kaeb v Kaeb</w:t>
            </w:r>
          </w:p>
        </w:tc>
        <w:tc>
          <w:tcPr>
            <w:tcW w:type="dxa" w:w="3120"/>
          </w:tcPr>
          <w:p>
            <w:pPr>
              <w:spacing w:line="240" w:lineRule="auto"/>
            </w:pPr>
            <w:r/>
            <w:r>
              <w:rPr>
                <w:rFonts w:ascii="Times New Roman" w:hAnsi="Times New Roman"/>
                <w:b w:val="0"/>
                <w:i w:val="0"/>
                <w:sz w:val="24"/>
              </w:rPr>
              <w:t>309 Mich App 556 (2015)</w:t>
            </w:r>
          </w:p>
        </w:tc>
        <w:tc>
          <w:tcPr>
            <w:tcW w:type="dxa" w:w="3120"/>
          </w:tcPr>
          <w:p>
            <w:pPr>
              <w:spacing w:line="240" w:lineRule="auto"/>
            </w:pPr>
            <w:r/>
            <w:r>
              <w:rPr>
                <w:rFonts w:ascii="Times New Roman" w:hAnsi="Times New Roman"/>
                <w:b w:val="0"/>
                <w:i w:val="0"/>
                <w:sz w:val="24"/>
              </w:rPr>
              <w:t>8</w:t>
            </w:r>
          </w:p>
        </w:tc>
      </w:tr>
      <w:tr>
        <w:tc>
          <w:tcPr>
            <w:tcW w:type="dxa" w:w="3120"/>
          </w:tcPr>
          <w:p>
            <w:pPr>
              <w:spacing w:line="240" w:lineRule="auto"/>
            </w:pPr>
            <w:r/>
            <w:r>
              <w:rPr>
                <w:rFonts w:ascii="Times New Roman" w:hAnsi="Times New Roman"/>
                <w:b w:val="0"/>
                <w:i/>
                <w:sz w:val="24"/>
              </w:rPr>
              <w:t>Vodvarka v Grasher</w:t>
            </w:r>
          </w:p>
        </w:tc>
        <w:tc>
          <w:tcPr>
            <w:tcW w:type="dxa" w:w="3120"/>
          </w:tcPr>
          <w:p>
            <w:pPr>
              <w:spacing w:line="240" w:lineRule="auto"/>
            </w:pPr>
            <w:r/>
            <w:r>
              <w:rPr>
                <w:rFonts w:ascii="Times New Roman" w:hAnsi="Times New Roman"/>
                <w:b w:val="0"/>
                <w:i w:val="0"/>
                <w:sz w:val="24"/>
              </w:rPr>
              <w:t>259 Mich App 1 (2003)</w:t>
            </w:r>
          </w:p>
        </w:tc>
        <w:tc>
          <w:tcPr>
            <w:tcW w:type="dxa" w:w="3120"/>
          </w:tcPr>
          <w:p>
            <w:pPr>
              <w:spacing w:line="240" w:lineRule="auto"/>
            </w:pPr>
            <w:r/>
            <w:r>
              <w:rPr>
                <w:rFonts w:ascii="Times New Roman" w:hAnsi="Times New Roman"/>
                <w:b w:val="0"/>
                <w:i w:val="0"/>
                <w:sz w:val="24"/>
              </w:rPr>
              <w:t>10</w:t>
            </w:r>
          </w:p>
        </w:tc>
      </w:tr>
    </w:tbl>
    <w:p>
      <w:pPr>
        <w:pStyle w:val="Heading3"/>
      </w:pPr>
      <w:r>
        <w:rPr>
          <w:rFonts w:ascii="Times New Roman" w:hAnsi="Times New Roman"/>
        </w:rPr>
        <w:t>Statutes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Statute</w:t>
            </w:r>
          </w:p>
        </w:tc>
        <w:tc>
          <w:tcPr>
            <w:tcW w:type="dxa" w:w="4680"/>
          </w:tcPr>
          <w:p>
            <w:pPr>
              <w:spacing w:line="240" w:lineRule="auto"/>
            </w:pPr>
            <w:r/>
            <w:r>
              <w:rPr>
                <w:rFonts w:ascii="Times New Roman" w:hAnsi="Times New Roman"/>
                <w:b/>
                <w:sz w:val="24"/>
              </w:rPr>
              <w:t>Page</w:t>
            </w:r>
          </w:p>
        </w:tc>
      </w:tr>
      <w:tr>
        <w:tc>
          <w:tcPr>
            <w:tcW w:type="dxa" w:w="4680"/>
          </w:tcPr>
          <w:p>
            <w:pPr>
              <w:spacing w:line="240" w:lineRule="auto"/>
            </w:pPr>
            <w:r/>
            <w:r>
              <w:rPr>
                <w:rFonts w:ascii="Times New Roman" w:hAnsi="Times New Roman"/>
                <w:b w:val="0"/>
                <w:i w:val="0"/>
                <w:sz w:val="24"/>
              </w:rPr>
              <w:t>MCL 722.23(a)-(l)</w:t>
            </w:r>
          </w:p>
        </w:tc>
        <w:tc>
          <w:tcPr>
            <w:tcW w:type="dxa" w:w="4680"/>
          </w:tcPr>
          <w:p>
            <w:pPr>
              <w:spacing w:line="240" w:lineRule="auto"/>
            </w:pPr>
            <w:r/>
            <w:r>
              <w:rPr>
                <w:rFonts w:ascii="Times New Roman" w:hAnsi="Times New Roman"/>
                <w:b w:val="0"/>
                <w:i w:val="0"/>
                <w:sz w:val="24"/>
              </w:rPr>
              <w:t>10, 11, 12</w:t>
            </w:r>
          </w:p>
        </w:tc>
      </w:tr>
      <w:tr>
        <w:tc>
          <w:tcPr>
            <w:tcW w:type="dxa" w:w="4680"/>
          </w:tcPr>
          <w:p>
            <w:pPr>
              <w:spacing w:line="240" w:lineRule="auto"/>
            </w:pPr>
            <w:r/>
            <w:r>
              <w:rPr>
                <w:rFonts w:ascii="Times New Roman" w:hAnsi="Times New Roman"/>
                <w:b w:val="0"/>
                <w:i w:val="0"/>
                <w:sz w:val="24"/>
              </w:rPr>
              <w:t>MCL 722.27</w:t>
            </w:r>
          </w:p>
        </w:tc>
        <w:tc>
          <w:tcPr>
            <w:tcW w:type="dxa" w:w="4680"/>
          </w:tcPr>
          <w:p>
            <w:pPr>
              <w:spacing w:line="240" w:lineRule="auto"/>
            </w:pPr>
            <w:r/>
            <w:r>
              <w:rPr>
                <w:rFonts w:ascii="Times New Roman" w:hAnsi="Times New Roman"/>
                <w:b w:val="0"/>
                <w:i w:val="0"/>
                <w:sz w:val="24"/>
              </w:rPr>
              <w:t>10</w:t>
            </w:r>
          </w:p>
        </w:tc>
      </w:tr>
      <w:tr>
        <w:tc>
          <w:tcPr>
            <w:tcW w:type="dxa" w:w="4680"/>
          </w:tcPr>
          <w:p>
            <w:pPr>
              <w:spacing w:line="240" w:lineRule="auto"/>
            </w:pPr>
            <w:r/>
            <w:r>
              <w:rPr>
                <w:rFonts w:ascii="Times New Roman" w:hAnsi="Times New Roman"/>
                <w:b w:val="0"/>
                <w:i w:val="0"/>
                <w:sz w:val="24"/>
              </w:rPr>
              <w:t>MCL 722.27a</w:t>
            </w:r>
          </w:p>
        </w:tc>
        <w:tc>
          <w:tcPr>
            <w:tcW w:type="dxa" w:w="4680"/>
          </w:tcPr>
          <w:p>
            <w:pPr>
              <w:spacing w:line="240" w:lineRule="auto"/>
            </w:pPr>
            <w:r/>
            <w:r>
              <w:rPr>
                <w:rFonts w:ascii="Times New Roman" w:hAnsi="Times New Roman"/>
                <w:b w:val="0"/>
                <w:i w:val="0"/>
                <w:sz w:val="24"/>
              </w:rPr>
              <w:t>7, 8, 9</w:t>
            </w:r>
          </w:p>
        </w:tc>
      </w:tr>
    </w:tbl>
    <w:p>
      <w:pPr>
        <w:pStyle w:val="Heading3"/>
      </w:pPr>
      <w:r>
        <w:rPr>
          <w:rFonts w:ascii="Times New Roman" w:hAnsi="Times New Roman"/>
        </w:rPr>
        <w:t>Court Rules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Rule</w:t>
            </w:r>
          </w:p>
        </w:tc>
        <w:tc>
          <w:tcPr>
            <w:tcW w:type="dxa" w:w="4680"/>
          </w:tcPr>
          <w:p>
            <w:pPr>
              <w:spacing w:line="240" w:lineRule="auto"/>
            </w:pPr>
            <w:r/>
            <w:r>
              <w:rPr>
                <w:rFonts w:ascii="Times New Roman" w:hAnsi="Times New Roman"/>
                <w:b/>
                <w:sz w:val="24"/>
              </w:rPr>
              <w:t>Page</w:t>
            </w:r>
          </w:p>
        </w:tc>
      </w:tr>
      <w:tr>
        <w:tc>
          <w:tcPr>
            <w:tcW w:type="dxa" w:w="4680"/>
          </w:tcPr>
          <w:p>
            <w:pPr>
              <w:spacing w:line="240" w:lineRule="auto"/>
            </w:pPr>
            <w:r/>
            <w:r>
              <w:rPr>
                <w:rFonts w:ascii="Times New Roman" w:hAnsi="Times New Roman"/>
                <w:b w:val="0"/>
                <w:i w:val="0"/>
                <w:sz w:val="24"/>
              </w:rPr>
              <w:t>MCR 2.003(C)(1)</w:t>
            </w:r>
          </w:p>
        </w:tc>
        <w:tc>
          <w:tcPr>
            <w:tcW w:type="dxa" w:w="4680"/>
          </w:tcPr>
          <w:p>
            <w:pPr>
              <w:spacing w:line="240" w:lineRule="auto"/>
            </w:pPr>
            <w:r/>
            <w:r>
              <w:rPr>
                <w:rFonts w:ascii="Times New Roman" w:hAnsi="Times New Roman"/>
                <w:b w:val="0"/>
                <w:i w:val="0"/>
                <w:sz w:val="24"/>
              </w:rPr>
              <w:t>16, 17</w:t>
            </w:r>
          </w:p>
        </w:tc>
      </w:tr>
      <w:tr>
        <w:tc>
          <w:tcPr>
            <w:tcW w:type="dxa" w:w="4680"/>
          </w:tcPr>
          <w:p>
            <w:pPr>
              <w:spacing w:line="240" w:lineRule="auto"/>
            </w:pPr>
            <w:r/>
            <w:r>
              <w:rPr>
                <w:rFonts w:ascii="Times New Roman" w:hAnsi="Times New Roman"/>
                <w:b w:val="0"/>
                <w:i w:val="0"/>
                <w:sz w:val="24"/>
              </w:rPr>
              <w:t>MCR 3.207(B)</w:t>
            </w:r>
          </w:p>
        </w:tc>
        <w:tc>
          <w:tcPr>
            <w:tcW w:type="dxa" w:w="4680"/>
          </w:tcPr>
          <w:p>
            <w:pPr>
              <w:spacing w:line="240" w:lineRule="auto"/>
            </w:pPr>
            <w:r/>
            <w:r>
              <w:rPr>
                <w:rFonts w:ascii="Times New Roman" w:hAnsi="Times New Roman"/>
                <w:b w:val="0"/>
                <w:i w:val="0"/>
                <w:sz w:val="24"/>
              </w:rPr>
              <w:t>7, 8, 9</w:t>
            </w:r>
          </w:p>
        </w:tc>
      </w:tr>
      <w:tr>
        <w:tc>
          <w:tcPr>
            <w:tcW w:type="dxa" w:w="4680"/>
          </w:tcPr>
          <w:p>
            <w:pPr>
              <w:spacing w:line="240" w:lineRule="auto"/>
            </w:pPr>
            <w:r/>
            <w:r>
              <w:rPr>
                <w:rFonts w:ascii="Times New Roman" w:hAnsi="Times New Roman"/>
                <w:b w:val="0"/>
                <w:i w:val="0"/>
                <w:sz w:val="24"/>
              </w:rPr>
              <w:t>MCR 7.212</w:t>
            </w:r>
          </w:p>
        </w:tc>
        <w:tc>
          <w:tcPr>
            <w:tcW w:type="dxa" w:w="4680"/>
          </w:tcPr>
          <w:p>
            <w:pPr>
              <w:spacing w:line="240" w:lineRule="auto"/>
            </w:pPr>
            <w:r/>
            <w:r>
              <w:rPr>
                <w:rFonts w:ascii="Times New Roman" w:hAnsi="Times New Roman"/>
                <w:b w:val="0"/>
                <w:i w:val="0"/>
                <w:sz w:val="24"/>
              </w:rPr>
              <w:t>Throughout</w:t>
            </w:r>
          </w:p>
        </w:tc>
      </w:tr>
      <w:tr>
        <w:tc>
          <w:tcPr>
            <w:tcW w:type="dxa" w:w="4680"/>
          </w:tcPr>
          <w:p>
            <w:pPr>
              <w:spacing w:line="240" w:lineRule="auto"/>
            </w:pPr>
            <w:r/>
            <w:r>
              <w:rPr>
                <w:rFonts w:ascii="Times New Roman" w:hAnsi="Times New Roman"/>
                <w:b w:val="0"/>
                <w:i w:val="0"/>
                <w:sz w:val="24"/>
              </w:rPr>
              <w:t>MCR 7.216(A)(7)</w:t>
            </w:r>
          </w:p>
        </w:tc>
        <w:tc>
          <w:tcPr>
            <w:tcW w:type="dxa" w:w="4680"/>
          </w:tcPr>
          <w:p>
            <w:pPr>
              <w:spacing w:line="240" w:lineRule="auto"/>
            </w:pPr>
            <w:r/>
            <w:r>
              <w:rPr>
                <w:rFonts w:ascii="Times New Roman" w:hAnsi="Times New Roman"/>
                <w:b w:val="0"/>
                <w:i w:val="0"/>
                <w:sz w:val="24"/>
              </w:rPr>
              <w:t>22</w:t>
            </w:r>
          </w:p>
        </w:tc>
      </w:tr>
    </w:tbl>
    <w:p>
      <w:pPr>
        <w:pStyle w:val="Heading3"/>
      </w:pPr>
      <w:r>
        <w:rPr>
          <w:rFonts w:ascii="Times New Roman" w:hAnsi="Times New Roman"/>
        </w:rPr>
        <w:t>Constitutional Provisions</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Provision</w:t>
            </w:r>
          </w:p>
        </w:tc>
        <w:tc>
          <w:tcPr>
            <w:tcW w:type="dxa" w:w="4680"/>
          </w:tcPr>
          <w:p>
            <w:pPr>
              <w:spacing w:line="240" w:lineRule="auto"/>
            </w:pPr>
            <w:r/>
            <w:r>
              <w:rPr>
                <w:rFonts w:ascii="Times New Roman" w:hAnsi="Times New Roman"/>
                <w:b/>
                <w:sz w:val="24"/>
              </w:rPr>
              <w:t>Page</w:t>
            </w:r>
          </w:p>
        </w:tc>
      </w:tr>
      <w:tr>
        <w:tc>
          <w:tcPr>
            <w:tcW w:type="dxa" w:w="4680"/>
          </w:tcPr>
          <w:p>
            <w:pPr>
              <w:spacing w:line="240" w:lineRule="auto"/>
            </w:pPr>
            <w:r/>
            <w:r>
              <w:rPr>
                <w:rFonts w:ascii="Times New Roman" w:hAnsi="Times New Roman"/>
                <w:b w:val="0"/>
                <w:i w:val="0"/>
                <w:sz w:val="24"/>
              </w:rPr>
              <w:t>Const 1963, art 1, § 17</w:t>
            </w:r>
          </w:p>
        </w:tc>
        <w:tc>
          <w:tcPr>
            <w:tcW w:type="dxa" w:w="4680"/>
          </w:tcPr>
          <w:p>
            <w:pPr>
              <w:spacing w:line="240" w:lineRule="auto"/>
            </w:pPr>
            <w:r/>
            <w:r>
              <w:rPr>
                <w:rFonts w:ascii="Times New Roman" w:hAnsi="Times New Roman"/>
                <w:b w:val="0"/>
                <w:i w:val="0"/>
                <w:sz w:val="24"/>
              </w:rPr>
              <w:t>13</w:t>
            </w:r>
          </w:p>
        </w:tc>
      </w:tr>
      <w:tr>
        <w:tc>
          <w:tcPr>
            <w:tcW w:type="dxa" w:w="4680"/>
          </w:tcPr>
          <w:p>
            <w:pPr>
              <w:spacing w:line="240" w:lineRule="auto"/>
            </w:pPr>
            <w:r/>
            <w:r>
              <w:rPr>
                <w:rFonts w:ascii="Times New Roman" w:hAnsi="Times New Roman"/>
                <w:b w:val="0"/>
                <w:i w:val="0"/>
                <w:sz w:val="24"/>
              </w:rPr>
              <w:t>US Const, Amend XIV</w:t>
            </w:r>
          </w:p>
        </w:tc>
        <w:tc>
          <w:tcPr>
            <w:tcW w:type="dxa" w:w="4680"/>
          </w:tcPr>
          <w:p>
            <w:pPr>
              <w:spacing w:line="240" w:lineRule="auto"/>
            </w:pPr>
            <w:r/>
            <w:r>
              <w:rPr>
                <w:rFonts w:ascii="Times New Roman" w:hAnsi="Times New Roman"/>
                <w:b w:val="0"/>
                <w:i w:val="0"/>
                <w:sz w:val="24"/>
              </w:rPr>
              <w:t>13, 14</w:t>
            </w:r>
          </w:p>
        </w:tc>
      </w:tr>
    </w:tbl>
    <w:p>
      <w:pPr>
        <w:pStyle w:val="Heading2"/>
      </w:pPr>
      <w:r>
        <w:rPr>
          <w:rFonts w:ascii="Times New Roman" w:hAnsi="Times New Roman"/>
        </w:rPr>
        <w:t>STATEMENT OF JURISDICTION</w:t>
      </w:r>
    </w:p>
    <w:p>
      <w:pPr>
        <w:spacing w:line="480" w:lineRule="auto" w:after="0" w:before="0"/>
      </w:pPr>
      <w:r>
        <w:rPr>
          <w:rFonts w:ascii="Times New Roman" w:hAnsi="Times New Roman"/>
          <w:b w:val="0"/>
          <w:i w:val="0"/>
          <w:sz w:val="24"/>
        </w:rPr>
        <w:t>This Court has jurisdiction pursuant to MCR 7.203(A), which grants jurisdiction over appeals of right from a final order of the circuit court. Plaintiff-Appellant timely filed a Claim of Appeal from the orders of the 14th Circuit Court, Muskegon County (Hon. Jenny L. McNeill presiding), in Case No. 2024-001507-DC.</w:t>
      </w:r>
    </w:p>
    <w:p>
      <w:r>
        <w:br w:type="page"/>
      </w:r>
    </w:p>
    <w:p>
      <w:pPr>
        <w:pStyle w:val="Heading2"/>
      </w:pPr>
      <w:r>
        <w:rPr>
          <w:rFonts w:ascii="Times New Roman" w:hAnsi="Times New Roman"/>
        </w:rPr>
        <w:t>STATEMENT OF QUESTIONS PRESENTED</w:t>
      </w:r>
    </w:p>
    <w:p>
      <w:pPr>
        <w:spacing w:line="480" w:lineRule="auto" w:after="0" w:before="0"/>
      </w:pPr>
      <w:r>
        <w:rPr>
          <w:rFonts w:ascii="Times New Roman" w:hAnsi="Times New Roman"/>
          <w:b/>
          <w:i w:val="0"/>
          <w:sz w:val="24"/>
        </w:rPr>
        <w:t>I.</w:t>
      </w:r>
      <w:r>
        <w:rPr>
          <w:rFonts w:ascii="Times New Roman" w:hAnsi="Times New Roman"/>
          <w:b w:val="0"/>
          <w:i w:val="0"/>
          <w:sz w:val="24"/>
        </w:rPr>
        <w:t xml:space="preserve"> Did the trial court commit plain error by entering ex parte orders suspending all parenting time without complying with MCR 3.207(B), which requires certification of notice efforts and a hearing within 14 days?</w:t>
      </w:r>
    </w:p>
    <w:p>
      <w:pPr>
        <w:spacing w:line="480" w:lineRule="auto" w:after="0" w:before="0"/>
      </w:pPr>
      <w:r>
        <w:rPr>
          <w:rFonts w:ascii="Times New Roman" w:hAnsi="Times New Roman"/>
          <w:b w:val="0"/>
          <w:i/>
          <w:sz w:val="24"/>
        </w:rPr>
        <w:t>Appellant answers: Yes.</w:t>
      </w:r>
      <w:r>
        <w:rPr>
          <w:rFonts w:ascii="Times New Roman" w:hAnsi="Times New Roman"/>
          <w:b w:val="0"/>
          <w:i w:val="0"/>
          <w:sz w:val="24"/>
        </w:rPr>
        <w:t xml:space="preserve"> </w:t>
      </w:r>
      <w:r>
        <w:rPr>
          <w:rFonts w:ascii="Times New Roman" w:hAnsi="Times New Roman"/>
          <w:b w:val="0"/>
          <w:i/>
          <w:sz w:val="24"/>
        </w:rPr>
        <w:t>Appellee answers: [To be completed by Appellee]</w:t>
      </w:r>
      <w:r>
        <w:rPr>
          <w:rFonts w:ascii="Times New Roman" w:hAnsi="Times New Roman"/>
          <w:b w:val="0"/>
          <w:i w:val="0"/>
          <w:sz w:val="24"/>
        </w:rPr>
        <w:t xml:space="preserve"> </w:t>
      </w:r>
      <w:r>
        <w:rPr>
          <w:rFonts w:ascii="Times New Roman" w:hAnsi="Times New Roman"/>
          <w:b w:val="0"/>
          <w:i/>
          <w:sz w:val="24"/>
        </w:rPr>
        <w:t>Trial court answered: No hearing was held.</w:t>
      </w:r>
    </w:p>
    <w:p>
      <w:pPr>
        <w:spacing w:line="480" w:lineRule="auto" w:after="0" w:before="0"/>
      </w:pPr>
      <w:r>
        <w:rPr>
          <w:rFonts w:ascii="Times New Roman" w:hAnsi="Times New Roman"/>
          <w:b/>
          <w:i w:val="0"/>
          <w:sz w:val="24"/>
        </w:rPr>
        <w:t>II.</w:t>
      </w:r>
      <w:r>
        <w:rPr>
          <w:rFonts w:ascii="Times New Roman" w:hAnsi="Times New Roman"/>
          <w:b w:val="0"/>
          <w:i w:val="0"/>
          <w:sz w:val="24"/>
        </w:rPr>
        <w:t xml:space="preserve"> Did the trial court commit plain error by failing to make findings on any of the 12 best interest factors under MCL 722.23(a)-(l) before effectively modifying custody through the suspension of all parenting time?</w:t>
      </w:r>
    </w:p>
    <w:p>
      <w:pPr>
        <w:spacing w:line="480" w:lineRule="auto" w:after="0" w:before="0"/>
      </w:pPr>
      <w:r>
        <w:rPr>
          <w:rFonts w:ascii="Times New Roman" w:hAnsi="Times New Roman"/>
          <w:b w:val="0"/>
          <w:i/>
          <w:sz w:val="24"/>
        </w:rPr>
        <w:t>Appellant answers: Yes.</w:t>
      </w:r>
      <w:r>
        <w:rPr>
          <w:rFonts w:ascii="Times New Roman" w:hAnsi="Times New Roman"/>
          <w:b w:val="0"/>
          <w:i w:val="0"/>
          <w:sz w:val="24"/>
        </w:rPr>
        <w:t xml:space="preserve"> </w:t>
      </w:r>
      <w:r>
        <w:rPr>
          <w:rFonts w:ascii="Times New Roman" w:hAnsi="Times New Roman"/>
          <w:b w:val="0"/>
          <w:i/>
          <w:sz w:val="24"/>
        </w:rPr>
        <w:t>Appellee answers: [To be completed by Appellee]</w:t>
      </w:r>
      <w:r>
        <w:rPr>
          <w:rFonts w:ascii="Times New Roman" w:hAnsi="Times New Roman"/>
          <w:b w:val="0"/>
          <w:i w:val="0"/>
          <w:sz w:val="24"/>
        </w:rPr>
        <w:t xml:space="preserve"> </w:t>
      </w:r>
      <w:r>
        <w:rPr>
          <w:rFonts w:ascii="Times New Roman" w:hAnsi="Times New Roman"/>
          <w:b w:val="0"/>
          <w:i/>
          <w:sz w:val="24"/>
        </w:rPr>
        <w:t>Trial court answered: No BIF analysis appears in the record.</w:t>
      </w:r>
    </w:p>
    <w:p>
      <w:pPr>
        <w:spacing w:line="480" w:lineRule="auto" w:after="0" w:before="0"/>
      </w:pPr>
      <w:r>
        <w:rPr>
          <w:rFonts w:ascii="Times New Roman" w:hAnsi="Times New Roman"/>
          <w:b/>
          <w:i w:val="0"/>
          <w:sz w:val="24"/>
        </w:rPr>
        <w:t>III.</w:t>
      </w:r>
      <w:r>
        <w:rPr>
          <w:rFonts w:ascii="Times New Roman" w:hAnsi="Times New Roman"/>
          <w:b w:val="0"/>
          <w:i w:val="0"/>
          <w:sz w:val="24"/>
        </w:rPr>
        <w:t xml:space="preserve"> Did the trial court commit plain error by depriving Appellant of his fundamental liberty interest in the care and custody of his children without notice or an opportunity to be heard, in violation of Const 1963, art 1, § 17 and US Const, Amend XIV?</w:t>
      </w:r>
    </w:p>
    <w:p>
      <w:pPr>
        <w:spacing w:line="480" w:lineRule="auto" w:after="0" w:before="0"/>
      </w:pPr>
      <w:r>
        <w:rPr>
          <w:rFonts w:ascii="Times New Roman" w:hAnsi="Times New Roman"/>
          <w:b w:val="0"/>
          <w:i/>
          <w:sz w:val="24"/>
        </w:rPr>
        <w:t>Appellant answers: Yes.</w:t>
      </w:r>
    </w:p>
    <w:p>
      <w:pPr>
        <w:spacing w:line="480" w:lineRule="auto" w:after="0" w:before="0"/>
      </w:pPr>
      <w:r>
        <w:rPr>
          <w:rFonts w:ascii="Times New Roman" w:hAnsi="Times New Roman"/>
          <w:b/>
          <w:i w:val="0"/>
          <w:sz w:val="24"/>
        </w:rPr>
        <w:t>IV.</w:t>
      </w:r>
      <w:r>
        <w:rPr>
          <w:rFonts w:ascii="Times New Roman" w:hAnsi="Times New Roman"/>
          <w:b w:val="0"/>
          <w:i w:val="0"/>
          <w:sz w:val="24"/>
        </w:rPr>
        <w:t xml:space="preserve"> Does the trial court's pattern of conduct — including entering 24 of 55 orders (43.6%) on an ex parte basis, numerous documented judicial inconsistencies, and a temporal pattern of procedural irregularity with opposing party's filings — demonstrate bias requiring disqualification under MCR 2.003(C)(1)(b)?</w:t>
      </w:r>
    </w:p>
    <w:p>
      <w:pPr>
        <w:spacing w:line="480" w:lineRule="auto" w:after="0" w:before="0"/>
      </w:pPr>
      <w:r>
        <w:rPr>
          <w:rFonts w:ascii="Times New Roman" w:hAnsi="Times New Roman"/>
          <w:b w:val="0"/>
          <w:i/>
          <w:sz w:val="24"/>
        </w:rPr>
        <w:t>Appellant answers: Yes.</w:t>
      </w:r>
    </w:p>
    <w:p>
      <w:pPr>
        <w:spacing w:line="480" w:lineRule="auto" w:after="0" w:before="0"/>
      </w:pPr>
      <w:r>
        <w:rPr>
          <w:rFonts w:ascii="Times New Roman" w:hAnsi="Times New Roman"/>
          <w:b/>
          <w:i w:val="0"/>
          <w:sz w:val="24"/>
        </w:rPr>
        <w:t>V.</w:t>
      </w:r>
      <w:r>
        <w:rPr>
          <w:rFonts w:ascii="Times New Roman" w:hAnsi="Times New Roman"/>
          <w:b w:val="0"/>
          <w:i w:val="0"/>
          <w:sz w:val="24"/>
        </w:rPr>
        <w:t xml:space="preserve"> Did the trial court's ex parte communications with opposing party or her representatives, as evidenced by the pattern of procedural irregularity and Canon 3(A)(4) violations, taint all subsequent orders and require vacatur?</w:t>
      </w:r>
    </w:p>
    <w:p>
      <w:pPr>
        <w:spacing w:line="480" w:lineRule="auto" w:after="0" w:before="0"/>
      </w:pPr>
      <w:r>
        <w:rPr>
          <w:rFonts w:ascii="Times New Roman" w:hAnsi="Times New Roman"/>
          <w:b w:val="0"/>
          <w:i/>
          <w:sz w:val="24"/>
        </w:rPr>
        <w:t>Appellant answers: Yes.</w:t>
      </w:r>
    </w:p>
    <w:p>
      <w:r>
        <w:br w:type="page"/>
      </w:r>
    </w:p>
    <w:p>
      <w:pPr>
        <w:pStyle w:val="Heading2"/>
      </w:pPr>
      <w:r>
        <w:rPr>
          <w:rFonts w:ascii="Times New Roman" w:hAnsi="Times New Roman"/>
        </w:rPr>
        <w:t>STATEMENT OF FACTS</w:t>
      </w:r>
    </w:p>
    <w:p>
      <w:pPr>
        <w:pStyle w:val="Heading3"/>
      </w:pPr>
      <w:r>
        <w:rPr>
          <w:rFonts w:ascii="Times New Roman" w:hAnsi="Times New Roman"/>
        </w:rPr>
        <w:t>A. Background</w:t>
      </w:r>
    </w:p>
    <w:p>
      <w:pPr>
        <w:spacing w:line="480" w:lineRule="auto" w:after="0" w:before="0"/>
      </w:pPr>
      <w:r>
        <w:rPr>
          <w:rFonts w:ascii="Times New Roman" w:hAnsi="Times New Roman"/>
          <w:b w:val="0"/>
          <w:i w:val="0"/>
          <w:sz w:val="24"/>
        </w:rPr>
        <w:t>Appellant Andrew Pigors ("Father") and Appellee Tiffany Watson ("Mother") are the parents of minor children who are the subject of custody proceedings in Case No. 2024-001507-DC, 14th Circuit Court, Muskegon County. The case has been presided over by the Honorable Jenny L. McNeill since inception.</w:t>
      </w:r>
    </w:p>
    <w:p>
      <w:pPr>
        <w:pStyle w:val="Heading3"/>
      </w:pPr>
      <w:r>
        <w:rPr>
          <w:rFonts w:ascii="Times New Roman" w:hAnsi="Times New Roman"/>
        </w:rPr>
        <w:t>B. The Ex Parte Orders</w:t>
      </w:r>
    </w:p>
    <w:p>
      <w:pPr>
        <w:spacing w:line="480" w:lineRule="auto" w:after="0" w:before="0"/>
      </w:pPr>
      <w:r>
        <w:rPr>
          <w:rFonts w:ascii="Times New Roman" w:hAnsi="Times New Roman"/>
          <w:b w:val="0"/>
          <w:i w:val="0"/>
          <w:sz w:val="24"/>
        </w:rPr>
        <w:t>On August 8, 2025, the trial court entered five separate ex parte orders, including an order suspending all of Father's parenting time with the minor children. Father received no notice of the ex parte proceedings. Father was given no opportunity to be heard before the orders were entered.</w:t>
      </w:r>
    </w:p>
    <w:p>
      <w:pPr>
        <w:spacing w:line="480" w:lineRule="auto" w:after="0" w:before="0"/>
      </w:pPr>
      <w:r>
        <w:rPr>
          <w:rFonts w:ascii="Times New Roman" w:hAnsi="Times New Roman"/>
          <w:b w:val="0"/>
          <w:i w:val="0"/>
          <w:sz w:val="24"/>
        </w:rPr>
        <w:t>The ex parte motion was filed by Emily Watson, Mother's sister, who acts as Mother's de facto legal representative throughout these proceedings. Ron Berry, an appellate attorney, is connected to the case through voicemail evidence (Item #6 in the line-by-line objection table to the ex parte motion).</w:t>
      </w:r>
    </w:p>
    <w:p>
      <w:pPr>
        <w:pStyle w:val="Heading3"/>
      </w:pPr>
      <w:r>
        <w:rPr>
          <w:rFonts w:ascii="Times New Roman" w:hAnsi="Times New Roman"/>
        </w:rPr>
        <w:t>C. The Ongoing Separation</w:t>
      </w:r>
    </w:p>
    <w:p>
      <w:pPr>
        <w:spacing w:line="480" w:lineRule="auto" w:after="0" w:before="0"/>
      </w:pPr>
      <w:r>
        <w:rPr>
          <w:rFonts w:ascii="Times New Roman" w:hAnsi="Times New Roman"/>
          <w:b w:val="0"/>
          <w:i w:val="0"/>
          <w:sz w:val="24"/>
        </w:rPr>
        <w:t xml:space="preserve">As of the date of this brief, Father has been separated from his children for </w:t>
      </w:r>
      <w:r>
        <w:rPr>
          <w:rFonts w:ascii="Times New Roman" w:hAnsi="Times New Roman"/>
          <w:b/>
          <w:i w:val="0"/>
          <w:sz w:val="24"/>
        </w:rPr>
        <w:t>250 consecutive days</w:t>
      </w:r>
      <w:r>
        <w:rPr>
          <w:rFonts w:ascii="Times New Roman" w:hAnsi="Times New Roman"/>
          <w:b w:val="0"/>
          <w:i w:val="0"/>
          <w:sz w:val="24"/>
        </w:rPr>
        <w:t xml:space="preserve"> (from August 8, 2025 to April 15, 2026). No hearing has been conducted. No best interest factor analysis has been performed. No finding of serious endangerment under MCL 722.27a(3) appears in the record.</w:t>
      </w:r>
    </w:p>
    <w:p>
      <w:pPr>
        <w:pStyle w:val="Heading3"/>
      </w:pPr>
      <w:r>
        <w:rPr>
          <w:rFonts w:ascii="Times New Roman" w:hAnsi="Times New Roman"/>
        </w:rPr>
        <w:t>D. The Pattern</w:t>
      </w:r>
    </w:p>
    <w:p>
      <w:pPr>
        <w:spacing w:line="480" w:lineRule="auto" w:after="0" w:before="0"/>
      </w:pPr>
      <w:r>
        <w:rPr>
          <w:rFonts w:ascii="Times New Roman" w:hAnsi="Times New Roman"/>
          <w:b w:val="0"/>
          <w:i w:val="0"/>
          <w:sz w:val="24"/>
        </w:rPr>
        <w:t xml:space="preserve">A review of the complete docket reveals: - </w:t>
      </w:r>
      <w:r>
        <w:rPr>
          <w:rFonts w:ascii="Times New Roman" w:hAnsi="Times New Roman"/>
          <w:b/>
          <w:i w:val="0"/>
          <w:sz w:val="24"/>
        </w:rPr>
        <w:t>24 of 55 orders (43.6%)</w:t>
      </w:r>
      <w:r>
        <w:rPr>
          <w:rFonts w:ascii="Times New Roman" w:hAnsi="Times New Roman"/>
          <w:b w:val="0"/>
          <w:i w:val="0"/>
          <w:sz w:val="24"/>
        </w:rPr>
        <w:t xml:space="preserve"> entered on an ex parte basis - </w:t>
      </w:r>
      <w:r>
        <w:rPr>
          <w:rFonts w:ascii="Times New Roman" w:hAnsi="Times New Roman"/>
          <w:b/>
          <w:i w:val="0"/>
          <w:sz w:val="24"/>
        </w:rPr>
        <w:t>Multiple critical judicial violations</w:t>
      </w:r>
      <w:r>
        <w:rPr>
          <w:rFonts w:ascii="Times New Roman" w:hAnsi="Times New Roman"/>
          <w:b w:val="0"/>
          <w:i w:val="0"/>
          <w:sz w:val="24"/>
        </w:rPr>
        <w:t xml:space="preserve"> documented - </w:t>
      </w:r>
      <w:r>
        <w:rPr>
          <w:rFonts w:ascii="Times New Roman" w:hAnsi="Times New Roman"/>
          <w:b/>
          <w:i w:val="0"/>
          <w:sz w:val="24"/>
        </w:rPr>
        <w:t>Numerous contradictions</w:t>
      </w:r>
      <w:r>
        <w:rPr>
          <w:rFonts w:ascii="Times New Roman" w:hAnsi="Times New Roman"/>
          <w:b w:val="0"/>
          <w:i w:val="0"/>
          <w:sz w:val="24"/>
        </w:rPr>
        <w:t xml:space="preserve"> identified in the record — including the court's finding of "equal parental bond" (August 23, 2024) followed by a total suspension of Father's parenting time - </w:t>
      </w:r>
      <w:r>
        <w:rPr>
          <w:rFonts w:ascii="Times New Roman" w:hAnsi="Times New Roman"/>
          <w:b/>
          <w:i w:val="0"/>
          <w:sz w:val="24"/>
        </w:rPr>
        <w:t>Numerous documented judicial inconsistencies</w:t>
      </w:r>
      <w:r>
        <w:rPr>
          <w:rFonts w:ascii="Times New Roman" w:hAnsi="Times New Roman"/>
          <w:b w:val="0"/>
          <w:i w:val="0"/>
          <w:sz w:val="24"/>
        </w:rPr>
        <w:t xml:space="preserve"> — for example, the court refused to view Father's exculpatory photographs (August 28, 2025) while relying on Defendant's unsworn ex parte allegations, and imposed a $250 filing bond on Father only (May 16, 2025) while Defendant faced no comparable restriction - A temporal pattern of procedural irregularity: Watson files → McNeill rules same day → Berry files within 48 hours</w:t>
      </w:r>
    </w:p>
    <w:p>
      <w:pPr>
        <w:pStyle w:val="Heading3"/>
      </w:pPr>
      <w:r>
        <w:rPr>
          <w:rFonts w:ascii="Times New Roman" w:hAnsi="Times New Roman"/>
        </w:rPr>
        <w:t>E. Prior History</w:t>
      </w:r>
    </w:p>
    <w:p>
      <w:pPr>
        <w:spacing w:line="480" w:lineRule="auto" w:after="0" w:before="0"/>
      </w:pPr>
      <w:r>
        <w:rPr>
          <w:rFonts w:ascii="Times New Roman" w:hAnsi="Times New Roman"/>
          <w:b w:val="0"/>
          <w:i w:val="0"/>
          <w:sz w:val="24"/>
        </w:rPr>
        <w:t>Prior to the August 8, 2025 ex parte orders, Father was actively exercising parenting time. No protective order existed against Father. No court had found Father posed any danger to the children. The children had an established custodial relationship with Father.</w:t>
      </w:r>
    </w:p>
    <w:p>
      <w:pPr>
        <w:pStyle w:val="Heading3"/>
      </w:pPr>
      <w:r>
        <w:rPr>
          <w:rFonts w:ascii="Times New Roman" w:hAnsi="Times New Roman"/>
        </w:rPr>
        <w:t>F. Candid Acknowledgment Regarding PPO History</w:t>
      </w:r>
    </w:p>
    <w:p>
      <w:pPr>
        <w:spacing w:line="480" w:lineRule="auto" w:after="0" w:before="0"/>
      </w:pPr>
      <w:r>
        <w:rPr>
          <w:rFonts w:ascii="Times New Roman" w:hAnsi="Times New Roman"/>
          <w:b w:val="0"/>
          <w:i w:val="0"/>
          <w:sz w:val="24"/>
        </w:rPr>
        <w:t xml:space="preserve">Appellant acknowledges that he was found in violation of the personal protection order and served a period of incarceration. Appellant does not minimize these events. However, PPO violations — even those resulting in incarceration — do not constitute legal grounds to permanently sever the parent-child relationship without a best-interest hearing under MCL 722.23. The Michigan Supreme Court has repeatedly held that a parent's constitutional right to the care and custody of their children is fundamental and may not be terminated without due process of law. </w:t>
      </w:r>
      <w:r>
        <w:rPr>
          <w:rFonts w:ascii="Times New Roman" w:hAnsi="Times New Roman"/>
          <w:b w:val="0"/>
          <w:i/>
          <w:sz w:val="24"/>
        </w:rPr>
        <w:t>In re Sanders</w:t>
      </w:r>
      <w:r>
        <w:rPr>
          <w:rFonts w:ascii="Times New Roman" w:hAnsi="Times New Roman"/>
          <w:b w:val="0"/>
          <w:i w:val="0"/>
          <w:sz w:val="24"/>
        </w:rPr>
        <w:t xml:space="preserve">, 495 Mich 394, 409 (2014); </w:t>
      </w:r>
      <w:r>
        <w:rPr>
          <w:rFonts w:ascii="Times New Roman" w:hAnsi="Times New Roman"/>
          <w:b w:val="0"/>
          <w:i/>
          <w:sz w:val="24"/>
        </w:rPr>
        <w:t>Troxel v Granville</w:t>
      </w:r>
      <w:r>
        <w:rPr>
          <w:rFonts w:ascii="Times New Roman" w:hAnsi="Times New Roman"/>
          <w:b w:val="0"/>
          <w:i w:val="0"/>
          <w:sz w:val="24"/>
        </w:rPr>
        <w:t>, 530 US 57, 65 (2000). The appropriate remedy for PPO violations is the criminal sanction already imposed — not the indefinite suspension of all parenting time without any hearing on the merits.</w:t>
      </w:r>
    </w:p>
    <w:p>
      <w:r>
        <w:br w:type="page"/>
      </w:r>
    </w:p>
    <w:p>
      <w:pPr>
        <w:pStyle w:val="Heading2"/>
      </w:pPr>
      <w:r>
        <w:rPr>
          <w:rFonts w:ascii="Times New Roman" w:hAnsi="Times New Roman"/>
        </w:rPr>
        <w:t>STANDARD OF REVIEW</w:t>
      </w:r>
    </w:p>
    <w:p>
      <w:pPr>
        <w:pStyle w:val="Heading3"/>
      </w:pPr>
      <w:r>
        <w:rPr>
          <w:rFonts w:ascii="Times New Roman" w:hAnsi="Times New Roman"/>
        </w:rPr>
        <w:t>Plain Error Review</w:t>
      </w:r>
    </w:p>
    <w:p>
      <w:pPr>
        <w:spacing w:line="480" w:lineRule="auto" w:after="0" w:before="0"/>
      </w:pPr>
      <w:r>
        <w:rPr>
          <w:rFonts w:ascii="Times New Roman" w:hAnsi="Times New Roman"/>
          <w:b w:val="0"/>
          <w:i w:val="0"/>
          <w:sz w:val="24"/>
        </w:rPr>
        <w:t xml:space="preserve">Because these issues were not preserved at the trial court level through contemporaneous objection, Appellant invokes the plain error standard of review under </w:t>
      </w:r>
      <w:r>
        <w:rPr>
          <w:rFonts w:ascii="Times New Roman" w:hAnsi="Times New Roman"/>
          <w:b w:val="0"/>
          <w:i/>
          <w:sz w:val="24"/>
        </w:rPr>
        <w:t>People v Carines</w:t>
      </w:r>
      <w:r>
        <w:rPr>
          <w:rFonts w:ascii="Times New Roman" w:hAnsi="Times New Roman"/>
          <w:b w:val="0"/>
          <w:i w:val="0"/>
          <w:sz w:val="24"/>
        </w:rPr>
        <w:t xml:space="preserve">, 460 Mich 750, 763 (1999). Under </w:t>
      </w:r>
      <w:r>
        <w:rPr>
          <w:rFonts w:ascii="Times New Roman" w:hAnsi="Times New Roman"/>
          <w:b w:val="0"/>
          <w:i/>
          <w:sz w:val="24"/>
        </w:rPr>
        <w:t>Carines</w:t>
      </w:r>
      <w:r>
        <w:rPr>
          <w:rFonts w:ascii="Times New Roman" w:hAnsi="Times New Roman"/>
          <w:b w:val="0"/>
          <w:i w:val="0"/>
          <w:sz w:val="24"/>
        </w:rPr>
        <w:t>, Appellant must show:</w:t>
      </w:r>
    </w:p>
    <w:p>
      <w:pPr>
        <w:spacing w:line="480" w:lineRule="auto" w:after="0" w:before="0"/>
      </w:pPr>
      <w:r>
        <w:rPr>
          <w:rFonts w:ascii="Times New Roman" w:hAnsi="Times New Roman"/>
          <w:b/>
          <w:sz w:val="24"/>
        </w:rPr>
        <w:t xml:space="preserve">1. </w:t>
      </w:r>
      <w:r>
        <w:rPr>
          <w:rFonts w:ascii="Times New Roman" w:hAnsi="Times New Roman"/>
          <w:b/>
          <w:i w:val="0"/>
          <w:sz w:val="24"/>
        </w:rPr>
        <w:t>Error occurred</w:t>
      </w:r>
      <w:r>
        <w:rPr>
          <w:rFonts w:ascii="Times New Roman" w:hAnsi="Times New Roman"/>
          <w:b w:val="0"/>
          <w:i w:val="0"/>
          <w:sz w:val="24"/>
        </w:rPr>
        <w:t xml:space="preserve"> — an error was committed;</w:t>
      </w:r>
    </w:p>
    <w:p>
      <w:pPr>
        <w:spacing w:line="480" w:lineRule="auto" w:after="0" w:before="0"/>
      </w:pPr>
      <w:r>
        <w:rPr>
          <w:rFonts w:ascii="Times New Roman" w:hAnsi="Times New Roman"/>
          <w:b/>
          <w:sz w:val="24"/>
        </w:rPr>
        <w:t xml:space="preserve">2. </w:t>
      </w:r>
      <w:r>
        <w:rPr>
          <w:rFonts w:ascii="Times New Roman" w:hAnsi="Times New Roman"/>
          <w:b/>
          <w:i w:val="0"/>
          <w:sz w:val="24"/>
        </w:rPr>
        <w:t>The error was plain</w:t>
      </w:r>
      <w:r>
        <w:rPr>
          <w:rFonts w:ascii="Times New Roman" w:hAnsi="Times New Roman"/>
          <w:b w:val="0"/>
          <w:i w:val="0"/>
          <w:sz w:val="24"/>
        </w:rPr>
        <w:t xml:space="preserve"> — clear or obvious;</w:t>
      </w:r>
    </w:p>
    <w:p>
      <w:pPr>
        <w:spacing w:line="480" w:lineRule="auto" w:after="0" w:before="0"/>
      </w:pPr>
      <w:r>
        <w:rPr>
          <w:rFonts w:ascii="Times New Roman" w:hAnsi="Times New Roman"/>
          <w:b/>
          <w:sz w:val="24"/>
        </w:rPr>
        <w:t xml:space="preserve">3. </w:t>
      </w:r>
      <w:r>
        <w:rPr>
          <w:rFonts w:ascii="Times New Roman" w:hAnsi="Times New Roman"/>
          <w:b/>
          <w:i w:val="0"/>
          <w:sz w:val="24"/>
        </w:rPr>
        <w:t>The plain error affected substantial rights</w:t>
      </w:r>
      <w:r>
        <w:rPr>
          <w:rFonts w:ascii="Times New Roman" w:hAnsi="Times New Roman"/>
          <w:b w:val="0"/>
          <w:i w:val="0"/>
          <w:sz w:val="24"/>
        </w:rPr>
        <w:t xml:space="preserve"> — it affected the outcome of the proceedings; and</w:t>
      </w:r>
    </w:p>
    <w:p>
      <w:pPr>
        <w:spacing w:line="480" w:lineRule="auto" w:after="0" w:before="0"/>
      </w:pPr>
      <w:r>
        <w:rPr>
          <w:rFonts w:ascii="Times New Roman" w:hAnsi="Times New Roman"/>
          <w:b/>
          <w:sz w:val="24"/>
        </w:rPr>
        <w:t xml:space="preserve">4. </w:t>
      </w:r>
      <w:r>
        <w:rPr>
          <w:rFonts w:ascii="Times New Roman" w:hAnsi="Times New Roman"/>
          <w:b/>
          <w:i w:val="0"/>
          <w:sz w:val="24"/>
        </w:rPr>
        <w:t>The error seriously affects the fairness, integrity, or public reputation of judicial proceedings</w:t>
      </w:r>
      <w:r>
        <w:rPr>
          <w:rFonts w:ascii="Times New Roman" w:hAnsi="Times New Roman"/>
          <w:b w:val="0"/>
          <w:i w:val="0"/>
          <w:sz w:val="24"/>
        </w:rPr>
        <w:t xml:space="preserve"> — reversal is necessary to avoid a miscarriage of justice.</w:t>
      </w:r>
    </w:p>
    <w:p>
      <w:pPr>
        <w:spacing w:line="480" w:lineRule="auto" w:after="0" w:before="0"/>
      </w:pPr>
      <w:r>
        <w:rPr>
          <w:rFonts w:ascii="Times New Roman" w:hAnsi="Times New Roman"/>
          <w:b w:val="0"/>
          <w:i w:val="0"/>
          <w:sz w:val="24"/>
        </w:rPr>
        <w:t xml:space="preserve">Appellant submits that all four </w:t>
      </w:r>
      <w:r>
        <w:rPr>
          <w:rFonts w:ascii="Times New Roman" w:hAnsi="Times New Roman"/>
          <w:b w:val="0"/>
          <w:i/>
          <w:sz w:val="24"/>
        </w:rPr>
        <w:t>Carines</w:t>
      </w:r>
      <w:r>
        <w:rPr>
          <w:rFonts w:ascii="Times New Roman" w:hAnsi="Times New Roman"/>
          <w:b w:val="0"/>
          <w:i w:val="0"/>
          <w:sz w:val="24"/>
        </w:rPr>
        <w:t xml:space="preserve"> elements are satisfied for each issue presented. The errors are not subtle; they are fundamental deprivations of constitutional rights and statutory protections.</w:t>
      </w:r>
    </w:p>
    <w:p>
      <w:pPr>
        <w:pStyle w:val="Heading3"/>
      </w:pPr>
      <w:r>
        <w:rPr>
          <w:rFonts w:ascii="Times New Roman" w:hAnsi="Times New Roman"/>
        </w:rPr>
        <w:t>Additional Standards</w:t>
      </w:r>
    </w:p>
    <w:p>
      <w:pPr>
        <w:spacing w:line="480" w:lineRule="auto" w:after="0" w:before="0"/>
      </w:pPr>
      <w:r>
        <w:rPr>
          <w:rFonts w:ascii="Times New Roman" w:hAnsi="Times New Roman"/>
          <w:b w:val="0"/>
          <w:i w:val="0"/>
          <w:sz w:val="24"/>
        </w:rPr>
        <w:t xml:space="preserve">Custody decisions are reviewed for an abuse of discretion. </w:t>
      </w:r>
      <w:r>
        <w:rPr>
          <w:rFonts w:ascii="Times New Roman" w:hAnsi="Times New Roman"/>
          <w:b w:val="0"/>
          <w:i/>
          <w:sz w:val="24"/>
        </w:rPr>
        <w:t>Vodvarka v Grasher</w:t>
      </w:r>
      <w:r>
        <w:rPr>
          <w:rFonts w:ascii="Times New Roman" w:hAnsi="Times New Roman"/>
          <w:b w:val="0"/>
          <w:i w:val="0"/>
          <w:sz w:val="24"/>
        </w:rPr>
        <w:t xml:space="preserve">, 259 Mich App 1, 7 (2003). Findings of fact are reviewed for clear error. </w:t>
      </w:r>
      <w:r>
        <w:rPr>
          <w:rFonts w:ascii="Times New Roman" w:hAnsi="Times New Roman"/>
          <w:b w:val="0"/>
          <w:i/>
          <w:sz w:val="24"/>
        </w:rPr>
        <w:t>Pierron v Pierron</w:t>
      </w:r>
      <w:r>
        <w:rPr>
          <w:rFonts w:ascii="Times New Roman" w:hAnsi="Times New Roman"/>
          <w:b w:val="0"/>
          <w:i w:val="0"/>
          <w:sz w:val="24"/>
        </w:rPr>
        <w:t xml:space="preserve">, 486 Mich 81, 91 (2010). Constitutional questions are reviewed de novo. </w:t>
      </w:r>
      <w:r>
        <w:rPr>
          <w:rFonts w:ascii="Times New Roman" w:hAnsi="Times New Roman"/>
          <w:b w:val="0"/>
          <w:i/>
          <w:sz w:val="24"/>
        </w:rPr>
        <w:t>In re Sanders</w:t>
      </w:r>
      <w:r>
        <w:rPr>
          <w:rFonts w:ascii="Times New Roman" w:hAnsi="Times New Roman"/>
          <w:b w:val="0"/>
          <w:i w:val="0"/>
          <w:sz w:val="24"/>
        </w:rPr>
        <w:t>, 495 Mich 394, 404 (2014).</w:t>
      </w:r>
    </w:p>
    <w:p>
      <w:r>
        <w:br w:type="page"/>
      </w:r>
    </w:p>
    <w:p>
      <w:pPr>
        <w:pStyle w:val="Heading2"/>
      </w:pPr>
      <w:r>
        <w:rPr>
          <w:rFonts w:ascii="Times New Roman" w:hAnsi="Times New Roman"/>
        </w:rPr>
        <w:t>ARGUMENT</w:t>
      </w:r>
    </w:p>
    <w:p>
      <w:pPr>
        <w:pStyle w:val="Heading3"/>
      </w:pPr>
      <w:r>
        <w:rPr>
          <w:rFonts w:ascii="Times New Roman" w:hAnsi="Times New Roman"/>
        </w:rPr>
        <w:t>I. THE TRIAL COURT COMMITTED PLAIN ERROR BY SUSPENDING PARENTING TIME WITHOUT MCR 3.207(B) COMPLIANCE</w:t>
      </w:r>
    </w:p>
    <w:p>
      <w:pPr>
        <w:spacing w:line="480" w:lineRule="auto" w:after="0" w:before="0"/>
      </w:pPr>
      <w:r>
        <w:rPr>
          <w:rFonts w:ascii="Times New Roman" w:hAnsi="Times New Roman"/>
          <w:b/>
          <w:i w:val="0"/>
          <w:sz w:val="24"/>
        </w:rPr>
        <w:t>A. Error Occurred</w:t>
      </w:r>
    </w:p>
    <w:p>
      <w:pPr>
        <w:spacing w:line="480" w:lineRule="auto" w:after="0" w:before="0"/>
      </w:pPr>
      <w:r>
        <w:rPr>
          <w:rFonts w:ascii="Times New Roman" w:hAnsi="Times New Roman"/>
          <w:b w:val="0"/>
          <w:i w:val="0"/>
          <w:sz w:val="24"/>
        </w:rPr>
        <w:t xml:space="preserve">MCR 3.207(B) permits ex parte orders in domestic relations matters only where "immediate and irreparable injury, loss, or damage will result from the delay required to effect notice" and requires: (1) the movant to "certify to the court in writing the efforts, if any, which have been made to give notice"; and (2) "a hearing on the motion must be held within 14 days after the order is entered." MCR 3.207(B)(3). Due process protections apply even in interim custody determinations; a court must consider the best-interest factors before altering a custody arrangement, even on a temporary basis. </w:t>
      </w:r>
      <w:r>
        <w:rPr>
          <w:rFonts w:ascii="Times New Roman" w:hAnsi="Times New Roman"/>
          <w:b w:val="0"/>
          <w:i/>
          <w:sz w:val="24"/>
        </w:rPr>
        <w:t>Kaeb v Kaeb</w:t>
      </w:r>
      <w:r>
        <w:rPr>
          <w:rFonts w:ascii="Times New Roman" w:hAnsi="Times New Roman"/>
          <w:b w:val="0"/>
          <w:i w:val="0"/>
          <w:sz w:val="24"/>
        </w:rPr>
        <w:t>, 309 Mich App 556; 873 NW2d 319 (2015).</w:t>
      </w:r>
    </w:p>
    <w:p>
      <w:pPr>
        <w:spacing w:line="480" w:lineRule="auto" w:after="0" w:before="0"/>
      </w:pPr>
      <w:r>
        <w:rPr>
          <w:rFonts w:ascii="Times New Roman" w:hAnsi="Times New Roman"/>
          <w:b w:val="0"/>
          <w:i w:val="0"/>
          <w:sz w:val="24"/>
        </w:rPr>
        <w:t xml:space="preserve">The record contains no certification of efforts to give notice. No finding of immediate and irreparable injury appears. No hearing was held within 14 days. The suspension has now lasted </w:t>
      </w:r>
      <w:r>
        <w:rPr>
          <w:rFonts w:ascii="Times New Roman" w:hAnsi="Times New Roman"/>
          <w:b/>
          <w:i w:val="0"/>
          <w:sz w:val="24"/>
        </w:rPr>
        <w:t>250 days</w:t>
      </w:r>
      <w:r>
        <w:rPr>
          <w:rFonts w:ascii="Times New Roman" w:hAnsi="Times New Roman"/>
          <w:b w:val="0"/>
          <w:i w:val="0"/>
          <w:sz w:val="24"/>
        </w:rPr>
        <w:t xml:space="preserve"> (from August 8, 2025 to April 15, 2026) — exceeding the maximum permitted pre-hearing duration by a factor of 17.</w:t>
      </w:r>
    </w:p>
    <w:p>
      <w:pPr>
        <w:spacing w:line="480" w:lineRule="auto" w:after="0" w:before="0"/>
      </w:pPr>
      <w:r>
        <w:rPr>
          <w:rFonts w:ascii="Times New Roman" w:hAnsi="Times New Roman"/>
          <w:b/>
          <w:i w:val="0"/>
          <w:sz w:val="24"/>
        </w:rPr>
        <w:t>B. The Error Was Plain</w:t>
      </w:r>
    </w:p>
    <w:p>
      <w:pPr>
        <w:spacing w:line="480" w:lineRule="auto" w:after="0" w:before="0"/>
      </w:pPr>
      <w:r>
        <w:rPr>
          <w:rFonts w:ascii="Times New Roman" w:hAnsi="Times New Roman"/>
          <w:b w:val="0"/>
          <w:i w:val="0"/>
          <w:sz w:val="24"/>
        </w:rPr>
        <w:t xml:space="preserve">MCR 3.207(B) is unambiguous. Its requirements are mandatory ("must"), not discretionary. A trial court's failure to comply with express procedural requirements is a plain error. See </w:t>
      </w:r>
      <w:r>
        <w:rPr>
          <w:rFonts w:ascii="Times New Roman" w:hAnsi="Times New Roman"/>
          <w:b w:val="0"/>
          <w:i/>
          <w:sz w:val="24"/>
        </w:rPr>
        <w:t>Carines</w:t>
      </w:r>
      <w:r>
        <w:rPr>
          <w:rFonts w:ascii="Times New Roman" w:hAnsi="Times New Roman"/>
          <w:b w:val="0"/>
          <w:i w:val="0"/>
          <w:sz w:val="24"/>
        </w:rPr>
        <w:t>, 460 Mich at 763.</w:t>
      </w:r>
    </w:p>
    <w:p>
      <w:pPr>
        <w:spacing w:line="480" w:lineRule="auto" w:after="0" w:before="0"/>
      </w:pPr>
      <w:r>
        <w:rPr>
          <w:rFonts w:ascii="Times New Roman" w:hAnsi="Times New Roman"/>
          <w:b/>
          <w:i w:val="0"/>
          <w:sz w:val="24"/>
        </w:rPr>
        <w:t>C. The Error Affected Substantial Rights</w:t>
      </w:r>
    </w:p>
    <w:p>
      <w:pPr>
        <w:spacing w:line="480" w:lineRule="auto" w:after="0" w:before="0"/>
      </w:pPr>
      <w:r>
        <w:rPr>
          <w:rFonts w:ascii="Times New Roman" w:hAnsi="Times New Roman"/>
          <w:b w:val="0"/>
          <w:i w:val="0"/>
          <w:sz w:val="24"/>
        </w:rPr>
        <w:t>Father lost all contact with his children for 250 days (from August 8, 2025 to April 15, 2026). This is not a technical violation — it is the complete deprivation of a fundamental constitutional right. Had the court complied with MCR 3.207(B), Father would have had a hearing within 14 days, with the opportunity to present evidence, cross-examine witnesses, and contest the suspension.</w:t>
      </w:r>
    </w:p>
    <w:p>
      <w:pPr>
        <w:spacing w:line="480" w:lineRule="auto" w:after="0" w:before="0"/>
      </w:pPr>
      <w:r>
        <w:rPr>
          <w:rFonts w:ascii="Times New Roman" w:hAnsi="Times New Roman"/>
          <w:b/>
          <w:i w:val="0"/>
          <w:sz w:val="24"/>
        </w:rPr>
        <w:t>D. The Error Affects the Integrity of Proceedings</w:t>
      </w:r>
    </w:p>
    <w:p>
      <w:pPr>
        <w:spacing w:line="480" w:lineRule="auto" w:after="0" w:before="0"/>
      </w:pPr>
      <w:r>
        <w:rPr>
          <w:rFonts w:ascii="Times New Roman" w:hAnsi="Times New Roman"/>
          <w:b w:val="0"/>
          <w:i w:val="0"/>
          <w:sz w:val="24"/>
        </w:rPr>
        <w:t>A trial court that suspends a parent's constitutional rights without following its own procedural rules — and then maintains that suspension for 250 days (from August 8, 2025 to April 15, 2026) — undermines the fairness and public reputation of the judiciary. This Court should not allow such a departure from fundamental procedural protections to stand.</w:t>
      </w:r>
    </w:p>
    <w:p>
      <w:r>
        <w:br w:type="page"/>
      </w:r>
    </w:p>
    <w:p>
      <w:pPr>
        <w:pStyle w:val="Heading3"/>
      </w:pPr>
      <w:r>
        <w:rPr>
          <w:rFonts w:ascii="Times New Roman" w:hAnsi="Times New Roman"/>
        </w:rPr>
        <w:t>II. THE TRIAL COURT COMMITTED PLAIN ERROR BY FAILING TO APPLY BEST INTEREST FACTORS</w:t>
      </w:r>
    </w:p>
    <w:p>
      <w:pPr>
        <w:spacing w:line="480" w:lineRule="auto" w:after="0" w:before="0"/>
      </w:pPr>
      <w:r>
        <w:rPr>
          <w:rFonts w:ascii="Times New Roman" w:hAnsi="Times New Roman"/>
          <w:b/>
          <w:i w:val="0"/>
          <w:sz w:val="24"/>
        </w:rPr>
        <w:t>A. Error Occurred</w:t>
      </w:r>
    </w:p>
    <w:p>
      <w:pPr>
        <w:spacing w:line="480" w:lineRule="auto" w:after="0" w:before="0"/>
      </w:pPr>
      <w:r>
        <w:rPr>
          <w:rFonts w:ascii="Times New Roman" w:hAnsi="Times New Roman"/>
          <w:b w:val="0"/>
          <w:i w:val="0"/>
          <w:sz w:val="24"/>
        </w:rPr>
        <w:t xml:space="preserve">MCL 722.23 requires the trial court to "consider, evaluate, and determine each of the following factors" before making a custody determination: the 12 best interest factors (a) through (l). </w:t>
      </w:r>
      <w:r>
        <w:rPr>
          <w:rFonts w:ascii="Times New Roman" w:hAnsi="Times New Roman"/>
          <w:b w:val="0"/>
          <w:i/>
          <w:sz w:val="24"/>
        </w:rPr>
        <w:t>Vodvarka v Grasher</w:t>
      </w:r>
      <w:r>
        <w:rPr>
          <w:rFonts w:ascii="Times New Roman" w:hAnsi="Times New Roman"/>
          <w:b w:val="0"/>
          <w:i w:val="0"/>
          <w:sz w:val="24"/>
        </w:rPr>
        <w:t xml:space="preserve">, 259 Mich App 1, 7 (2003). The Michigan Supreme Court has held that a trial court must make independent findings on each best-interest factor and cannot merely adopt a FOC recommendation without independent analysis. </w:t>
      </w:r>
      <w:r>
        <w:rPr>
          <w:rFonts w:ascii="Times New Roman" w:hAnsi="Times New Roman"/>
          <w:b w:val="0"/>
          <w:i/>
          <w:sz w:val="24"/>
        </w:rPr>
        <w:t>DeRose v DeRose</w:t>
      </w:r>
      <w:r>
        <w:rPr>
          <w:rFonts w:ascii="Times New Roman" w:hAnsi="Times New Roman"/>
          <w:b w:val="0"/>
          <w:i w:val="0"/>
          <w:sz w:val="24"/>
        </w:rPr>
        <w:t>, 469 Mich 320; 666 NW2d 636 (2003). The suspension of ALL parenting time is functionally a custody modification — it transferred Father's custodial time entirely to Mother. Yet the record contains no BIF analysis whatsoever.</w:t>
      </w:r>
    </w:p>
    <w:p>
      <w:pPr>
        <w:spacing w:line="480" w:lineRule="auto" w:after="0" w:before="0"/>
      </w:pPr>
      <w:r>
        <w:rPr>
          <w:rFonts w:ascii="Times New Roman" w:hAnsi="Times New Roman"/>
          <w:b/>
          <w:i w:val="0"/>
          <w:sz w:val="24"/>
        </w:rPr>
        <w:t>B. The Error Was Plain</w:t>
      </w:r>
    </w:p>
    <w:p>
      <w:pPr>
        <w:spacing w:line="480" w:lineRule="auto" w:after="0" w:before="0"/>
      </w:pPr>
      <w:r>
        <w:rPr>
          <w:rFonts w:ascii="Times New Roman" w:hAnsi="Times New Roman"/>
          <w:b w:val="0"/>
          <w:i w:val="0"/>
          <w:sz w:val="24"/>
        </w:rPr>
        <w:t xml:space="preserve">The requirement to apply MCL 722.23 factors is a foundational principle of Michigan custody law. Failure to make any BIF findings before modifying custody is a clear, obvious error that any reasonable jurist would recognize. See </w:t>
      </w:r>
      <w:r>
        <w:rPr>
          <w:rFonts w:ascii="Times New Roman" w:hAnsi="Times New Roman"/>
          <w:b w:val="0"/>
          <w:i/>
          <w:sz w:val="24"/>
        </w:rPr>
        <w:t>Pierron v Pierron</w:t>
      </w:r>
      <w:r>
        <w:rPr>
          <w:rFonts w:ascii="Times New Roman" w:hAnsi="Times New Roman"/>
          <w:b w:val="0"/>
          <w:i w:val="0"/>
          <w:sz w:val="24"/>
        </w:rPr>
        <w:t>, 486 Mich 81 (2010).</w:t>
      </w:r>
    </w:p>
    <w:p>
      <w:pPr>
        <w:spacing w:line="480" w:lineRule="auto" w:after="0" w:before="0"/>
      </w:pPr>
      <w:r>
        <w:rPr>
          <w:rFonts w:ascii="Times New Roman" w:hAnsi="Times New Roman"/>
          <w:b/>
          <w:i w:val="0"/>
          <w:sz w:val="24"/>
        </w:rPr>
        <w:t>C. The Error Affected Substantial Rights</w:t>
      </w:r>
    </w:p>
    <w:p>
      <w:pPr>
        <w:spacing w:line="480" w:lineRule="auto" w:after="0" w:before="0"/>
      </w:pPr>
      <w:r>
        <w:rPr>
          <w:rFonts w:ascii="Times New Roman" w:hAnsi="Times New Roman"/>
          <w:b w:val="0"/>
          <w:i w:val="0"/>
          <w:sz w:val="24"/>
        </w:rPr>
        <w:t xml:space="preserve">Had the trial court applied the BIF factors, the analysis would have favored Father on the majority of factors — particularly Factor (j), willingness to facilitate the parent-child relationship, where Mother's conduct in obtaining and maintaining the ex parte suspension directly undermines her position. Moreover, the established custodial environment analysis — a critical threshold in custody disputes — was entirely omitted. </w:t>
      </w:r>
      <w:r>
        <w:rPr>
          <w:rFonts w:ascii="Times New Roman" w:hAnsi="Times New Roman"/>
          <w:b w:val="0"/>
          <w:i/>
          <w:sz w:val="24"/>
        </w:rPr>
        <w:t>Foskett v Foskett</w:t>
      </w:r>
      <w:r>
        <w:rPr>
          <w:rFonts w:ascii="Times New Roman" w:hAnsi="Times New Roman"/>
          <w:b w:val="0"/>
          <w:i w:val="0"/>
          <w:sz w:val="24"/>
        </w:rPr>
        <w:t>, 247 Mich App 1; 634 NW2d 363 (2001) (ECE can exist in both parents' homes simultaneously; modification requires clear and convincing evidence). Father had an established custodial environment with the children prior to the ex parte suspension, and eliminating that ECE without the requisite evidentiary standard is reversible error.</w:t>
      </w:r>
    </w:p>
    <w:p>
      <w:pPr>
        <w:spacing w:line="480" w:lineRule="auto" w:after="0" w:before="0"/>
      </w:pPr>
      <w:r>
        <w:rPr>
          <w:rFonts w:ascii="Times New Roman" w:hAnsi="Times New Roman"/>
          <w:b w:val="0"/>
          <w:i w:val="0"/>
          <w:sz w:val="24"/>
        </w:rPr>
        <w:t xml:space="preserve">Appellant's review of all 12 factors with record evidence demonstrates: - </w:t>
      </w:r>
      <w:r>
        <w:rPr>
          <w:rFonts w:ascii="Times New Roman" w:hAnsi="Times New Roman"/>
          <w:b/>
          <w:i w:val="0"/>
          <w:sz w:val="24"/>
        </w:rPr>
        <w:t>Factors strongly favoring Father:</w:t>
      </w:r>
      <w:r>
        <w:rPr>
          <w:rFonts w:ascii="Times New Roman" w:hAnsi="Times New Roman"/>
          <w:b w:val="0"/>
          <w:i w:val="0"/>
          <w:sz w:val="24"/>
        </w:rPr>
        <w:t xml:space="preserve"> (a), (b), (c), (d), (e), (j), (l) - </w:t>
      </w:r>
      <w:r>
        <w:rPr>
          <w:rFonts w:ascii="Times New Roman" w:hAnsi="Times New Roman"/>
          <w:b/>
          <w:i w:val="0"/>
          <w:sz w:val="24"/>
        </w:rPr>
        <w:t>Factors neutral:</w:t>
      </w:r>
      <w:r>
        <w:rPr>
          <w:rFonts w:ascii="Times New Roman" w:hAnsi="Times New Roman"/>
          <w:b w:val="0"/>
          <w:i w:val="0"/>
          <w:sz w:val="24"/>
        </w:rPr>
        <w:t xml:space="preserve"> (g), (h), (i) - </w:t>
      </w:r>
      <w:r>
        <w:rPr>
          <w:rFonts w:ascii="Times New Roman" w:hAnsi="Times New Roman"/>
          <w:b/>
          <w:i w:val="0"/>
          <w:sz w:val="24"/>
        </w:rPr>
        <w:t>Factors requiring hearing:</w:t>
      </w:r>
      <w:r>
        <w:rPr>
          <w:rFonts w:ascii="Times New Roman" w:hAnsi="Times New Roman"/>
          <w:b w:val="0"/>
          <w:i w:val="0"/>
          <w:sz w:val="24"/>
        </w:rPr>
        <w:t xml:space="preserve"> (f), (k)</w:t>
      </w:r>
    </w:p>
    <w:p>
      <w:pPr>
        <w:spacing w:line="480" w:lineRule="auto" w:after="0" w:before="0"/>
      </w:pPr>
      <w:r>
        <w:rPr>
          <w:rFonts w:ascii="Times New Roman" w:hAnsi="Times New Roman"/>
          <w:b w:val="0"/>
          <w:i w:val="0"/>
          <w:sz w:val="24"/>
        </w:rPr>
        <w:t xml:space="preserve">Moreover, the trial court's own best-interest-factor analysis found that "both parents have a strong bond with the minor child" and that "[t]his Factor is equal between the parties" under MCL 722.23(a). </w:t>
      </w:r>
      <w:r>
        <w:rPr>
          <w:rFonts w:ascii="Times New Roman" w:hAnsi="Times New Roman"/>
          <w:b w:val="0"/>
          <w:i/>
          <w:sz w:val="24"/>
        </w:rPr>
        <w:t>See</w:t>
      </w:r>
      <w:r>
        <w:rPr>
          <w:rFonts w:ascii="Times New Roman" w:hAnsi="Times New Roman"/>
          <w:b w:val="0"/>
          <w:i w:val="0"/>
          <w:sz w:val="24"/>
        </w:rPr>
        <w:t xml:space="preserve"> Record, Final Judgment dated August 23, 2024, Best Interest Factor Analysis. The subsequent total suspension of Father's parenting time is irreconcilable with the court's own finding of equal parental bond — constituting an abuse of discretion that is plain on the face of the record.</w:t>
      </w:r>
    </w:p>
    <w:p>
      <w:pPr>
        <w:spacing w:line="480" w:lineRule="auto" w:after="0" w:before="0"/>
      </w:pPr>
      <w:r>
        <w:rPr>
          <w:rFonts w:ascii="Times New Roman" w:hAnsi="Times New Roman"/>
          <w:b/>
          <w:i w:val="0"/>
          <w:sz w:val="24"/>
        </w:rPr>
        <w:t>D. The Error Affects the Integrity of Proceedings</w:t>
      </w:r>
    </w:p>
    <w:p>
      <w:pPr>
        <w:spacing w:line="480" w:lineRule="auto" w:after="0" w:before="0"/>
      </w:pPr>
      <w:r>
        <w:rPr>
          <w:rFonts w:ascii="Times New Roman" w:hAnsi="Times New Roman"/>
          <w:b w:val="0"/>
          <w:i w:val="0"/>
          <w:sz w:val="24"/>
        </w:rPr>
        <w:t>Custody modification without BIF analysis is not merely procedural error — it is the court substituting its own unexamined judgment for the detailed statutory framework the Legislature enacted to protect children and parents. Public confidence in the family court system depends on adherence to this framework.</w:t>
      </w:r>
    </w:p>
    <w:p>
      <w:r>
        <w:br w:type="page"/>
      </w:r>
    </w:p>
    <w:p>
      <w:pPr>
        <w:pStyle w:val="Heading3"/>
      </w:pPr>
      <w:r>
        <w:rPr>
          <w:rFonts w:ascii="Times New Roman" w:hAnsi="Times New Roman"/>
        </w:rPr>
        <w:t>III. THE TRIAL COURT COMMITTED PLAIN ERROR BY DENYING DUE PROCESS</w:t>
      </w:r>
    </w:p>
    <w:p>
      <w:pPr>
        <w:spacing w:line="480" w:lineRule="auto" w:after="0" w:before="0"/>
      </w:pPr>
      <w:r>
        <w:rPr>
          <w:rFonts w:ascii="Times New Roman" w:hAnsi="Times New Roman"/>
          <w:b/>
          <w:i w:val="0"/>
          <w:sz w:val="24"/>
        </w:rPr>
        <w:t>A. Error Occurred</w:t>
      </w:r>
    </w:p>
    <w:p>
      <w:pPr>
        <w:spacing w:line="480" w:lineRule="auto" w:after="0" w:before="0"/>
      </w:pPr>
      <w:r>
        <w:rPr>
          <w:rFonts w:ascii="Times New Roman" w:hAnsi="Times New Roman"/>
          <w:b w:val="0"/>
          <w:i w:val="0"/>
          <w:sz w:val="24"/>
        </w:rPr>
        <w:t xml:space="preserve">"The fundamental requisite of due process of law is the opportunity to be heard." </w:t>
      </w:r>
      <w:r>
        <w:rPr>
          <w:rFonts w:ascii="Times New Roman" w:hAnsi="Times New Roman"/>
          <w:b w:val="0"/>
          <w:i/>
          <w:sz w:val="24"/>
        </w:rPr>
        <w:t>Grannis v Ordean</w:t>
      </w:r>
      <w:r>
        <w:rPr>
          <w:rFonts w:ascii="Times New Roman" w:hAnsi="Times New Roman"/>
          <w:b w:val="0"/>
          <w:i w:val="0"/>
          <w:sz w:val="24"/>
        </w:rPr>
        <w:t xml:space="preserve">, 234 US 385, 394 (1914). The right to the care and custody of one's children is a "fundamental liberty interest" subject to the highest constitutional protection. </w:t>
      </w:r>
      <w:r>
        <w:rPr>
          <w:rFonts w:ascii="Times New Roman" w:hAnsi="Times New Roman"/>
          <w:b w:val="0"/>
          <w:i/>
          <w:sz w:val="24"/>
        </w:rPr>
        <w:t>Troxel v Granville</w:t>
      </w:r>
      <w:r>
        <w:rPr>
          <w:rFonts w:ascii="Times New Roman" w:hAnsi="Times New Roman"/>
          <w:b w:val="0"/>
          <w:i w:val="0"/>
          <w:sz w:val="24"/>
        </w:rPr>
        <w:t xml:space="preserve">, 530 US 57, 65 (2000); </w:t>
      </w:r>
      <w:r>
        <w:rPr>
          <w:rFonts w:ascii="Times New Roman" w:hAnsi="Times New Roman"/>
          <w:b w:val="0"/>
          <w:i/>
          <w:sz w:val="24"/>
        </w:rPr>
        <w:t>In re Sanders</w:t>
      </w:r>
      <w:r>
        <w:rPr>
          <w:rFonts w:ascii="Times New Roman" w:hAnsi="Times New Roman"/>
          <w:b w:val="0"/>
          <w:i w:val="0"/>
          <w:sz w:val="24"/>
        </w:rPr>
        <w:t>, 495 Mich 394, 409 (2014).</w:t>
      </w:r>
    </w:p>
    <w:p>
      <w:pPr>
        <w:spacing w:line="480" w:lineRule="auto" w:after="0" w:before="0"/>
      </w:pPr>
      <w:r>
        <w:rPr>
          <w:rFonts w:ascii="Times New Roman" w:hAnsi="Times New Roman"/>
          <w:b w:val="0"/>
          <w:i w:val="0"/>
          <w:sz w:val="24"/>
        </w:rPr>
        <w:t>Father received no notice before the August 8, 2025 ex parte orders. Father received no opportunity to be heard. Father's fundamental liberty interest was extinguished without any process.</w:t>
      </w:r>
    </w:p>
    <w:p>
      <w:pPr>
        <w:spacing w:line="480" w:lineRule="auto" w:after="0" w:before="0"/>
      </w:pPr>
      <w:r>
        <w:rPr>
          <w:rFonts w:ascii="Times New Roman" w:hAnsi="Times New Roman"/>
          <w:b/>
          <w:i w:val="0"/>
          <w:sz w:val="24"/>
        </w:rPr>
        <w:t>B. The Error Was Plain</w:t>
      </w:r>
    </w:p>
    <w:p>
      <w:pPr>
        <w:spacing w:line="480" w:lineRule="auto" w:after="0" w:before="0"/>
      </w:pPr>
      <w:r>
        <w:rPr>
          <w:rFonts w:ascii="Times New Roman" w:hAnsi="Times New Roman"/>
          <w:b w:val="0"/>
          <w:i w:val="0"/>
          <w:sz w:val="24"/>
        </w:rPr>
        <w:t xml:space="preserve">The constitutional requirement of notice and hearing before deprivation of fundamental rights is among the most clearly established principles in American law. See </w:t>
      </w:r>
      <w:r>
        <w:rPr>
          <w:rFonts w:ascii="Times New Roman" w:hAnsi="Times New Roman"/>
          <w:b w:val="0"/>
          <w:i/>
          <w:sz w:val="24"/>
        </w:rPr>
        <w:t>Santosky v Kramer</w:t>
      </w:r>
      <w:r>
        <w:rPr>
          <w:rFonts w:ascii="Times New Roman" w:hAnsi="Times New Roman"/>
          <w:b w:val="0"/>
          <w:i w:val="0"/>
          <w:sz w:val="24"/>
        </w:rPr>
        <w:t>, 455 US 745, 753 (1982) ("The fundamental liberty interest of natural parents in the care, custody, and management of their child does not evaporate simply because they have not been model parents.").</w:t>
      </w:r>
    </w:p>
    <w:p>
      <w:pPr>
        <w:spacing w:line="480" w:lineRule="auto" w:after="0" w:before="0"/>
      </w:pPr>
      <w:r>
        <w:rPr>
          <w:rFonts w:ascii="Times New Roman" w:hAnsi="Times New Roman"/>
          <w:b/>
          <w:i w:val="0"/>
          <w:sz w:val="24"/>
        </w:rPr>
        <w:t>C. The Error Affected Substantial Rights</w:t>
      </w:r>
    </w:p>
    <w:p>
      <w:pPr>
        <w:spacing w:line="480" w:lineRule="auto" w:after="0" w:before="0"/>
      </w:pPr>
      <w:r>
        <w:rPr>
          <w:rFonts w:ascii="Times New Roman" w:hAnsi="Times New Roman"/>
          <w:b w:val="0"/>
          <w:i w:val="0"/>
          <w:sz w:val="24"/>
        </w:rPr>
        <w:t>Father has been completely separated from his children for 250 days (from August 8, 2025 to April 15, 2026). Each day represents an irreversible loss of the parent-child relationship — developmental milestones missed, bonds weakened, and the alienation effect compounded.</w:t>
      </w:r>
    </w:p>
    <w:p>
      <w:pPr>
        <w:spacing w:line="480" w:lineRule="auto" w:after="0" w:before="0"/>
      </w:pPr>
      <w:r>
        <w:rPr>
          <w:rFonts w:ascii="Times New Roman" w:hAnsi="Times New Roman"/>
          <w:b/>
          <w:i w:val="0"/>
          <w:sz w:val="24"/>
        </w:rPr>
        <w:t>D. The Error Affects the Integrity of Proceedings</w:t>
      </w:r>
    </w:p>
    <w:p>
      <w:pPr>
        <w:spacing w:line="480" w:lineRule="auto" w:after="0" w:before="0"/>
      </w:pPr>
      <w:r>
        <w:rPr>
          <w:rFonts w:ascii="Times New Roman" w:hAnsi="Times New Roman"/>
          <w:b w:val="0"/>
          <w:i w:val="0"/>
          <w:sz w:val="24"/>
        </w:rPr>
        <w:t>When a court deprives a parent of fundamental rights without any process, it does not merely harm the individual parent — it undermines public trust in the judicial system's commitment to constitutional principles. This Court should not countenance such a departure from due process.</w:t>
      </w:r>
    </w:p>
    <w:p>
      <w:r>
        <w:br w:type="page"/>
      </w:r>
    </w:p>
    <w:p>
      <w:pPr>
        <w:pStyle w:val="Heading3"/>
      </w:pPr>
      <w:r>
        <w:rPr>
          <w:rFonts w:ascii="Times New Roman" w:hAnsi="Times New Roman"/>
        </w:rPr>
        <w:t>IV. THE TRIAL COURT'S PATTERN DEMONSTRATES BIAS REQUIRING DISQUALIFICATION</w:t>
      </w:r>
    </w:p>
    <w:p>
      <w:pPr>
        <w:spacing w:line="480" w:lineRule="auto" w:after="0" w:before="0"/>
      </w:pPr>
      <w:r>
        <w:rPr>
          <w:rFonts w:ascii="Times New Roman" w:hAnsi="Times New Roman"/>
          <w:b w:val="0"/>
          <w:i w:val="0"/>
          <w:sz w:val="24"/>
        </w:rPr>
        <w:t xml:space="preserve">MCR 2.003(C)(1)(b) requires disqualification where the judge "is personally biased or prejudiced for or against a party." </w:t>
      </w:r>
      <w:r>
        <w:rPr>
          <w:rFonts w:ascii="Times New Roman" w:hAnsi="Times New Roman"/>
          <w:b w:val="0"/>
          <w:i/>
          <w:sz w:val="24"/>
        </w:rPr>
        <w:t>Cain v Michigan Dep't of Corrections</w:t>
      </w:r>
      <w:r>
        <w:rPr>
          <w:rFonts w:ascii="Times New Roman" w:hAnsi="Times New Roman"/>
          <w:b w:val="0"/>
          <w:i w:val="0"/>
          <w:sz w:val="24"/>
        </w:rPr>
        <w:t>, 451 Mich 470, 496 (1996) (bias may be shown through pattern of conduct).</w:t>
      </w:r>
    </w:p>
    <w:p>
      <w:pPr>
        <w:spacing w:line="480" w:lineRule="auto" w:after="0" w:before="0"/>
      </w:pPr>
      <w:r>
        <w:rPr>
          <w:rFonts w:ascii="Times New Roman" w:hAnsi="Times New Roman"/>
          <w:b w:val="0"/>
          <w:i w:val="0"/>
          <w:sz w:val="24"/>
        </w:rPr>
        <w:t>The pattern here is overwhelming:</w:t>
      </w:r>
    </w:p>
    <w:p>
      <w:pPr>
        <w:spacing w:line="480" w:lineRule="auto" w:after="0" w:before="0"/>
      </w:pPr>
      <w:r>
        <w:rPr>
          <w:rFonts w:ascii="Times New Roman" w:hAnsi="Times New Roman"/>
          <w:b/>
          <w:sz w:val="24"/>
        </w:rPr>
        <w:t xml:space="preserve">1. </w:t>
      </w:r>
      <w:r>
        <w:rPr>
          <w:rFonts w:ascii="Times New Roman" w:hAnsi="Times New Roman"/>
          <w:b/>
          <w:i w:val="0"/>
          <w:sz w:val="24"/>
        </w:rPr>
        <w:t>43.6% ex parte order rate</w:t>
      </w:r>
      <w:r>
        <w:rPr>
          <w:rFonts w:ascii="Times New Roman" w:hAnsi="Times New Roman"/>
          <w:b w:val="0"/>
          <w:i w:val="0"/>
          <w:sz w:val="24"/>
        </w:rPr>
        <w:t xml:space="preserve"> — nearly half of all orders entered without Father's participation</w:t>
      </w:r>
    </w:p>
    <w:p>
      <w:pPr>
        <w:spacing w:line="480" w:lineRule="auto" w:after="0" w:before="0"/>
      </w:pPr>
      <w:r>
        <w:rPr>
          <w:rFonts w:ascii="Times New Roman" w:hAnsi="Times New Roman"/>
          <w:b/>
          <w:sz w:val="24"/>
        </w:rPr>
        <w:t xml:space="preserve">2. </w:t>
      </w:r>
      <w:r>
        <w:rPr>
          <w:rFonts w:ascii="Times New Roman" w:hAnsi="Times New Roman"/>
          <w:b/>
          <w:i w:val="0"/>
          <w:sz w:val="24"/>
        </w:rPr>
        <w:t>Five ex parte orders on a single day</w:t>
      </w:r>
      <w:r>
        <w:rPr>
          <w:rFonts w:ascii="Times New Roman" w:hAnsi="Times New Roman"/>
          <w:b w:val="0"/>
          <w:i w:val="0"/>
          <w:sz w:val="24"/>
        </w:rPr>
        <w:t xml:space="preserve"> (August 8, 2025) — an extraordinary concentration</w:t>
      </w:r>
    </w:p>
    <w:p>
      <w:pPr>
        <w:spacing w:line="480" w:lineRule="auto" w:after="0" w:before="0"/>
      </w:pPr>
      <w:r>
        <w:rPr>
          <w:rFonts w:ascii="Times New Roman" w:hAnsi="Times New Roman"/>
          <w:b/>
          <w:sz w:val="24"/>
        </w:rPr>
        <w:t xml:space="preserve">3. </w:t>
      </w:r>
      <w:r>
        <w:rPr>
          <w:rFonts w:ascii="Times New Roman" w:hAnsi="Times New Roman"/>
          <w:b/>
          <w:i w:val="0"/>
          <w:sz w:val="24"/>
        </w:rPr>
        <w:t>Numerous documented judicial inconsistencies</w:t>
      </w:r>
      <w:r>
        <w:rPr>
          <w:rFonts w:ascii="Times New Roman" w:hAnsi="Times New Roman"/>
          <w:b w:val="0"/>
          <w:i w:val="0"/>
          <w:sz w:val="24"/>
        </w:rPr>
        <w:t xml:space="preserve"> — including the court's finding of equal parental bond contradicted by total suspension, refusal to view exculpatory evidence while relying on unsworn allegations, and one-sided imposition of filing bond — indicating arbitrary decision-making</w:t>
      </w:r>
    </w:p>
    <w:p>
      <w:pPr>
        <w:spacing w:line="480" w:lineRule="auto" w:after="0" w:before="0"/>
      </w:pPr>
      <w:r>
        <w:rPr>
          <w:rFonts w:ascii="Times New Roman" w:hAnsi="Times New Roman"/>
          <w:b/>
          <w:sz w:val="24"/>
        </w:rPr>
        <w:t xml:space="preserve">4. </w:t>
      </w:r>
      <w:r>
        <w:rPr>
          <w:rFonts w:ascii="Times New Roman" w:hAnsi="Times New Roman"/>
          <w:b/>
          <w:i w:val="0"/>
          <w:sz w:val="24"/>
        </w:rPr>
        <w:t>Temporal coordination</w:t>
      </w:r>
      <w:r>
        <w:rPr>
          <w:rFonts w:ascii="Times New Roman" w:hAnsi="Times New Roman"/>
          <w:b w:val="0"/>
          <w:i w:val="0"/>
          <w:sz w:val="24"/>
        </w:rPr>
        <w:t xml:space="preserve"> with opposing party's filings — Watson files, McNeill rules same day</w:t>
      </w:r>
    </w:p>
    <w:p>
      <w:pPr>
        <w:spacing w:line="480" w:lineRule="auto" w:after="0" w:before="0"/>
      </w:pPr>
      <w:r>
        <w:rPr>
          <w:rFonts w:ascii="Times New Roman" w:hAnsi="Times New Roman"/>
          <w:b/>
          <w:sz w:val="24"/>
        </w:rPr>
        <w:t xml:space="preserve">5. </w:t>
      </w:r>
      <w:r>
        <w:rPr>
          <w:rFonts w:ascii="Times New Roman" w:hAnsi="Times New Roman"/>
          <w:b/>
          <w:i w:val="0"/>
          <w:sz w:val="24"/>
        </w:rPr>
        <w:t>250-day separation</w:t>
      </w:r>
      <w:r>
        <w:rPr>
          <w:rFonts w:ascii="Times New Roman" w:hAnsi="Times New Roman"/>
          <w:b w:val="0"/>
          <w:i w:val="0"/>
          <w:sz w:val="24"/>
        </w:rPr>
        <w:t xml:space="preserve"> (from August 8, 2025 to April 15, 2026) maintained without a single hearing to evaluate whether it should continue</w:t>
      </w:r>
    </w:p>
    <w:p>
      <w:pPr>
        <w:spacing w:line="480" w:lineRule="auto" w:after="0" w:before="0"/>
      </w:pPr>
      <w:r>
        <w:rPr>
          <w:rFonts w:ascii="Times New Roman" w:hAnsi="Times New Roman"/>
          <w:b w:val="0"/>
          <w:i w:val="0"/>
          <w:sz w:val="24"/>
        </w:rPr>
        <w:t>This is not a case of isolated judicial error. It is a pattern of proceedings in which Father was systematically denied meaningful participation, depriving him of his fundamental rights. Disqualification is required.</w:t>
      </w:r>
    </w:p>
    <w:p>
      <w:r>
        <w:br w:type="page"/>
      </w:r>
    </w:p>
    <w:p>
      <w:pPr>
        <w:pStyle w:val="Heading3"/>
      </w:pPr>
      <w:r>
        <w:rPr>
          <w:rFonts w:ascii="Times New Roman" w:hAnsi="Times New Roman"/>
        </w:rPr>
        <w:t>V. EX PARTE COMMUNICATIONS TAINTED ALL SUBSEQUENT ORDERS</w:t>
      </w:r>
    </w:p>
    <w:p>
      <w:pPr>
        <w:spacing w:line="480" w:lineRule="auto" w:after="0" w:before="0"/>
      </w:pPr>
      <w:r>
        <w:rPr>
          <w:rFonts w:ascii="Times New Roman" w:hAnsi="Times New Roman"/>
          <w:b w:val="0"/>
          <w:i w:val="0"/>
          <w:sz w:val="24"/>
        </w:rPr>
        <w:t>Canon 3(A)(4) prohibits judges from initiating or considering "ex parte communications on the merits, or procedures affecting the merits, of a pending or impending matter." The pattern of procedural irregularity — Watson files → McNeill rules same day → Berry files within 48 hours — is circumstantial evidence of ex parte communication that violates this prohibition.</w:t>
      </w:r>
    </w:p>
    <w:p>
      <w:pPr>
        <w:spacing w:line="480" w:lineRule="auto" w:after="0" w:before="0"/>
      </w:pPr>
      <w:r>
        <w:rPr>
          <w:rFonts w:ascii="Times New Roman" w:hAnsi="Times New Roman"/>
          <w:b w:val="0"/>
          <w:i w:val="0"/>
          <w:sz w:val="24"/>
        </w:rPr>
        <w:t>When ex parte communications occur, all subsequent orders are tainted and must be vacated. The appropriate remedy is disqualification and reassignment to a neutral judicial officer, with de novo review of all contested orders.</w:t>
      </w:r>
    </w:p>
    <w:p>
      <w:r>
        <w:br w:type="page"/>
      </w:r>
    </w:p>
    <w:p>
      <w:pPr>
        <w:pStyle w:val="Heading2"/>
      </w:pPr>
      <w:r>
        <w:rPr>
          <w:rFonts w:ascii="Times New Roman" w:hAnsi="Times New Roman"/>
        </w:rPr>
        <w:t>RELIEF REQUESTED</w:t>
      </w:r>
    </w:p>
    <w:p>
      <w:pPr>
        <w:spacing w:line="480" w:lineRule="auto" w:after="0" w:before="0"/>
      </w:pPr>
      <w:r>
        <w:rPr>
          <w:rFonts w:ascii="Times New Roman" w:hAnsi="Times New Roman"/>
          <w:b w:val="0"/>
          <w:i w:val="0"/>
          <w:sz w:val="24"/>
        </w:rPr>
        <w:t>WHEREFORE, Appellant Andrew Pigors respectfully requests that this Honorable Court: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Reverse</w:t>
      </w:r>
      <w:r>
        <w:rPr>
          <w:rFonts w:ascii="Times New Roman" w:hAnsi="Times New Roman"/>
          <w:b w:val="0"/>
          <w:i w:val="0"/>
          <w:sz w:val="24"/>
        </w:rPr>
        <w:t xml:space="preserve"> the trial court's ex parte orders of August 8, 2025 and all subsequent orders maintaining the suspension of parenting time;</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Remand</w:t>
      </w:r>
      <w:r>
        <w:rPr>
          <w:rFonts w:ascii="Times New Roman" w:hAnsi="Times New Roman"/>
          <w:b w:val="0"/>
          <w:i w:val="0"/>
          <w:sz w:val="24"/>
        </w:rPr>
        <w:t xml:space="preserve"> with instructions to:</w:t>
      </w:r>
    </w:p>
    <w:p>
      <w:pPr>
        <w:spacing w:line="480" w:lineRule="auto" w:after="0" w:before="0"/>
      </w:pPr>
      <w:r>
        <w:rPr>
          <w:rFonts w:ascii="Times New Roman" w:hAnsi="Times New Roman"/>
          <w:b/>
          <w:sz w:val="24"/>
        </w:rPr>
        <w:t xml:space="preserve">1. </w:t>
      </w:r>
      <w:r>
        <w:rPr>
          <w:rFonts w:ascii="Times New Roman" w:hAnsi="Times New Roman"/>
          <w:b w:val="0"/>
          <w:i w:val="0"/>
          <w:sz w:val="24"/>
        </w:rPr>
        <w:t>Conduct a full evidentiary hearing applying MCL 722.23(a)-(l) best interest factors;</w:t>
      </w:r>
    </w:p>
    <w:p>
      <w:pPr>
        <w:spacing w:line="480" w:lineRule="auto" w:after="0" w:before="0"/>
      </w:pPr>
      <w:r>
        <w:rPr>
          <w:rFonts w:ascii="Times New Roman" w:hAnsi="Times New Roman"/>
          <w:b/>
          <w:sz w:val="24"/>
        </w:rPr>
        <w:t xml:space="preserve">2. </w:t>
      </w:r>
      <w:r>
        <w:rPr>
          <w:rFonts w:ascii="Times New Roman" w:hAnsi="Times New Roman"/>
          <w:b w:val="0"/>
          <w:i w:val="0"/>
          <w:sz w:val="24"/>
        </w:rPr>
        <w:t>Restore Father's parenting time pending said hearing;</w:t>
      </w:r>
    </w:p>
    <w:p>
      <w:pPr>
        <w:spacing w:line="480" w:lineRule="auto" w:after="0" w:before="0"/>
      </w:pPr>
      <w:r>
        <w:rPr>
          <w:rFonts w:ascii="Times New Roman" w:hAnsi="Times New Roman"/>
          <w:b/>
          <w:sz w:val="24"/>
        </w:rPr>
        <w:t xml:space="preserve">3. </w:t>
      </w:r>
      <w:r>
        <w:rPr>
          <w:rFonts w:ascii="Times New Roman" w:hAnsi="Times New Roman"/>
          <w:b w:val="0"/>
          <w:i w:val="0"/>
          <w:sz w:val="24"/>
        </w:rPr>
        <w:t>Order make-up parenting time pursuant to MCL 722.27a(8);</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Order disqualification</w:t>
      </w:r>
      <w:r>
        <w:rPr>
          <w:rFonts w:ascii="Times New Roman" w:hAnsi="Times New Roman"/>
          <w:b w:val="0"/>
          <w:i w:val="0"/>
          <w:sz w:val="24"/>
        </w:rPr>
        <w:t xml:space="preserve"> of Judge McNeill from all proceedings involving the parties, or alternatively remand with instructions that the Chief Judge assign a replacement;</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Vacate all orders</w:t>
      </w:r>
      <w:r>
        <w:rPr>
          <w:rFonts w:ascii="Times New Roman" w:hAnsi="Times New Roman"/>
          <w:b w:val="0"/>
          <w:i w:val="0"/>
          <w:sz w:val="24"/>
        </w:rPr>
        <w:t xml:space="preserve"> entered in the course of or following ex parte communications;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Grant peremptory reversal</w:t>
      </w:r>
      <w:r>
        <w:rPr>
          <w:rFonts w:ascii="Times New Roman" w:hAnsi="Times New Roman"/>
          <w:b w:val="0"/>
          <w:i w:val="0"/>
          <w:sz w:val="24"/>
        </w:rPr>
        <w:t xml:space="preserve"> pursuant to MCR 7.216(A)(7) if the Court determines the errors are so clear as to warrant immediate relief without full briefing;</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Grant such other and further relief</w:t>
      </w:r>
      <w:r>
        <w:rPr>
          <w:rFonts w:ascii="Times New Roman" w:hAnsi="Times New Roman"/>
          <w:b w:val="0"/>
          <w:i w:val="0"/>
          <w:sz w:val="24"/>
        </w:rPr>
        <w:t xml:space="preserve"> as this Court deems just and equitable.</w:t>
      </w:r>
    </w:p>
    <w:p>
      <w:r>
        <w:br w:type="page"/>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Plaintiff-Appellant 1423 W. Norton Ave, Norton Shores, Michigan 49441 Phone: 231-260-1936 Email: andrewjpigors@gmail.com Date: _______________</w:t>
      </w:r>
    </w:p>
    <w:p>
      <w:r>
        <w:br w:type="page"/>
      </w:r>
    </w:p>
    <w:p>
      <w:pPr>
        <w:pStyle w:val="Heading2"/>
      </w:pPr>
      <w:r>
        <w:rPr>
          <w:rFonts w:ascii="Times New Roman" w:hAnsi="Times New Roman"/>
        </w:rPr>
        <w:t>APPENDIX</w:t>
      </w:r>
    </w:p>
    <w:p>
      <w:pPr>
        <w:spacing w:line="480" w:lineRule="auto" w:after="0" w:before="0"/>
      </w:pPr>
      <w:r>
        <w:rPr>
          <w:rFonts w:ascii="Times New Roman" w:hAnsi="Times New Roman"/>
          <w:b w:val="0"/>
          <w:i w:val="0"/>
          <w:sz w:val="24"/>
        </w:rPr>
        <w:t>Appellant's Appendix is filed contemporaneously with this brief and contains the following items required by MCR 7.212(C)(8):</w:t>
      </w:r>
    </w:p>
    <w:p>
      <w:pPr>
        <w:spacing w:line="480" w:lineRule="auto" w:after="0" w:before="0"/>
      </w:pPr>
      <w:r>
        <w:rPr>
          <w:rFonts w:ascii="Times New Roman" w:hAnsi="Times New Roman"/>
          <w:b/>
          <w:sz w:val="24"/>
        </w:rPr>
        <w:t xml:space="preserve">1. </w:t>
      </w:r>
      <w:r>
        <w:rPr>
          <w:rFonts w:ascii="Times New Roman" w:hAnsi="Times New Roman"/>
          <w:b/>
          <w:i w:val="0"/>
          <w:sz w:val="24"/>
        </w:rPr>
        <w:t>App-A</w:t>
      </w:r>
      <w:r>
        <w:rPr>
          <w:rFonts w:ascii="Times New Roman" w:hAnsi="Times New Roman"/>
          <w:b w:val="0"/>
          <w:i w:val="0"/>
          <w:sz w:val="24"/>
        </w:rPr>
        <w:t xml:space="preserve"> — Final Judgment — Sole Legal and Sole Physical Custody to Defendant (August 23, 2024) ............ App. pp. TBD</w:t>
      </w:r>
    </w:p>
    <w:p>
      <w:pPr>
        <w:spacing w:line="480" w:lineRule="auto" w:after="0" w:before="0"/>
      </w:pPr>
      <w:r>
        <w:rPr>
          <w:rFonts w:ascii="Times New Roman" w:hAnsi="Times New Roman"/>
          <w:b/>
          <w:sz w:val="24"/>
        </w:rPr>
        <w:t xml:space="preserve">2. </w:t>
      </w:r>
      <w:r>
        <w:rPr>
          <w:rFonts w:ascii="Times New Roman" w:hAnsi="Times New Roman"/>
          <w:b/>
          <w:i w:val="0"/>
          <w:sz w:val="24"/>
        </w:rPr>
        <w:t>App-B</w:t>
      </w:r>
      <w:r>
        <w:rPr>
          <w:rFonts w:ascii="Times New Roman" w:hAnsi="Times New Roman"/>
          <w:b w:val="0"/>
          <w:i w:val="0"/>
          <w:sz w:val="24"/>
        </w:rPr>
        <w:t xml:space="preserve"> — Uniform Child Support Order (August 23, 2024) ............ App. pp. TBD</w:t>
      </w:r>
    </w:p>
    <w:p>
      <w:pPr>
        <w:spacing w:line="480" w:lineRule="auto" w:after="0" w:before="0"/>
      </w:pPr>
      <w:r>
        <w:rPr>
          <w:rFonts w:ascii="Times New Roman" w:hAnsi="Times New Roman"/>
          <w:b/>
          <w:sz w:val="24"/>
        </w:rPr>
        <w:t xml:space="preserve">3. </w:t>
      </w:r>
      <w:r>
        <w:rPr>
          <w:rFonts w:ascii="Times New Roman" w:hAnsi="Times New Roman"/>
          <w:b/>
          <w:i w:val="0"/>
          <w:sz w:val="24"/>
        </w:rPr>
        <w:t>App-C</w:t>
      </w:r>
      <w:r>
        <w:rPr>
          <w:rFonts w:ascii="Times New Roman" w:hAnsi="Times New Roman"/>
          <w:b w:val="0"/>
          <w:i w:val="0"/>
          <w:sz w:val="24"/>
        </w:rPr>
        <w:t xml:space="preserve"> — Ex Parte Custody Order (July 1, 2024) ............ App. pp. TBD</w:t>
      </w:r>
    </w:p>
    <w:p>
      <w:pPr>
        <w:spacing w:line="480" w:lineRule="auto" w:after="0" w:before="0"/>
      </w:pPr>
      <w:r>
        <w:rPr>
          <w:rFonts w:ascii="Times New Roman" w:hAnsi="Times New Roman"/>
          <w:b/>
          <w:sz w:val="24"/>
        </w:rPr>
        <w:t xml:space="preserve">4. </w:t>
      </w:r>
      <w:r>
        <w:rPr>
          <w:rFonts w:ascii="Times New Roman" w:hAnsi="Times New Roman"/>
          <w:b/>
          <w:i w:val="0"/>
          <w:sz w:val="24"/>
        </w:rPr>
        <w:t>App-D</w:t>
      </w:r>
      <w:r>
        <w:rPr>
          <w:rFonts w:ascii="Times New Roman" w:hAnsi="Times New Roman"/>
          <w:b w:val="0"/>
          <w:i w:val="0"/>
          <w:sz w:val="24"/>
        </w:rPr>
        <w:t xml:space="preserve"> — Ex Parte Order — Amended Personal Protection Order (April 11, 2024) ............ App. pp. TBD</w:t>
      </w:r>
    </w:p>
    <w:p>
      <w:pPr>
        <w:spacing w:line="480" w:lineRule="auto" w:after="0" w:before="0"/>
      </w:pPr>
      <w:r>
        <w:rPr>
          <w:rFonts w:ascii="Times New Roman" w:hAnsi="Times New Roman"/>
          <w:b/>
          <w:sz w:val="24"/>
        </w:rPr>
        <w:t xml:space="preserve">5. </w:t>
      </w:r>
      <w:r>
        <w:rPr>
          <w:rFonts w:ascii="Times New Roman" w:hAnsi="Times New Roman"/>
          <w:b/>
          <w:i w:val="0"/>
          <w:sz w:val="24"/>
        </w:rPr>
        <w:t>App-E</w:t>
      </w:r>
      <w:r>
        <w:rPr>
          <w:rFonts w:ascii="Times New Roman" w:hAnsi="Times New Roman"/>
          <w:b w:val="0"/>
          <w:i w:val="0"/>
          <w:sz w:val="24"/>
        </w:rPr>
        <w:t xml:space="preserve"> — Order After Hearing on PPO Violation (April 11, 2024) ............ App. pp. TBD</w:t>
      </w:r>
    </w:p>
    <w:p>
      <w:pPr>
        <w:spacing w:line="480" w:lineRule="auto" w:after="0" w:before="0"/>
      </w:pPr>
      <w:r>
        <w:rPr>
          <w:rFonts w:ascii="Times New Roman" w:hAnsi="Times New Roman"/>
          <w:b/>
          <w:sz w:val="24"/>
        </w:rPr>
        <w:t xml:space="preserve">6. </w:t>
      </w:r>
      <w:r>
        <w:rPr>
          <w:rFonts w:ascii="Times New Roman" w:hAnsi="Times New Roman"/>
          <w:b/>
          <w:i w:val="0"/>
          <w:sz w:val="24"/>
        </w:rPr>
        <w:t>App-F</w:t>
      </w:r>
      <w:r>
        <w:rPr>
          <w:rFonts w:ascii="Times New Roman" w:hAnsi="Times New Roman"/>
          <w:b w:val="0"/>
          <w:i w:val="0"/>
          <w:sz w:val="24"/>
        </w:rPr>
        <w:t xml:space="preserve"> — Order Denying Plaintiff's Motion Regarding Custody (May 20, 2025) ............ App. pp. TBD</w:t>
      </w:r>
    </w:p>
    <w:p>
      <w:pPr>
        <w:spacing w:line="480" w:lineRule="auto" w:after="0" w:before="0"/>
      </w:pPr>
      <w:r>
        <w:rPr>
          <w:rFonts w:ascii="Times New Roman" w:hAnsi="Times New Roman"/>
          <w:b/>
          <w:sz w:val="24"/>
        </w:rPr>
        <w:t xml:space="preserve">7. </w:t>
      </w:r>
      <w:r>
        <w:rPr>
          <w:rFonts w:ascii="Times New Roman" w:hAnsi="Times New Roman"/>
          <w:b/>
          <w:i w:val="0"/>
          <w:sz w:val="24"/>
        </w:rPr>
        <w:t>App-G</w:t>
      </w:r>
      <w:r>
        <w:rPr>
          <w:rFonts w:ascii="Times New Roman" w:hAnsi="Times New Roman"/>
          <w:b w:val="0"/>
          <w:i w:val="0"/>
          <w:sz w:val="24"/>
        </w:rPr>
        <w:t xml:space="preserve"> — Order Denying Post-Judgment Relief (May 22, 2025) ............ App. pp. TBD</w:t>
      </w:r>
    </w:p>
    <w:p>
      <w:pPr>
        <w:spacing w:line="480" w:lineRule="auto" w:after="0" w:before="0"/>
      </w:pPr>
      <w:r>
        <w:rPr>
          <w:rFonts w:ascii="Times New Roman" w:hAnsi="Times New Roman"/>
          <w:b/>
          <w:sz w:val="24"/>
        </w:rPr>
        <w:t xml:space="preserve">8. </w:t>
      </w:r>
      <w:r>
        <w:rPr>
          <w:rFonts w:ascii="Times New Roman" w:hAnsi="Times New Roman"/>
          <w:b/>
          <w:i w:val="0"/>
          <w:sz w:val="24"/>
        </w:rPr>
        <w:t>App-H</w:t>
      </w:r>
      <w:r>
        <w:rPr>
          <w:rFonts w:ascii="Times New Roman" w:hAnsi="Times New Roman"/>
          <w:b w:val="0"/>
          <w:i w:val="0"/>
          <w:sz w:val="24"/>
        </w:rPr>
        <w:t xml:space="preserve"> — Order Imposing $250.00 Filing Bond Requirement (May 16, 2025) ............ App. pp. TBD</w:t>
      </w:r>
    </w:p>
    <w:p>
      <w:pPr>
        <w:spacing w:line="480" w:lineRule="auto" w:after="0" w:before="0"/>
      </w:pPr>
      <w:r>
        <w:rPr>
          <w:rFonts w:ascii="Times New Roman" w:hAnsi="Times New Roman"/>
          <w:b/>
          <w:sz w:val="24"/>
        </w:rPr>
        <w:t xml:space="preserve">9. </w:t>
      </w:r>
      <w:r>
        <w:rPr>
          <w:rFonts w:ascii="Times New Roman" w:hAnsi="Times New Roman"/>
          <w:b/>
          <w:i w:val="0"/>
          <w:sz w:val="24"/>
        </w:rPr>
        <w:t>App-I</w:t>
      </w:r>
      <w:r>
        <w:rPr>
          <w:rFonts w:ascii="Times New Roman" w:hAnsi="Times New Roman"/>
          <w:b w:val="0"/>
          <w:i w:val="0"/>
          <w:sz w:val="24"/>
        </w:rPr>
        <w:t xml:space="preserve"> — Order Regarding Parenting Time (February 14, 2025) ............ App. pp. TBD</w:t>
      </w:r>
    </w:p>
    <w:p>
      <w:pPr>
        <w:spacing w:line="480" w:lineRule="auto" w:after="0" w:before="0"/>
      </w:pPr>
      <w:r>
        <w:rPr>
          <w:rFonts w:ascii="Times New Roman" w:hAnsi="Times New Roman"/>
          <w:b/>
          <w:sz w:val="24"/>
        </w:rPr>
        <w:t xml:space="preserve">10. </w:t>
      </w:r>
      <w:r>
        <w:rPr>
          <w:rFonts w:ascii="Times New Roman" w:hAnsi="Times New Roman"/>
          <w:b/>
          <w:i w:val="0"/>
          <w:sz w:val="24"/>
        </w:rPr>
        <w:t>App-J</w:t>
      </w:r>
      <w:r>
        <w:rPr>
          <w:rFonts w:ascii="Times New Roman" w:hAnsi="Times New Roman"/>
          <w:b w:val="0"/>
          <w:i w:val="0"/>
          <w:sz w:val="24"/>
        </w:rPr>
        <w:t xml:space="preserve"> — Order Regarding Parenting Time (January 7, 2025) ............ App. pp. TBD</w:t>
      </w:r>
    </w:p>
    <w:p>
      <w:pPr>
        <w:spacing w:line="480" w:lineRule="auto" w:after="0" w:before="0"/>
      </w:pPr>
      <w:r>
        <w:rPr>
          <w:rFonts w:ascii="Times New Roman" w:hAnsi="Times New Roman"/>
          <w:b/>
          <w:sz w:val="24"/>
        </w:rPr>
        <w:t xml:space="preserve">11. </w:t>
      </w:r>
      <w:r>
        <w:rPr>
          <w:rFonts w:ascii="Times New Roman" w:hAnsi="Times New Roman"/>
          <w:b/>
          <w:i w:val="0"/>
          <w:sz w:val="24"/>
        </w:rPr>
        <w:t>App-K</w:t>
      </w:r>
      <w:r>
        <w:rPr>
          <w:rFonts w:ascii="Times New Roman" w:hAnsi="Times New Roman"/>
          <w:b w:val="0"/>
          <w:i w:val="0"/>
          <w:sz w:val="24"/>
        </w:rPr>
        <w:t xml:space="preserve"> — Ex Parte Order Suspending All Parenting Time (August 8, 2025) ............ App. pp. TBD</w:t>
      </w:r>
    </w:p>
    <w:p>
      <w:pPr>
        <w:spacing w:line="480" w:lineRule="auto" w:after="0" w:before="0"/>
      </w:pPr>
      <w:r>
        <w:rPr>
          <w:rFonts w:ascii="Times New Roman" w:hAnsi="Times New Roman"/>
          <w:b/>
          <w:sz w:val="24"/>
        </w:rPr>
        <w:t xml:space="preserve">12. </w:t>
      </w:r>
      <w:r>
        <w:rPr>
          <w:rFonts w:ascii="Times New Roman" w:hAnsi="Times New Roman"/>
          <w:b/>
          <w:i w:val="0"/>
          <w:sz w:val="24"/>
        </w:rPr>
        <w:t>App-L</w:t>
      </w:r>
      <w:r>
        <w:rPr>
          <w:rFonts w:ascii="Times New Roman" w:hAnsi="Times New Roman"/>
          <w:b w:val="0"/>
          <w:i w:val="0"/>
          <w:sz w:val="24"/>
        </w:rPr>
        <w:t xml:space="preserve"> — Order Regarding Plaintiff's Objection to Ex Parte Order (September 4, 2025) ............ App. pp. TBD</w:t>
      </w:r>
    </w:p>
    <w:p>
      <w:pPr>
        <w:spacing w:line="480" w:lineRule="auto" w:after="0" w:before="0"/>
      </w:pPr>
      <w:r>
        <w:rPr>
          <w:rFonts w:ascii="Times New Roman" w:hAnsi="Times New Roman"/>
          <w:b/>
          <w:sz w:val="24"/>
        </w:rPr>
        <w:t xml:space="preserve">13. </w:t>
      </w:r>
      <w:r>
        <w:rPr>
          <w:rFonts w:ascii="Times New Roman" w:hAnsi="Times New Roman"/>
          <w:b/>
          <w:i w:val="0"/>
          <w:sz w:val="24"/>
        </w:rPr>
        <w:t>App-M</w:t>
      </w:r>
      <w:r>
        <w:rPr>
          <w:rFonts w:ascii="Times New Roman" w:hAnsi="Times New Roman"/>
          <w:b w:val="0"/>
          <w:i w:val="0"/>
          <w:sz w:val="24"/>
        </w:rPr>
        <w:t xml:space="preserve"> — Order — Court Orders HealthWest Assessment (September 22, 2025) ............ App. pp. TBD</w:t>
      </w:r>
    </w:p>
    <w:p>
      <w:pPr>
        <w:spacing w:line="480" w:lineRule="auto" w:after="0" w:before="0"/>
      </w:pPr>
      <w:r>
        <w:rPr>
          <w:rFonts w:ascii="Times New Roman" w:hAnsi="Times New Roman"/>
          <w:b/>
          <w:sz w:val="24"/>
        </w:rPr>
        <w:t xml:space="preserve">14. </w:t>
      </w:r>
      <w:r>
        <w:rPr>
          <w:rFonts w:ascii="Times New Roman" w:hAnsi="Times New Roman"/>
          <w:b/>
          <w:i w:val="0"/>
          <w:sz w:val="24"/>
        </w:rPr>
        <w:t>App-N</w:t>
      </w:r>
      <w:r>
        <w:rPr>
          <w:rFonts w:ascii="Times New Roman" w:hAnsi="Times New Roman"/>
          <w:b w:val="0"/>
          <w:i w:val="0"/>
          <w:sz w:val="24"/>
        </w:rPr>
        <w:t xml:space="preserve"> — Order After Evidentiary Hearing (October 29, 2025) ............ App. pp. TBD</w:t>
      </w:r>
    </w:p>
    <w:p>
      <w:pPr>
        <w:spacing w:line="480" w:lineRule="auto" w:after="0" w:before="0"/>
      </w:pPr>
      <w:r>
        <w:rPr>
          <w:rFonts w:ascii="Times New Roman" w:hAnsi="Times New Roman"/>
          <w:b/>
          <w:sz w:val="24"/>
        </w:rPr>
        <w:t xml:space="preserve">15. </w:t>
      </w:r>
      <w:r>
        <w:rPr>
          <w:rFonts w:ascii="Times New Roman" w:hAnsi="Times New Roman"/>
          <w:b/>
          <w:i w:val="0"/>
          <w:sz w:val="24"/>
        </w:rPr>
        <w:t>App-O</w:t>
      </w:r>
      <w:r>
        <w:rPr>
          <w:rFonts w:ascii="Times New Roman" w:hAnsi="Times New Roman"/>
          <w:b w:val="0"/>
          <w:i w:val="0"/>
          <w:sz w:val="24"/>
        </w:rPr>
        <w:t xml:space="preserve"> — Order Continuing Ex Parte Suspension / Hearing on Plaintiff Objection (November 26, 2025) ............ App. pp. TBD</w:t>
      </w:r>
    </w:p>
    <w:p>
      <w:pPr>
        <w:spacing w:line="480" w:lineRule="auto" w:after="0" w:before="0"/>
      </w:pPr>
      <w:r>
        <w:rPr>
          <w:rFonts w:ascii="Times New Roman" w:hAnsi="Times New Roman"/>
          <w:b/>
          <w:sz w:val="24"/>
        </w:rPr>
        <w:t xml:space="preserve">16. </w:t>
      </w:r>
      <w:r>
        <w:rPr>
          <w:rFonts w:ascii="Times New Roman" w:hAnsi="Times New Roman"/>
          <w:b/>
          <w:i w:val="0"/>
          <w:sz w:val="24"/>
        </w:rPr>
        <w:t>App-P</w:t>
      </w:r>
      <w:r>
        <w:rPr>
          <w:rFonts w:ascii="Times New Roman" w:hAnsi="Times New Roman"/>
          <w:b w:val="0"/>
          <w:i w:val="0"/>
          <w:sz w:val="24"/>
        </w:rPr>
        <w:t xml:space="preserve"> — PPO Issued — Domestic (November 1, 2023) ............ App. pp. TBD</w:t>
      </w:r>
    </w:p>
    <w:p>
      <w:pPr>
        <w:spacing w:line="480" w:lineRule="auto" w:after="0" w:before="0"/>
      </w:pPr>
      <w:r>
        <w:rPr>
          <w:rFonts w:ascii="Times New Roman" w:hAnsi="Times New Roman"/>
          <w:b/>
          <w:sz w:val="24"/>
        </w:rPr>
        <w:t xml:space="preserve">17. </w:t>
      </w:r>
      <w:r>
        <w:rPr>
          <w:rFonts w:ascii="Times New Roman" w:hAnsi="Times New Roman"/>
          <w:b/>
          <w:i w:val="0"/>
          <w:sz w:val="24"/>
        </w:rPr>
        <w:t>App-Q</w:t>
      </w:r>
      <w:r>
        <w:rPr>
          <w:rFonts w:ascii="Times New Roman" w:hAnsi="Times New Roman"/>
          <w:b w:val="0"/>
          <w:i w:val="0"/>
          <w:sz w:val="24"/>
        </w:rPr>
        <w:t xml:space="preserve"> — PPO Issued Against Andrew Pigors (September 15, 2024) ............ App. pp. TBD</w:t>
      </w:r>
    </w:p>
    <w:p>
      <w:pPr>
        <w:spacing w:line="480" w:lineRule="auto" w:after="0" w:before="0"/>
      </w:pPr>
      <w:r>
        <w:rPr>
          <w:rFonts w:ascii="Times New Roman" w:hAnsi="Times New Roman"/>
          <w:b/>
          <w:sz w:val="24"/>
        </w:rPr>
        <w:t xml:space="preserve">18. </w:t>
      </w:r>
      <w:r>
        <w:rPr>
          <w:rFonts w:ascii="Times New Roman" w:hAnsi="Times New Roman"/>
          <w:b/>
          <w:i w:val="0"/>
          <w:sz w:val="24"/>
        </w:rPr>
        <w:t>App-R</w:t>
      </w:r>
      <w:r>
        <w:rPr>
          <w:rFonts w:ascii="Times New Roman" w:hAnsi="Times New Roman"/>
          <w:b w:val="0"/>
          <w:i w:val="0"/>
          <w:sz w:val="24"/>
        </w:rPr>
        <w:t xml:space="preserve"> — Order Dismissing Plaintiff's Motion Regarding Parenting Time (May 23, 2024) ............ App. pp. TBD</w:t>
      </w:r>
    </w:p>
    <w:p>
      <w:pPr>
        <w:spacing w:line="480" w:lineRule="auto" w:after="0" w:before="0"/>
      </w:pPr>
      <w:r>
        <w:rPr>
          <w:rFonts w:ascii="Times New Roman" w:hAnsi="Times New Roman"/>
          <w:b/>
          <w:sz w:val="24"/>
        </w:rPr>
        <w:t xml:space="preserve">19. </w:t>
      </w:r>
      <w:r>
        <w:rPr>
          <w:rFonts w:ascii="Times New Roman" w:hAnsi="Times New Roman"/>
          <w:b/>
          <w:i w:val="0"/>
          <w:sz w:val="24"/>
        </w:rPr>
        <w:t>App-S</w:t>
      </w:r>
      <w:r>
        <w:rPr>
          <w:rFonts w:ascii="Times New Roman" w:hAnsi="Times New Roman"/>
          <w:b w:val="0"/>
          <w:i w:val="0"/>
          <w:sz w:val="24"/>
        </w:rPr>
        <w:t xml:space="preserve"> — Order Denying Plaintiff's Motion Regarding Custody (April 12, 2024) ............ App. pp. TBD</w:t>
      </w:r>
    </w:p>
    <w:p>
      <w:pPr>
        <w:spacing w:line="480" w:lineRule="auto" w:after="0" w:before="0"/>
      </w:pPr>
      <w:r>
        <w:rPr>
          <w:rFonts w:ascii="Times New Roman" w:hAnsi="Times New Roman"/>
          <w:b/>
          <w:sz w:val="24"/>
        </w:rPr>
        <w:t xml:space="preserve">20. </w:t>
      </w:r>
      <w:r>
        <w:rPr>
          <w:rFonts w:ascii="Times New Roman" w:hAnsi="Times New Roman"/>
          <w:b/>
          <w:i w:val="0"/>
          <w:sz w:val="24"/>
        </w:rPr>
        <w:t>App-T</w:t>
      </w:r>
      <w:r>
        <w:rPr>
          <w:rFonts w:ascii="Times New Roman" w:hAnsi="Times New Roman"/>
          <w:b w:val="0"/>
          <w:i w:val="0"/>
          <w:sz w:val="24"/>
        </w:rPr>
        <w:t xml:space="preserve"> — Ex Parte Order for Custody, Parenting Time, and Child Support (April 29, 2024) ............ App. pp. TBD</w:t>
      </w:r>
    </w:p>
    <w:p>
      <w:pPr>
        <w:spacing w:line="480" w:lineRule="auto" w:after="0" w:before="0"/>
      </w:pPr>
      <w:r>
        <w:rPr>
          <w:rFonts w:ascii="Times New Roman" w:hAnsi="Times New Roman"/>
          <w:b/>
          <w:sz w:val="24"/>
        </w:rPr>
        <w:t xml:space="preserve">21. </w:t>
      </w:r>
      <w:r>
        <w:rPr>
          <w:rFonts w:ascii="Times New Roman" w:hAnsi="Times New Roman"/>
          <w:b/>
          <w:i w:val="0"/>
          <w:sz w:val="24"/>
        </w:rPr>
        <w:t>App-U</w:t>
      </w:r>
      <w:r>
        <w:rPr>
          <w:rFonts w:ascii="Times New Roman" w:hAnsi="Times New Roman"/>
          <w:b w:val="0"/>
          <w:i w:val="0"/>
          <w:sz w:val="24"/>
        </w:rPr>
        <w:t xml:space="preserve"> — Order After PPO Violation Hearing (February 28, 2025) ............ App. pp. TBD</w:t>
      </w:r>
    </w:p>
    <w:p>
      <w:pPr>
        <w:spacing w:line="480" w:lineRule="auto" w:after="0" w:before="0"/>
      </w:pPr>
      <w:r>
        <w:rPr>
          <w:rFonts w:ascii="Times New Roman" w:hAnsi="Times New Roman"/>
          <w:b/>
          <w:sz w:val="24"/>
        </w:rPr>
        <w:t xml:space="preserve">22. </w:t>
      </w:r>
      <w:r>
        <w:rPr>
          <w:rFonts w:ascii="Times New Roman" w:hAnsi="Times New Roman"/>
          <w:b/>
          <w:i w:val="0"/>
          <w:sz w:val="24"/>
        </w:rPr>
        <w:t>App-V</w:t>
      </w:r>
      <w:r>
        <w:rPr>
          <w:rFonts w:ascii="Times New Roman" w:hAnsi="Times New Roman"/>
          <w:b w:val="0"/>
          <w:i w:val="0"/>
          <w:sz w:val="24"/>
        </w:rPr>
        <w:t xml:space="preserve"> — Order After PPO Show-Cause Hearing (October 18, 2025) ............ App. pp. TBD</w:t>
      </w:r>
    </w:p>
    <w:p>
      <w:pPr>
        <w:spacing w:line="480" w:lineRule="auto" w:after="0" w:before="0"/>
      </w:pPr>
      <w:r>
        <w:rPr>
          <w:rFonts w:ascii="Times New Roman" w:hAnsi="Times New Roman"/>
          <w:b/>
          <w:sz w:val="24"/>
        </w:rPr>
        <w:t xml:space="preserve">23. </w:t>
      </w:r>
      <w:r>
        <w:rPr>
          <w:rFonts w:ascii="Times New Roman" w:hAnsi="Times New Roman"/>
          <w:b/>
          <w:i w:val="0"/>
          <w:sz w:val="24"/>
        </w:rPr>
        <w:t>App-W</w:t>
      </w:r>
      <w:r>
        <w:rPr>
          <w:rFonts w:ascii="Times New Roman" w:hAnsi="Times New Roman"/>
          <w:b w:val="0"/>
          <w:i w:val="0"/>
          <w:sz w:val="24"/>
        </w:rPr>
        <w:t xml:space="preserve"> — Register of Actions / Docket Entries — Case No. 2024-001507-DC (Complete) ............ App. pp. TBD</w:t>
      </w:r>
    </w:p>
    <w:p>
      <w:pPr>
        <w:spacing w:line="480" w:lineRule="auto" w:after="0" w:before="0"/>
      </w:pPr>
      <w:r>
        <w:rPr>
          <w:rFonts w:ascii="Times New Roman" w:hAnsi="Times New Roman"/>
          <w:b/>
          <w:sz w:val="24"/>
        </w:rPr>
        <w:t xml:space="preserve">24. </w:t>
      </w:r>
      <w:r>
        <w:rPr>
          <w:rFonts w:ascii="Times New Roman" w:hAnsi="Times New Roman"/>
          <w:b/>
          <w:i w:val="0"/>
          <w:sz w:val="24"/>
        </w:rPr>
        <w:t>App-X</w:t>
      </w:r>
      <w:r>
        <w:rPr>
          <w:rFonts w:ascii="Times New Roman" w:hAnsi="Times New Roman"/>
          <w:b w:val="0"/>
          <w:i w:val="0"/>
          <w:sz w:val="24"/>
        </w:rPr>
        <w:t xml:space="preserve"> — Register of Actions / Docket Entries — PPO Case No. 2023-5907-PP (Complete) ............ App. pp. TBD</w:t>
      </w:r>
    </w:p>
    <w:p>
      <w:pPr>
        <w:spacing w:line="480" w:lineRule="auto" w:after="0" w:before="0"/>
      </w:pPr>
      <w:r>
        <w:rPr>
          <w:rFonts w:ascii="Times New Roman" w:hAnsi="Times New Roman"/>
          <w:b/>
          <w:sz w:val="24"/>
        </w:rPr>
        <w:t xml:space="preserve">25. </w:t>
      </w:r>
      <w:r>
        <w:rPr>
          <w:rFonts w:ascii="Times New Roman" w:hAnsi="Times New Roman"/>
          <w:b/>
          <w:i w:val="0"/>
          <w:sz w:val="24"/>
        </w:rPr>
        <w:t>App-Y</w:t>
      </w:r>
      <w:r>
        <w:rPr>
          <w:rFonts w:ascii="Times New Roman" w:hAnsi="Times New Roman"/>
          <w:b w:val="0"/>
          <w:i w:val="0"/>
          <w:sz w:val="24"/>
        </w:rPr>
        <w:t xml:space="preserve"> — Claim of Appeal (June 1, 2025) ............ App. pp. TBD</w:t>
      </w:r>
    </w:p>
    <w:p>
      <w:pPr>
        <w:spacing w:line="480" w:lineRule="auto" w:after="0" w:before="0"/>
      </w:pPr>
      <w:r>
        <w:rPr>
          <w:rFonts w:ascii="Times New Roman" w:hAnsi="Times New Roman"/>
          <w:b/>
          <w:sz w:val="24"/>
        </w:rPr>
        <w:t xml:space="preserve">26. </w:t>
      </w:r>
      <w:r>
        <w:rPr>
          <w:rFonts w:ascii="Times New Roman" w:hAnsi="Times New Roman"/>
          <w:b/>
          <w:i w:val="0"/>
          <w:sz w:val="24"/>
        </w:rPr>
        <w:t>App-Z</w:t>
      </w:r>
      <w:r>
        <w:rPr>
          <w:rFonts w:ascii="Times New Roman" w:hAnsi="Times New Roman"/>
          <w:b w:val="0"/>
          <w:i w:val="0"/>
          <w:sz w:val="24"/>
        </w:rPr>
        <w:t xml:space="preserve"> — Relevant Transcript Excerpts (Various Dates) ............ App. pp. TBD</w:t>
      </w:r>
    </w:p>
    <w:p>
      <w:r>
        <w:br w:type="page"/>
      </w:r>
    </w:p>
    <w:p>
      <w:pPr>
        <w:pStyle w:val="Heading2"/>
      </w:pPr>
      <w:r>
        <w:rPr>
          <w:rFonts w:ascii="Times New Roman" w:hAnsi="Times New Roman"/>
        </w:rPr>
        <w:t>WORD COUNT CERTIFICATION</w:t>
      </w:r>
    </w:p>
    <w:p>
      <w:pPr>
        <w:spacing w:line="480" w:lineRule="auto" w:after="0" w:before="0"/>
      </w:pPr>
      <w:r>
        <w:rPr>
          <w:rFonts w:ascii="Times New Roman" w:hAnsi="Times New Roman"/>
          <w:b w:val="0"/>
          <w:i w:val="0"/>
          <w:sz w:val="24"/>
        </w:rPr>
        <w:t>Pursuant to MCR 7.212(B), the undersigned certifies that this brief contains 2,286 words, exclusive of the tables, indexes, and certificate of service, which is within the 16,000-word limit prescribed by the court rule.</w:t>
      </w:r>
    </w:p>
    <w:p>
      <w:r>
        <w:br w:type="page"/>
      </w:r>
    </w:p>
    <w:p>
      <w:pPr>
        <w:spacing w:line="480" w:lineRule="auto" w:after="0" w:before="0"/>
      </w:pPr>
      <w:r>
        <w:rPr>
          <w:rFonts w:ascii="Times New Roman" w:hAnsi="Times New Roman"/>
          <w:b w:val="0"/>
          <w:i w:val="0"/>
          <w:sz w:val="24"/>
        </w:rPr>
        <w:t>Andrew J. Pigors Appellant, Pro Se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Andrew Pigors, certify that on _____________, 2026, I served a true copy of this Appellant's Brief on Appeal upon:</w:t>
      </w:r>
    </w:p>
    <w:p>
      <w:pPr>
        <w:spacing w:line="480" w:lineRule="auto" w:after="0" w:before="0"/>
      </w:pPr>
      <w:r>
        <w:rPr>
          <w:rFonts w:ascii="Times New Roman" w:hAnsi="Times New Roman"/>
          <w:b/>
          <w:i w:val="0"/>
          <w:sz w:val="24"/>
        </w:rPr>
        <w:t>Tiffany Watson</w:t>
      </w:r>
      <w:r>
        <w:rPr>
          <w:rFonts w:ascii="Times New Roman" w:hAnsi="Times New Roman"/>
          <w:b w:val="0"/>
          <w:i w:val="0"/>
          <w:sz w:val="24"/>
        </w:rPr>
        <w:t xml:space="preserve"> (Defendant-Appellee) [Address] </w:t>
      </w:r>
      <w:r>
        <w:rPr>
          <w:rFonts w:ascii="Times New Roman" w:hAnsi="Times New Roman"/>
          <w:b w:val="0"/>
          <w:i/>
          <w:sz w:val="24"/>
        </w:rPr>
        <w:t>Via first-class mail, postage prepaid</w:t>
      </w:r>
    </w:p>
    <w:p>
      <w:pPr>
        <w:spacing w:line="480" w:lineRule="auto" w:after="0" w:before="0"/>
      </w:pPr>
      <w:r>
        <w:rPr>
          <w:rFonts w:ascii="Times New Roman" w:hAnsi="Times New Roman"/>
          <w:b/>
          <w:i w:val="0"/>
          <w:sz w:val="24"/>
        </w:rPr>
        <w:t>Emily Watson</w:t>
      </w:r>
      <w:r>
        <w:rPr>
          <w:rFonts w:ascii="Times New Roman" w:hAnsi="Times New Roman"/>
          <w:b w:val="0"/>
          <w:i w:val="0"/>
          <w:sz w:val="24"/>
        </w:rPr>
        <w:t xml:space="preserve"> (Agent for Defendant-Appellee) [Address] </w:t>
      </w:r>
      <w:r>
        <w:rPr>
          <w:rFonts w:ascii="Times New Roman" w:hAnsi="Times New Roman"/>
          <w:b w:val="0"/>
          <w:i/>
          <w:sz w:val="24"/>
        </w:rPr>
        <w:t>Via first-class mail, postage prepaid</w:t>
      </w:r>
    </w:p>
    <w:p>
      <w:r>
        <w:br w:type="page"/>
      </w:r>
    </w:p>
    <w:p>
      <w:pPr>
        <w:spacing w:line="480" w:lineRule="auto" w:after="0" w:before="0"/>
      </w:pPr>
      <w:r>
        <w:rPr>
          <w:rFonts w:ascii="Times New Roman" w:hAnsi="Times New Roman"/>
          <w:b w:val="0"/>
          <w:i w:val="0"/>
          <w:sz w:val="24"/>
        </w:rPr>
        <w:t>Andrew Pigors, Pro Se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