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Verified Complaint – Expanded Counts (Shady Oaks / HOA / CT Corp)</w:t>
      </w:r>
    </w:p>
    <w:p>
      <w:pPr>
        <w:pStyle w:val="BodyText"/>
      </w:pPr>
      <w:r>
        <w:rPr>
          <w:b/>
          <w:bCs/>
        </w:rPr>
        <w:t xml:space="preserve">Count I – Operating While Dissolved (MCL 450.1832)</w:t>
      </w:r>
      <w:r>
        <w:br/>
      </w:r>
      <w:r>
        <w:t xml:space="preserve">Defendant Shady Oaks Park MHP LLC was administratively dissolved by LARA on February 15, 2023. Despite this, it continued to file legal actions, collect rent, issue notices, and participate in eviction proceedings under a non-existent legal identity. These acts are void ab initio under MCL 450.1832.</w:t>
      </w:r>
    </w:p>
    <w:p>
      <w:pPr>
        <w:pStyle w:val="BodyText"/>
      </w:pPr>
      <w:r>
        <w:rPr>
          <w:b/>
          <w:bCs/>
        </w:rPr>
        <w:t xml:space="preserve">Count II – Fraudulent Inducement / Lease Signed Under Duress</w:t>
      </w:r>
      <w:r>
        <w:br/>
      </w:r>
      <w:r>
        <w:t xml:space="preserve">On March 26, 2024, Plaintiff was compelled to sign a lease with Homes of America, at Cricklewood MHP, under threat of eviction. The lease was executed offsite, under time pressure, with no meaningful opportunity to review. The lease was later backdated. Defendants acted with knowledge that Plaintiff was under economic duress.</w:t>
      </w:r>
    </w:p>
    <w:p>
      <w:pPr>
        <w:pStyle w:val="BodyText"/>
      </w:pPr>
      <w:r>
        <w:rPr>
          <w:b/>
          <w:bCs/>
        </w:rPr>
        <w:t xml:space="preserve">Count III – Breach of Covenant of Habitability (MCL 554.139)</w:t>
      </w:r>
      <w:r>
        <w:br/>
      </w:r>
      <w:r>
        <w:t xml:space="preserve">From February through May 2025, the manufactured home lot suffered from an unresolved sewage backflow. Defendant failed to repair or respond. During this period, rent and utility charges were still assessed. Conditions were unfit for habitation.</w:t>
      </w:r>
    </w:p>
    <w:p>
      <w:pPr>
        <w:pStyle w:val="BodyText"/>
      </w:pPr>
      <w:r>
        <w:rPr>
          <w:b/>
          <w:bCs/>
        </w:rPr>
        <w:t xml:space="preserve">Count IV – Fraudulent Billing Practices</w:t>
      </w:r>
      <w:r>
        <w:br/>
      </w:r>
      <w:r>
        <w:t xml:space="preserve">Billing statements dated May 15, 2025 show rent of $720 (above agreed rate), a trash fee of $18.24 (above lease terms), and excessive administrative fees. These charges were made while the property suffered unresolved code violations.</w:t>
      </w:r>
    </w:p>
    <w:p>
      <w:pPr>
        <w:pStyle w:val="BodyText"/>
      </w:pPr>
      <w:r>
        <w:rPr>
          <w:b/>
          <w:bCs/>
        </w:rPr>
        <w:t xml:space="preserve">Count V – Unjust Enrichment</w:t>
      </w:r>
      <w:r>
        <w:br/>
      </w:r>
      <w:r>
        <w:t xml:space="preserve">Defendants received payments from Plaintiff and third parties (e.g., Plaintiff’s mother) despite lacking lawful capacity to contract or collect due to dissolution. Defendants benefitted from the illegal lease while providing substandard conditions.</w:t>
      </w:r>
    </w:p>
    <w:p>
      <w:pPr>
        <w:pStyle w:val="BodyText"/>
      </w:pPr>
      <w:r>
        <w:rPr>
          <w:b/>
          <w:bCs/>
        </w:rPr>
        <w:t xml:space="preserve">Count VI – Constructive Eviction</w:t>
      </w:r>
      <w:r>
        <w:br/>
      </w:r>
      <w:r>
        <w:t xml:space="preserve">Through retaliatory rent increases, coercion, lack of repairs, and water shutoff, Defendants deprived Plaintiff of the use and enjoyment of the premises. Plaintiff was functionally evicted without lawful procedure.</w:t>
      </w:r>
    </w:p>
    <w:p>
      <w:pPr>
        <w:pStyle w:val="BodyText"/>
      </w:pPr>
      <w:r>
        <w:rPr>
          <w:b/>
          <w:bCs/>
        </w:rPr>
        <w:t xml:space="preserve">Count VII – Environmental Misconduct – EGLE Violation Basis</w:t>
      </w:r>
      <w:r>
        <w:br/>
      </w:r>
      <w:r>
        <w:t xml:space="preserve">Defendants failed to abate sewage hazards or comply with EGLE standards between February and May 2025. Reports were filed, but no corrective action was taken. Charges continued through this period.</w:t>
      </w:r>
    </w:p>
    <w:p>
      <w:pPr>
        <w:pStyle w:val="BodyText"/>
      </w:pPr>
      <w:r>
        <w:rPr>
          <w:b/>
          <w:bCs/>
        </w:rPr>
        <w:t xml:space="preserve">Count VIII – Tortious Interference with Habitability (Water Shutoff)</w:t>
      </w:r>
      <w:r>
        <w:br/>
      </w:r>
      <w:r>
        <w:t xml:space="preserve">On May 20, 2025, Defendants disconnected water service to Plaintiff’s home without notice, while Plaintiff’s child was present. The action was retaliatory and designed to force departure.</w:t>
      </w:r>
    </w:p>
    <w:p>
      <w:pPr>
        <w:pStyle w:val="BodyText"/>
      </w:pPr>
      <w:r>
        <w:rPr>
          <w:b/>
          <w:bCs/>
        </w:rPr>
        <w:t xml:space="preserve">Count IX – Reckless Endangerment / Negligence Per Se</w:t>
      </w:r>
      <w:r>
        <w:br/>
      </w:r>
      <w:r>
        <w:t xml:space="preserve">The conditions created by Defendants’ refusal to maintain sewage and water systems endangered Plaintiff’s health and safety. Minor child was exposed to hazardous conditions.</w:t>
      </w:r>
    </w:p>
    <w:p>
      <w:pPr>
        <w:pStyle w:val="BodyText"/>
      </w:pPr>
      <w:r>
        <w:rPr>
          <w:b/>
          <w:bCs/>
        </w:rPr>
        <w:t xml:space="preserve">Count X – Retaliatory Conduct (MCL 600.5775)</w:t>
      </w:r>
      <w:r>
        <w:br/>
      </w:r>
      <w:r>
        <w:t xml:space="preserve">Plaintiff engaged in protected conduct by raising health and safety issues. Defendants responded with rent increases, lease coercion, and water shutoff within the prohibited 90-day retaliation window.</w:t>
      </w:r>
    </w:p>
    <w:p>
      <w:pPr>
        <w:pStyle w:val="BodyText"/>
      </w:pPr>
      <w:r>
        <w:rPr>
          <w:b/>
          <w:bCs/>
        </w:rPr>
        <w:t xml:space="preserve">Count XI – Obstruction of Legal Process</w:t>
      </w:r>
      <w:r>
        <w:br/>
      </w:r>
      <w:r>
        <w:t xml:space="preserve">On June 11, 2025, Plaintiff attempted to serve Defendants with process. Defendants refused access, denied service authority, and evaded lawful procedure.</w:t>
      </w:r>
    </w:p>
    <w:p>
      <w:pPr>
        <w:pStyle w:val="BodyText"/>
      </w:pPr>
      <w:r>
        <w:rPr>
          <w:b/>
          <w:bCs/>
        </w:rPr>
        <w:t xml:space="preserve">Count XII – Civil Conspiracy / Corporate Veil Abuse</w:t>
      </w:r>
      <w:r>
        <w:br/>
      </w:r>
      <w:r>
        <w:t xml:space="preserve">Homes of America, CT Corp, and Partridge Securities operated in coordination to perpetuate a dissolved entity’s operations, using fake addresses, obscured ownership, and improper agent listings. This was done to avoid liability and shield assets.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2025-07-01T23:03:45Z</dcterms:created>
  <dcterms:modified xsi:type="dcterms:W3CDTF">2025-07-01T23:03:45Z</dcterms:modified>
</cp:coreProperties>
</file>

<file path=docProps/custom.xml><?xml version="1.0" encoding="utf-8"?>
<Properties xmlns="http://schemas.openxmlformats.org/officeDocument/2006/custom-properties" xmlns:vt="http://schemas.openxmlformats.org/officeDocument/2006/docPropsVTypes"/>
</file>