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 THE 14TH JUDICIAL CIRCUIT COURT FOR THE COUNTY OF MUSKEGON, STATE OF MICHIGAN</w:t>
      </w:r>
    </w:p>
    <w:p>
      <w:pPr>
        <w:pStyle w:val="BodyText"/>
      </w:pPr>
      <w:r>
        <w:rPr>
          <w:b/>
          <w:bCs/>
        </w:rPr>
        <w:t xml:space="preserve">ANDREW J. PIGORS,</w:t>
      </w:r>
      <w:r>
        <w:t xml:space="preserve"> </w:t>
      </w:r>
      <w:r>
        <w:t xml:space="preserve">Plaintiff,</w:t>
      </w:r>
    </w:p>
    <w:p>
      <w:pPr>
        <w:pStyle w:val="SourceCode"/>
        <w:numPr>
          <w:ilvl w:val="0"/>
          <w:numId w:val="1001"/>
        </w:numPr>
      </w:pPr>
      <w:r>
        <w:rPr>
          <w:rStyle w:val="VerbatimChar"/>
        </w:rPr>
        <w:t xml:space="preserve">                                             Case No. 2025-0000002760-CZ</w:t>
      </w:r>
      <w:r>
        <w:br/>
      </w:r>
      <w:r>
        <w:rPr>
          <w:rStyle w:val="VerbatimChar"/>
        </w:rPr>
        <w:t xml:space="preserve">                                             Hon. Kenneth S. Hoopes</w:t>
      </w:r>
    </w:p>
    <w:p>
      <w:pPr>
        <w:pStyle w:val="FirstParagraph"/>
      </w:pPr>
      <w:r>
        <w:rPr>
          <w:b/>
          <w:bCs/>
        </w:rPr>
        <w:t xml:space="preserve">SHADY OAKS PARK MHP LLC,</w:t>
      </w:r>
      <w:r>
        <w:t xml:space="preserve"> </w:t>
      </w:r>
      <w:r>
        <w:rPr>
          <w:b/>
          <w:bCs/>
        </w:rPr>
        <w:t xml:space="preserve">SHADY OAKS MHP LLC,</w:t>
      </w:r>
      <w:r>
        <w:t xml:space="preserve"> </w:t>
      </w:r>
      <w:r>
        <w:rPr>
          <w:b/>
          <w:bCs/>
        </w:rPr>
        <w:t xml:space="preserve">HOMES OF AMERICA LLC,</w:t>
      </w:r>
      <w:r>
        <w:t xml:space="preserve"> </w:t>
      </w:r>
      <w:r>
        <w:rPr>
          <w:b/>
          <w:bCs/>
        </w:rPr>
        <w:t xml:space="preserve">PARTRIDGE SECURITIES LLC,</w:t>
      </w:r>
      <w:r>
        <w:t xml:space="preserve"> </w:t>
      </w:r>
      <w:r>
        <w:t xml:space="preserve">Defendants.</w:t>
      </w:r>
    </w:p>
    <w:p>
      <w:r>
        <w:pict>
          <v:rect style="width:0;height:1.5pt" o:hralign="center" o:hrstd="t" o:hr="t"/>
        </w:pict>
      </w:r>
    </w:p>
    <w:bookmarkStart w:id="25" w:name="X2c6e22d217e00fe370a069cf8f2a6779839c258"/>
    <w:p>
      <w:pPr>
        <w:pStyle w:val="Heading1"/>
      </w:pPr>
      <w:r>
        <w:rPr>
          <w:b/>
          <w:bCs/>
        </w:rPr>
        <w:t xml:space="preserve">AMENDED VERIFIED COMPLAINT FOR INJUNCTIVE RELIEF, DAMAGES, AND SANCTIONS</w:t>
      </w:r>
    </w:p>
    <w:p>
      <w:pPr>
        <w:pStyle w:val="FirstParagraph"/>
      </w:pPr>
      <w:r>
        <w:t xml:space="preserve">Comes now Plaintiff ANDREW J. PIGORS, in propria persona, and files this Amended Verified Complaint against the above-named Defendants, incorporating all previously filed pleadings and exhibits by reference pursuant to MCR 2.118(D), and states as follows:</w:t>
      </w:r>
    </w:p>
    <w:p>
      <w:r>
        <w:pict>
          <v:rect style="width:0;height:1.5pt" o:hralign="center" o:hrstd="t" o:hr="t"/>
        </w:pict>
      </w:r>
    </w:p>
    <w:bookmarkStart w:id="20" w:name="i.-jurisdiction-and-venue"/>
    <w:p>
      <w:pPr>
        <w:pStyle w:val="Heading2"/>
      </w:pPr>
      <w:r>
        <w:rPr>
          <w:b/>
          <w:bCs/>
        </w:rPr>
        <w:t xml:space="preserve">I. JURISDICTION AND VENUE</w:t>
      </w:r>
    </w:p>
    <w:p>
      <w:pPr>
        <w:pStyle w:val="Compact"/>
        <w:numPr>
          <w:ilvl w:val="0"/>
          <w:numId w:val="1002"/>
        </w:numPr>
      </w:pPr>
      <w:r>
        <w:t xml:space="preserve">This Court has jurisdiction under MCL 600.605 and MCL 600.5805, as the subject matter concerns real property located in Muskegon County, Michigan, and damages exceed $25,000.</w:t>
      </w:r>
    </w:p>
    <w:p>
      <w:pPr>
        <w:pStyle w:val="Compact"/>
        <w:numPr>
          <w:ilvl w:val="0"/>
          <w:numId w:val="1002"/>
        </w:numPr>
      </w:pPr>
      <w:r>
        <w:t xml:space="preserve">Venue is proper under MCL 600.1621 because the causes of action arose in Muskegon County.</w:t>
      </w:r>
    </w:p>
    <w:p>
      <w:r>
        <w:pict>
          <v:rect style="width:0;height:1.5pt" o:hralign="center" o:hrstd="t" o:hr="t"/>
        </w:pict>
      </w:r>
    </w:p>
    <w:bookmarkEnd w:id="20"/>
    <w:bookmarkStart w:id="21" w:name="ii.-parties"/>
    <w:p>
      <w:pPr>
        <w:pStyle w:val="Heading2"/>
      </w:pPr>
      <w:r>
        <w:rPr>
          <w:b/>
          <w:bCs/>
        </w:rPr>
        <w:t xml:space="preserve">II. PARTIES</w:t>
      </w:r>
    </w:p>
    <w:p>
      <w:pPr>
        <w:pStyle w:val="Compact"/>
        <w:numPr>
          <w:ilvl w:val="0"/>
          <w:numId w:val="1003"/>
        </w:numPr>
      </w:pPr>
      <w:r>
        <w:t xml:space="preserve">Plaintiff Andrew J. Pigors is a Michigan resident residing at Lot 17, 1977 Whitehall Road, Muskegon, MI 49445.</w:t>
      </w:r>
    </w:p>
    <w:p>
      <w:pPr>
        <w:pStyle w:val="Compact"/>
        <w:numPr>
          <w:ilvl w:val="0"/>
          <w:numId w:val="1003"/>
        </w:numPr>
      </w:pPr>
      <w:r>
        <w:t xml:space="preserve">Defendant SHADY OAKS PARK MHP LLC is a Michigan limited liability company claiming ownership/management of the manufactured housing park at said address.</w:t>
      </w:r>
    </w:p>
    <w:p>
      <w:pPr>
        <w:pStyle w:val="Compact"/>
        <w:numPr>
          <w:ilvl w:val="0"/>
          <w:numId w:val="1003"/>
        </w:numPr>
      </w:pPr>
      <w:r>
        <w:t xml:space="preserve">Defendant SHADY OAKS MHP LLC is a legally distinct but interrelated shell entity used interchangeably with Defendant #4 in court filings and communications.</w:t>
      </w:r>
    </w:p>
    <w:p>
      <w:pPr>
        <w:pStyle w:val="Compact"/>
        <w:numPr>
          <w:ilvl w:val="0"/>
          <w:numId w:val="1003"/>
        </w:numPr>
      </w:pPr>
      <w:r>
        <w:t xml:space="preserve">Defendant HOMES OF AMERICA LLC is the parent/management company over multiple mobile home parks, including Shady Oaks, and conducted coercive leasing actions against Plaintiff.</w:t>
      </w:r>
    </w:p>
    <w:p>
      <w:pPr>
        <w:pStyle w:val="Compact"/>
        <w:numPr>
          <w:ilvl w:val="0"/>
          <w:numId w:val="1003"/>
        </w:numPr>
      </w:pPr>
      <w:r>
        <w:t xml:space="preserve">Defendant PARTRIDGE SECURITIES LLC is a known affiliated financial entity linked to the corporate structuring of Defendants 4–6.</w:t>
      </w:r>
    </w:p>
    <w:p>
      <w:r>
        <w:pict>
          <v:rect style="width:0;height:1.5pt" o:hralign="center" o:hrstd="t" o:hr="t"/>
        </w:pict>
      </w:r>
    </w:p>
    <w:bookmarkEnd w:id="21"/>
    <w:bookmarkStart w:id="22" w:name="iii.-factual-background"/>
    <w:p>
      <w:pPr>
        <w:pStyle w:val="Heading2"/>
      </w:pPr>
      <w:r>
        <w:rPr>
          <w:b/>
          <w:bCs/>
        </w:rPr>
        <w:t xml:space="preserve">III. FACTUAL BACKGROUND</w:t>
      </w:r>
    </w:p>
    <w:p>
      <w:pPr>
        <w:pStyle w:val="FirstParagraph"/>
      </w:pPr>
      <w:r>
        <w:t xml:space="preserve">The full factual record is outlined in Plaintiff’s Sworn Chronological Master Affidavit (filed herewith), spanning from November 2023 to July 2025. Key events include:</w:t>
      </w:r>
      <w:r>
        <w:t xml:space="preserve"> </w:t>
      </w:r>
      <w:r>
        <w:t xml:space="preserve">- Forced relocation and coerced lease signing under duress (March 2024).</w:t>
      </w:r>
      <w:r>
        <w:t xml:space="preserve"> </w:t>
      </w:r>
      <w:r>
        <w:t xml:space="preserve">- Repeated entity misrepresentation across court filings, billing, and ledgers.</w:t>
      </w:r>
      <w:r>
        <w:t xml:space="preserve"> </w:t>
      </w:r>
      <w:r>
        <w:t xml:space="preserve">- Pattern of retaliatory rent increases tied to custody litigation and protected activity.</w:t>
      </w:r>
      <w:r>
        <w:t xml:space="preserve"> </w:t>
      </w:r>
      <w:r>
        <w:t xml:space="preserve">- Improper eviction filings under conflicting entities.</w:t>
      </w:r>
      <w:r>
        <w:t xml:space="preserve"> </w:t>
      </w:r>
      <w:r>
        <w:t xml:space="preserve">- Ongoing EGLE violations during billing periods.</w:t>
      </w:r>
      <w:r>
        <w:t xml:space="preserve"> </w:t>
      </w:r>
      <w:r>
        <w:t xml:space="preserve">- Systematic abuse of procedural court processes using fake or merged LLCs.</w:t>
      </w:r>
    </w:p>
    <w:p>
      <w:pPr>
        <w:pStyle w:val="BodyText"/>
      </w:pPr>
      <w:r>
        <w:t xml:space="preserve">Each violation is documented chronologically and linked to Exhibits A–Z.</w:t>
      </w:r>
    </w:p>
    <w:p>
      <w:r>
        <w:pict>
          <v:rect style="width:0;height:1.5pt" o:hralign="center" o:hrstd="t" o:hr="t"/>
        </w:pict>
      </w:r>
    </w:p>
    <w:bookmarkEnd w:id="22"/>
    <w:bookmarkStart w:id="23" w:name="counts-ixiv"/>
    <w:p>
      <w:pPr>
        <w:pStyle w:val="Heading2"/>
      </w:pPr>
      <w:r>
        <w:rPr>
          <w:b/>
          <w:bCs/>
        </w:rPr>
        <w:t xml:space="preserve">COUNTS I–XIV</w:t>
      </w:r>
    </w:p>
    <w:p>
      <w:pPr>
        <w:pStyle w:val="FirstParagraph"/>
      </w:pPr>
      <w:r>
        <w:rPr>
          <w:b/>
          <w:bCs/>
        </w:rPr>
        <w:t xml:space="preserve">Count I – Fraudulent Inducement</w:t>
      </w:r>
      <w:r>
        <w:t xml:space="preserve"> </w:t>
      </w:r>
      <w:r>
        <w:t xml:space="preserve">Defendants induced Plaintiff into a lease contract through coercion and misrepresentation. (MCL 600.5805; Restatement (2d) Contracts, §175-176).</w:t>
      </w:r>
    </w:p>
    <w:p>
      <w:pPr>
        <w:pStyle w:val="BodyText"/>
      </w:pPr>
      <w:r>
        <w:rPr>
          <w:b/>
          <w:bCs/>
        </w:rPr>
        <w:t xml:space="preserve">Count II – Constructive Eviction</w:t>
      </w:r>
      <w:r>
        <w:t xml:space="preserve"> </w:t>
      </w:r>
      <w:r>
        <w:t xml:space="preserve">Sustained sewage issues, coercive lease practices, and essential service failures amount to constructive eviction. (MCL 554.139).</w:t>
      </w:r>
    </w:p>
    <w:p>
      <w:pPr>
        <w:pStyle w:val="BodyText"/>
      </w:pPr>
      <w:r>
        <w:rPr>
          <w:b/>
          <w:bCs/>
        </w:rPr>
        <w:t xml:space="preserve">Count III – Retaliatory Conduct</w:t>
      </w:r>
      <w:r>
        <w:t xml:space="preserve"> </w:t>
      </w:r>
      <w:r>
        <w:t xml:space="preserve">Rent increased post-custody litigation and after protected EGLE complaints. (MCL 600.5775(2)).</w:t>
      </w:r>
    </w:p>
    <w:p>
      <w:pPr>
        <w:pStyle w:val="BodyText"/>
      </w:pPr>
      <w:r>
        <w:rPr>
          <w:b/>
          <w:bCs/>
        </w:rPr>
        <w:t xml:space="preserve">Count IV – Consumer Protection Act Violations</w:t>
      </w:r>
      <w:r>
        <w:t xml:space="preserve"> </w:t>
      </w:r>
      <w:r>
        <w:t xml:space="preserve">Fraudulent billing, hidden fees, and deceptive ledgers violate MCL 445.903.</w:t>
      </w:r>
    </w:p>
    <w:p>
      <w:pPr>
        <w:pStyle w:val="BodyText"/>
      </w:pPr>
      <w:r>
        <w:rPr>
          <w:b/>
          <w:bCs/>
        </w:rPr>
        <w:t xml:space="preserve">Count V – Procedural Fraud on the Court</w:t>
      </w:r>
      <w:r>
        <w:t xml:space="preserve"> </w:t>
      </w:r>
      <w:r>
        <w:t xml:space="preserve">Eviction filed under false/misleading entity name(s); clerical compliance breached. (MCR 2.113(C), 1.109(D)(3)).</w:t>
      </w:r>
    </w:p>
    <w:p>
      <w:pPr>
        <w:pStyle w:val="BodyText"/>
      </w:pPr>
      <w:r>
        <w:rPr>
          <w:b/>
          <w:bCs/>
        </w:rPr>
        <w:t xml:space="preserve">Count VI – Misuse of Corporate Identity</w:t>
      </w:r>
      <w:r>
        <w:t xml:space="preserve"> </w:t>
      </w:r>
      <w:r>
        <w:t xml:space="preserve">Interchangeable use of multiple LLCs in official capacity for improper advantage violates legal identity principles. (MCL 600.2041).</w:t>
      </w:r>
    </w:p>
    <w:p>
      <w:pPr>
        <w:pStyle w:val="BodyText"/>
      </w:pPr>
      <w:r>
        <w:rPr>
          <w:b/>
          <w:bCs/>
        </w:rPr>
        <w:t xml:space="preserve">Count VII – Breach of Covenant of Habitability</w:t>
      </w:r>
      <w:r>
        <w:t xml:space="preserve"> </w:t>
      </w:r>
      <w:r>
        <w:t xml:space="preserve">Unresolved sewage leak, water shutoffs, and housing conditions unfit for human occupancy. (MCL 554.139).</w:t>
      </w:r>
    </w:p>
    <w:p>
      <w:pPr>
        <w:pStyle w:val="BodyText"/>
      </w:pPr>
      <w:r>
        <w:rPr>
          <w:b/>
          <w:bCs/>
        </w:rPr>
        <w:t xml:space="preserve">Count VIII – Veil Piercing &amp; Shell Entity Abuse</w:t>
      </w:r>
      <w:r>
        <w:t xml:space="preserve"> </w:t>
      </w:r>
      <w:r>
        <w:t xml:space="preserve">Shady Oaks Park MHP LLC and Shady Oaks MHP LLC operate as a unified instrumentality to defraud and evade legal obligations.</w:t>
      </w:r>
    </w:p>
    <w:p>
      <w:pPr>
        <w:pStyle w:val="BodyText"/>
      </w:pPr>
      <w:r>
        <w:rPr>
          <w:b/>
          <w:bCs/>
        </w:rPr>
        <w:t xml:space="preserve">Count IX – Retaliatory Housing Practices</w:t>
      </w:r>
      <w:r>
        <w:t xml:space="preserve"> </w:t>
      </w:r>
      <w:r>
        <w:t xml:space="preserve">Defendants escalated housing instability in direct response to Plaintiff’s protected activity and complaints.</w:t>
      </w:r>
    </w:p>
    <w:p>
      <w:pPr>
        <w:pStyle w:val="BodyText"/>
      </w:pPr>
      <w:r>
        <w:rPr>
          <w:b/>
          <w:bCs/>
        </w:rPr>
        <w:t xml:space="preserve">Count X – Misapplication of Payments</w:t>
      </w:r>
      <w:r>
        <w:t xml:space="preserve"> </w:t>
      </w:r>
      <w:r>
        <w:t xml:space="preserve">Three payments made July 1, 2024, were never applied or acknowledged, leading to false delinquency.</w:t>
      </w:r>
    </w:p>
    <w:p>
      <w:pPr>
        <w:pStyle w:val="BodyText"/>
      </w:pPr>
      <w:r>
        <w:rPr>
          <w:b/>
          <w:bCs/>
        </w:rPr>
        <w:t xml:space="preserve">Count XI – Unjust Enrichment &amp; Billing Abuse</w:t>
      </w:r>
      <w:r>
        <w:t xml:space="preserve"> </w:t>
      </w:r>
      <w:r>
        <w:t xml:space="preserve">Rent collected during uninhabitable periods, without lease, and with inflated non-contractual fees.</w:t>
      </w:r>
    </w:p>
    <w:p>
      <w:pPr>
        <w:pStyle w:val="BodyText"/>
      </w:pPr>
      <w:r>
        <w:rPr>
          <w:b/>
          <w:bCs/>
        </w:rPr>
        <w:t xml:space="preserve">Count XII – Abuse of Judicial Process</w:t>
      </w:r>
      <w:r>
        <w:t xml:space="preserve"> </w:t>
      </w:r>
      <w:r>
        <w:t xml:space="preserve">Court process was used to harass, coerce, and dispossess Plaintiff while concealing real parties in interest.</w:t>
      </w:r>
    </w:p>
    <w:p>
      <w:pPr>
        <w:pStyle w:val="BodyText"/>
      </w:pPr>
      <w:r>
        <w:rPr>
          <w:b/>
          <w:bCs/>
        </w:rPr>
        <w:t xml:space="preserve">Count XIII – Due Process &amp; Equal Protection Violations</w:t>
      </w:r>
      <w:r>
        <w:t xml:space="preserve"> </w:t>
      </w:r>
      <w:r>
        <w:t xml:space="preserve">Denial of fair hearing and judicial recognition of conflicting entities violates fundamental fairness.</w:t>
      </w:r>
    </w:p>
    <w:p>
      <w:pPr>
        <w:pStyle w:val="BodyText"/>
      </w:pPr>
      <w:r>
        <w:rPr>
          <w:b/>
          <w:bCs/>
        </w:rPr>
        <w:t xml:space="preserve">Count XIV – Patterned Corporate Misconduct</w:t>
      </w:r>
      <w:r>
        <w:t xml:space="preserve"> </w:t>
      </w:r>
      <w:r>
        <w:t xml:space="preserve">Defendants engaged in a sustained and coordinated pattern of misconduct, suggesting RICO-type liability under civil pattern doctrines.</w:t>
      </w:r>
    </w:p>
    <w:p>
      <w:r>
        <w:pict>
          <v:rect style="width:0;height:1.5pt" o:hralign="center" o:hrstd="t" o:hr="t"/>
        </w:pict>
      </w:r>
    </w:p>
    <w:bookmarkEnd w:id="23"/>
    <w:bookmarkStart w:id="24" w:name="prayer-for-relief"/>
    <w:p>
      <w:pPr>
        <w:pStyle w:val="Heading2"/>
      </w:pPr>
      <w:r>
        <w:rPr>
          <w:b/>
          <w:bCs/>
        </w:rPr>
        <w:t xml:space="preserve">PRAYER FOR RELIEF</w:t>
      </w:r>
    </w:p>
    <w:p>
      <w:pPr>
        <w:pStyle w:val="FirstParagraph"/>
      </w:pPr>
      <w:r>
        <w:t xml:space="preserve">WHEREFORE, Plaintiff respectfully requests:</w:t>
      </w:r>
      <w:r>
        <w:t xml:space="preserve"> </w:t>
      </w:r>
      <w:r>
        <w:t xml:space="preserve">A. Entry of a permanent injunction enjoining further collection, eviction, or harassment by any named Defendant;</w:t>
      </w:r>
      <w:r>
        <w:t xml:space="preserve"> </w:t>
      </w:r>
      <w:r>
        <w:t xml:space="preserve">B. Declaratory judgment confirming Defendants’ shell entity abuse and fraudulent conduct;</w:t>
      </w:r>
      <w:r>
        <w:t xml:space="preserve"> </w:t>
      </w:r>
      <w:r>
        <w:t xml:space="preserve">C. Money damages in excess of $25,000 plus statutory penalties, costs, and fees;</w:t>
      </w:r>
      <w:r>
        <w:t xml:space="preserve"> </w:t>
      </w:r>
      <w:r>
        <w:t xml:space="preserve">D. Judicial oversight into filing standards and clerk compliance under MCR 2.113 and 8.119;</w:t>
      </w:r>
      <w:r>
        <w:t xml:space="preserve"> </w:t>
      </w:r>
      <w:r>
        <w:t xml:space="preserve">E. Any other relief this Court deems just and proper.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</w:t>
      </w:r>
    </w:p>
    <w:p>
      <w:pPr>
        <w:pStyle w:val="BodyText"/>
      </w:pPr>
      <w:r>
        <w:t xml:space="preserve">I, Andrew J. Pigors, being duly sworn, affirm under penalty of perjury that the facts set forth above are true to the best of my knowledge, information, and belief.</w:t>
      </w:r>
    </w:p>
    <w:p>
      <w:pPr>
        <w:pStyle w:val="BodyText"/>
      </w:pPr>
      <w:r>
        <w:t xml:space="preserve">Date: ______________________ Signature: ______________________________</w:t>
      </w:r>
      <w:r>
        <w:br/>
      </w:r>
      <w:r>
        <w:t xml:space="preserve">Andrew J. Pigors, Plaintiff in Pro Per</w:t>
      </w:r>
    </w:p>
    <w:p>
      <w:pPr>
        <w:pStyle w:val="BodyText"/>
      </w:pPr>
      <w:r>
        <w:rPr>
          <w:b/>
          <w:bCs/>
        </w:rPr>
        <w:t xml:space="preserve">CERTIFICATE OF SERVICE</w:t>
      </w:r>
    </w:p>
    <w:p>
      <w:pPr>
        <w:pStyle w:val="BodyText"/>
      </w:pPr>
      <w:r>
        <w:t xml:space="preserve">I certify that on this date I served a true and correct copy of the foregoing Amended Verified Complaint upon all parties by first-class mail and/or MiFile e-service.</w:t>
      </w:r>
    </w:p>
    <w:p>
      <w:pPr>
        <w:pStyle w:val="BodyText"/>
      </w:pPr>
      <w:r>
        <w:t xml:space="preserve">Date: ______________________ Signature: ______________________________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2025-07-03T05:24:36Z</dcterms:created>
  <dcterms:modified xsi:type="dcterms:W3CDTF">2025-07-03T05:24:36Z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