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MICHIGAN</w:t>
      </w:r>
      <w:r>
        <w:t xml:space="preserve"> </w:t>
      </w:r>
      <w:r>
        <w:rPr>
          <w:b/>
          <w:bCs/>
        </w:rPr>
        <w:t xml:space="preserve">IN THE 14TH JUDICIAL CIRCUIT COURT</w:t>
      </w:r>
      <w:r>
        <w:t xml:space="preserve"> </w:t>
      </w:r>
      <w:r>
        <w:rPr>
          <w:b/>
          <w:bCs/>
        </w:rPr>
        <w:t xml:space="preserve">FOR THE COUNTY OF MUSKEGON</w:t>
      </w:r>
    </w:p>
    <w:p>
      <w:pPr>
        <w:pStyle w:val="BodyText"/>
      </w:pPr>
      <w:r>
        <w:t xml:space="preserve">ANDREW J. PIGORS,</w:t>
      </w:r>
      <w:r>
        <w:t xml:space="preserve"> </w:t>
      </w:r>
      <w:r>
        <w:t xml:space="preserve">Plaintiff,</w:t>
      </w:r>
    </w:p>
    <w:p>
      <w:pPr>
        <w:pStyle w:val="SourceCode"/>
        <w:numPr>
          <w:ilvl w:val="0"/>
          <w:numId w:val="1001"/>
        </w:numPr>
      </w:pPr>
      <w:r>
        <w:rPr>
          <w:rStyle w:val="VerbatimChar"/>
        </w:rPr>
        <w:t xml:space="preserve">                                                  Case No. 2025-0000002760-CZ</w:t>
      </w:r>
      <w:r>
        <w:br/>
      </w:r>
      <w:r>
        <w:rPr>
          <w:rStyle w:val="VerbatimChar"/>
        </w:rPr>
        <w:t xml:space="preserve">                                                  Hon. Kenneth S. Hoopes</w:t>
      </w:r>
    </w:p>
    <w:p>
      <w:pPr>
        <w:pStyle w:val="Compact"/>
        <w:numPr>
          <w:ilvl w:val="0"/>
          <w:numId w:val="1000"/>
        </w:numPr>
      </w:pPr>
      <w:r>
        <w:t xml:space="preserve">SHADY OAKS PARK MHP LLC,</w:t>
      </w:r>
      <w:r>
        <w:t xml:space="preserve"> </w:t>
      </w:r>
      <w:r>
        <w:t xml:space="preserve">HOMES OF AMERICA LLC,</w:t>
      </w:r>
      <w:r>
        <w:t xml:space="preserve"> </w:t>
      </w:r>
      <w:r>
        <w:t xml:space="preserve">CT CORPORATION SYSTEM (Registered Agent),</w:t>
      </w:r>
      <w:r>
        <w:t xml:space="preserve"> </w:t>
      </w:r>
      <w:r>
        <w:t xml:space="preserve">ALDEN GLOBAL CAPITAL LLC,</w:t>
      </w:r>
      <w:r>
        <w:t xml:space="preserve"> </w:t>
      </w:r>
      <w:r>
        <w:t xml:space="preserve">CRICKLEWOOD MHP LLC,</w:t>
      </w:r>
      <w:r>
        <w:t xml:space="preserve"> </w:t>
      </w:r>
      <w:r>
        <w:t xml:space="preserve">PARTRIDGE MANAGEMENT LLC,</w:t>
      </w:r>
      <w:r>
        <w:t xml:space="preserve"> </w:t>
      </w:r>
      <w:r>
        <w:t xml:space="preserve">and other yet-identified shell entities or agents involved,</w:t>
      </w:r>
      <w:r>
        <w:t xml:space="preserve"> </w:t>
      </w:r>
      <w:r>
        <w:t xml:space="preserve">Defendants.</w:t>
      </w:r>
    </w:p>
    <w:p>
      <w:r>
        <w:pict>
          <v:rect style="width:0;height:1.5pt" o:hralign="center" o:hrstd="t" o:hr="t"/>
        </w:pict>
      </w:r>
    </w:p>
    <w:p>
      <w:pPr>
        <w:pStyle w:val="FirstParagraph"/>
      </w:pPr>
      <w:r>
        <w:rPr>
          <w:b/>
          <w:bCs/>
        </w:rPr>
        <w:t xml:space="preserve">AMENDED VERIFIED COMPLAINT FOR INJUNCTIVE RELIEF AND DAMAGES</w:t>
      </w:r>
      <w:r>
        <w:t xml:space="preserve"> </w:t>
      </w:r>
      <w:r>
        <w:t xml:space="preserve">______________________________________________________________________________</w:t>
      </w:r>
    </w:p>
    <w:p>
      <w:pPr>
        <w:pStyle w:val="BodyText"/>
      </w:pPr>
      <w:r>
        <w:t xml:space="preserve">NOW COMES Plaintiff, Andrew J. Pigors, in pro per, and hereby files this Amended Verified Complaint pursuant to MCR 2.118(A)(1) and (D), and states as follows:</w:t>
      </w:r>
    </w:p>
    <w:p>
      <w:r>
        <w:pict>
          <v:rect style="width:0;height:1.5pt" o:hralign="center" o:hrstd="t" o:hr="t"/>
        </w:pict>
      </w:r>
    </w:p>
    <w:bookmarkStart w:id="20" w:name="i.-jurisdiction-and-venue"/>
    <w:p>
      <w:pPr>
        <w:pStyle w:val="Heading3"/>
      </w:pPr>
      <w:r>
        <w:t xml:space="preserve">I. JURISDICTION AND VENUE</w:t>
      </w:r>
    </w:p>
    <w:p>
      <w:pPr>
        <w:pStyle w:val="Compact"/>
        <w:numPr>
          <w:ilvl w:val="0"/>
          <w:numId w:val="1002"/>
        </w:numPr>
      </w:pPr>
      <w:r>
        <w:t xml:space="preserve">This Court has subject matter jurisdiction over this case pursuant to MCL 600.605 and MCL 600.2932.</w:t>
      </w:r>
    </w:p>
    <w:p>
      <w:pPr>
        <w:pStyle w:val="Compact"/>
        <w:numPr>
          <w:ilvl w:val="0"/>
          <w:numId w:val="1002"/>
        </w:numPr>
      </w:pPr>
      <w:r>
        <w:t xml:space="preserve">Venue is proper in Muskegon County under MCL 600.1621(a), (c), as the acts occurred and the property in dispute is located in Muskegon County.</w:t>
      </w:r>
    </w:p>
    <w:p>
      <w:r>
        <w:pict>
          <v:rect style="width:0;height:1.5pt" o:hralign="center" o:hrstd="t" o:hr="t"/>
        </w:pict>
      </w:r>
    </w:p>
    <w:bookmarkEnd w:id="20"/>
    <w:bookmarkStart w:id="21" w:name="ii.-parties"/>
    <w:p>
      <w:pPr>
        <w:pStyle w:val="Heading3"/>
      </w:pPr>
      <w:r>
        <w:t xml:space="preserve">II. PARTIES</w:t>
      </w:r>
    </w:p>
    <w:p>
      <w:pPr>
        <w:numPr>
          <w:ilvl w:val="0"/>
          <w:numId w:val="1003"/>
        </w:numPr>
      </w:pPr>
      <w:r>
        <w:t xml:space="preserve">Plaintiff Andrew J. Pigors is a resident of Muskegon County and resides at 1977 Whitehall Road, Lot 17, Muskegon, MI 49445.</w:t>
      </w:r>
    </w:p>
    <w:p>
      <w:pPr>
        <w:numPr>
          <w:ilvl w:val="0"/>
          <w:numId w:val="1003"/>
        </w:numPr>
      </w:pPr>
      <w:r>
        <w:t xml:space="preserve">Defendant Shady Oaks Park MHP LLC is an administratively dissolved Michigan limited liability company, formerly doing business at the above address.</w:t>
      </w:r>
    </w:p>
    <w:p>
      <w:pPr>
        <w:numPr>
          <w:ilvl w:val="0"/>
          <w:numId w:val="1003"/>
        </w:numPr>
      </w:pPr>
      <w:r>
        <w:t xml:space="preserve">Defendant Homes of America LLC is the alleged parent entity controlling or operating Shady Oaks and other mobile home parks.</w:t>
      </w:r>
    </w:p>
    <w:p>
      <w:pPr>
        <w:numPr>
          <w:ilvl w:val="0"/>
          <w:numId w:val="1003"/>
        </w:numPr>
      </w:pPr>
      <w:r>
        <w:t xml:space="preserve">Defendant CT Corporation System is the registered agent of Homes of America and Alden Global Capital in Michigan, and has enabled ongoing litigation and rent collection post-dissolution through improper shielding and misrepresentation.</w:t>
      </w:r>
    </w:p>
    <w:p>
      <w:pPr>
        <w:numPr>
          <w:ilvl w:val="0"/>
          <w:numId w:val="1003"/>
        </w:numPr>
      </w:pPr>
      <w:r>
        <w:t xml:space="preserve">Defendant Alden Global Capital LLC is a New York-based investment firm that operates mobile home parks through corporate subsidiaries and has exercised operational control over Defendants.</w:t>
      </w:r>
    </w:p>
    <w:p>
      <w:pPr>
        <w:numPr>
          <w:ilvl w:val="0"/>
          <w:numId w:val="1003"/>
        </w:numPr>
      </w:pPr>
      <w:r>
        <w:t xml:space="preserve">Defendant Cricklewood MHP LLC is an associated LLC that compelled Plaintiff to drive 35 miles to Ravenna, MI for coerced lease execution under threat of eviction.</w:t>
      </w:r>
    </w:p>
    <w:p>
      <w:pPr>
        <w:numPr>
          <w:ilvl w:val="0"/>
          <w:numId w:val="1003"/>
        </w:numPr>
      </w:pPr>
      <w:r>
        <w:t xml:space="preserve">Defendant Partridge Management LLC, through agent</w:t>
      </w:r>
      <w:r>
        <w:t xml:space="preserve"> </w:t>
      </w:r>
      <w:r>
        <w:t xml:space="preserve">“Partridge,”</w:t>
      </w:r>
      <w:r>
        <w:t xml:space="preserve"> </w:t>
      </w:r>
      <w:r>
        <w:t xml:space="preserve">received rent check from Karen Rettig in August 2024 and cashed it while still pursuing eviction and rent demands in contradiction to payment acceptance.</w:t>
      </w:r>
    </w:p>
    <w:p>
      <w:pPr>
        <w:numPr>
          <w:ilvl w:val="0"/>
          <w:numId w:val="1003"/>
        </w:numPr>
      </w:pPr>
      <w:r>
        <w:t xml:space="preserve">Plaintiff reserves the right to add additional Defendants as discovery reveals further shell entities or involved parties.</w:t>
      </w:r>
    </w:p>
    <w:p>
      <w:r>
        <w:pict>
          <v:rect style="width:0;height:1.5pt" o:hralign="center" o:hrstd="t" o:hr="t"/>
        </w:pict>
      </w:r>
    </w:p>
    <w:bookmarkEnd w:id="21"/>
    <w:bookmarkStart w:id="22" w:name="iii.-general-allegations"/>
    <w:p>
      <w:pPr>
        <w:pStyle w:val="Heading3"/>
      </w:pPr>
      <w:r>
        <w:t xml:space="preserve">III. GENERAL ALLEGATIONS</w:t>
      </w:r>
    </w:p>
    <w:p>
      <w:pPr>
        <w:numPr>
          <w:ilvl w:val="0"/>
          <w:numId w:val="1004"/>
        </w:numPr>
      </w:pPr>
      <w:r>
        <w:t xml:space="preserve">Plaintiff entered into a lease agreement under duress on March 26, 2024.</w:t>
      </w:r>
    </w:p>
    <w:p>
      <w:pPr>
        <w:numPr>
          <w:ilvl w:val="0"/>
          <w:numId w:val="1004"/>
        </w:numPr>
      </w:pPr>
      <w:r>
        <w:t xml:space="preserve">Shady Oaks Park MHP LLC was administratively dissolved by the Michigan Department of Licensing and Regulatory Affairs (LARA) on February 15, 2023.</w:t>
      </w:r>
    </w:p>
    <w:p>
      <w:pPr>
        <w:numPr>
          <w:ilvl w:val="0"/>
          <w:numId w:val="1004"/>
        </w:numPr>
      </w:pPr>
      <w:r>
        <w:t xml:space="preserve">Despite its dissolution, Shady Oaks Park MHP LLC has continued rent collection, utility billing, and litigation activity under false pretenses.</w:t>
      </w:r>
    </w:p>
    <w:p>
      <w:pPr>
        <w:numPr>
          <w:ilvl w:val="0"/>
          <w:numId w:val="1004"/>
        </w:numPr>
      </w:pPr>
      <w:r>
        <w:t xml:space="preserve">Rent has been increased from $395 to $695 without a valid lease and without regulatory justification.</w:t>
      </w:r>
    </w:p>
    <w:p>
      <w:pPr>
        <w:numPr>
          <w:ilvl w:val="0"/>
          <w:numId w:val="1004"/>
        </w:numPr>
      </w:pPr>
      <w:r>
        <w:t xml:space="preserve">Utilities have been fraudulently billed, including sewer and water charges during active EGLE-documented sewage leaks.</w:t>
      </w:r>
    </w:p>
    <w:p>
      <w:pPr>
        <w:numPr>
          <w:ilvl w:val="0"/>
          <w:numId w:val="1004"/>
        </w:numPr>
      </w:pPr>
      <w:r>
        <w:t xml:space="preserve">On May 20, 2025, Defendant(s) shut off Plaintiff’s water without notice or cause while a minor child was present.</w:t>
      </w:r>
    </w:p>
    <w:p>
      <w:pPr>
        <w:numPr>
          <w:ilvl w:val="0"/>
          <w:numId w:val="1004"/>
        </w:numPr>
      </w:pPr>
      <w:r>
        <w:t xml:space="preserve">Defendants continue to operate through an interwoven network of LLCs, shielded by CT Corporation, to evade liability and frustrate tenant rights.</w:t>
      </w:r>
    </w:p>
    <w:p>
      <w:r>
        <w:pict>
          <v:rect style="width:0;height:1.5pt" o:hralign="center" o:hrstd="t" o:hr="t"/>
        </w:pict>
      </w:r>
    </w:p>
    <w:bookmarkEnd w:id="22"/>
    <w:bookmarkStart w:id="23" w:name="iv.-causes-of-action"/>
    <w:p>
      <w:pPr>
        <w:pStyle w:val="Heading3"/>
      </w:pPr>
      <w:r>
        <w:t xml:space="preserve">IV. CAUSES OF ACTION</w:t>
      </w:r>
    </w:p>
    <w:p>
      <w:pPr>
        <w:pStyle w:val="FirstParagraph"/>
      </w:pPr>
      <w:r>
        <w:rPr>
          <w:b/>
          <w:bCs/>
        </w:rPr>
        <w:t xml:space="preserve">Count I – Fraudulent Inducement / Lease Coercion</w:t>
      </w:r>
    </w:p>
    <w:p>
      <w:pPr>
        <w:numPr>
          <w:ilvl w:val="0"/>
          <w:numId w:val="1005"/>
        </w:numPr>
      </w:pPr>
      <w:r>
        <w:t xml:space="preserve">Defendants used threats of eviction, duress, and financial hardship to induce Plaintiff into signing a new lease on March 26, 2024.</w:t>
      </w:r>
    </w:p>
    <w:p>
      <w:pPr>
        <w:numPr>
          <w:ilvl w:val="0"/>
          <w:numId w:val="1005"/>
        </w:numPr>
      </w:pPr>
      <w:r>
        <w:t xml:space="preserve">The lease was signed outside Muskegon County (Ravenna, MI) under conditions lacking transparency and voluntariness.</w:t>
      </w:r>
    </w:p>
    <w:p>
      <w:pPr>
        <w:numPr>
          <w:ilvl w:val="0"/>
          <w:numId w:val="1005"/>
        </w:numPr>
      </w:pPr>
      <w:r>
        <w:t xml:space="preserve">The rent increases and other financial terms were neither fair nor negotiable.</w:t>
      </w:r>
    </w:p>
    <w:p>
      <w:pPr>
        <w:pStyle w:val="FirstParagraph"/>
      </w:pPr>
      <w:r>
        <w:rPr>
          <w:b/>
          <w:bCs/>
        </w:rPr>
        <w:t xml:space="preserve">Count II – Constructive Eviction / Breach of Quiet Enjoyment</w:t>
      </w:r>
    </w:p>
    <w:p>
      <w:pPr>
        <w:numPr>
          <w:ilvl w:val="0"/>
          <w:numId w:val="1006"/>
        </w:numPr>
      </w:pPr>
      <w:r>
        <w:t xml:space="preserve">Defendants created uninhabitable conditions, including sewage leaks and unlawful utility shutoffs.</w:t>
      </w:r>
    </w:p>
    <w:p>
      <w:pPr>
        <w:numPr>
          <w:ilvl w:val="0"/>
          <w:numId w:val="1006"/>
        </w:numPr>
      </w:pPr>
      <w:r>
        <w:t xml:space="preserve">Defendants’ actions amount to constructive eviction under Michigan landlord-tenant law.</w:t>
      </w:r>
    </w:p>
    <w:p>
      <w:pPr>
        <w:pStyle w:val="FirstParagraph"/>
      </w:pPr>
      <w:r>
        <w:rPr>
          <w:b/>
          <w:bCs/>
        </w:rPr>
        <w:t xml:space="preserve">Count III – Civil RICO (18 U.S.C. §1961 et seq.)</w:t>
      </w:r>
    </w:p>
    <w:p>
      <w:pPr>
        <w:numPr>
          <w:ilvl w:val="0"/>
          <w:numId w:val="1007"/>
        </w:numPr>
      </w:pPr>
      <w:r>
        <w:t xml:space="preserve">Defendants, acting through a pattern of LLCs, used fraud, threats, and concealment to enrich themselves unlawfully at the expense of Plaintiff and other tenants.</w:t>
      </w:r>
    </w:p>
    <w:p>
      <w:pPr>
        <w:numPr>
          <w:ilvl w:val="0"/>
          <w:numId w:val="1007"/>
        </w:numPr>
      </w:pPr>
      <w:r>
        <w:t xml:space="preserve">CT Corporation’s shielding and litigation facilitation is part of this racketeering pattern.</w:t>
      </w:r>
    </w:p>
    <w:p>
      <w:pPr>
        <w:pStyle w:val="FirstParagraph"/>
      </w:pPr>
      <w:r>
        <w:rPr>
          <w:b/>
          <w:bCs/>
        </w:rPr>
        <w:t xml:space="preserve">Count IV – Violation of Michigan Consumer Protection Act (MCPA)</w:t>
      </w:r>
    </w:p>
    <w:p>
      <w:pPr>
        <w:pStyle w:val="Compact"/>
        <w:numPr>
          <w:ilvl w:val="0"/>
          <w:numId w:val="1008"/>
        </w:numPr>
      </w:pPr>
      <w:r>
        <w:t xml:space="preserve">Defendants engaged in deceptive practices, false billing, and fraudulent lease terms in violation of MCL 445.903(1)(s), (bb).</w:t>
      </w:r>
    </w:p>
    <w:p>
      <w:pPr>
        <w:pStyle w:val="FirstParagraph"/>
      </w:pPr>
      <w:r>
        <w:rPr>
          <w:b/>
          <w:bCs/>
        </w:rPr>
        <w:t xml:space="preserve">Count V – Intentional Infliction of Emotional Distress (IIED)</w:t>
      </w:r>
    </w:p>
    <w:p>
      <w:pPr>
        <w:numPr>
          <w:ilvl w:val="0"/>
          <w:numId w:val="1009"/>
        </w:numPr>
      </w:pPr>
      <w:r>
        <w:t xml:space="preserve">Plaintiff suffered mental anguish and housing instability due to coercive tactics, water shutoffs, threats, and retaliatory litigation.</w:t>
      </w:r>
    </w:p>
    <w:p>
      <w:pPr>
        <w:numPr>
          <w:ilvl w:val="0"/>
          <w:numId w:val="1009"/>
        </w:numPr>
      </w:pPr>
      <w:r>
        <w:t xml:space="preserve">Such actions are extreme, outrageous, and in deliberate disregard of Plaintiff’s rights.</w:t>
      </w:r>
    </w:p>
    <w:p>
      <w:pPr>
        <w:pStyle w:val="FirstParagraph"/>
      </w:pPr>
      <w:r>
        <w:rPr>
          <w:b/>
          <w:bCs/>
        </w:rPr>
        <w:t xml:space="preserve">Count VI – Interference with Parental Rights</w:t>
      </w:r>
    </w:p>
    <w:p>
      <w:pPr>
        <w:pStyle w:val="Compact"/>
        <w:numPr>
          <w:ilvl w:val="0"/>
          <w:numId w:val="1010"/>
        </w:numPr>
      </w:pPr>
      <w:r>
        <w:t xml:space="preserve">Housing instability caused by Defendants has directly interfered with Plaintiff’s parenting time and custody schedule, in violation of MCL 722.27a.</w:t>
      </w:r>
    </w:p>
    <w:p>
      <w:r>
        <w:pict>
          <v:rect style="width:0;height:1.5pt" o:hralign="center" o:hrstd="t" o:hr="t"/>
        </w:pict>
      </w:r>
    </w:p>
    <w:bookmarkEnd w:id="23"/>
    <w:bookmarkStart w:id="24" w:name="v.-relief-requested"/>
    <w:p>
      <w:pPr>
        <w:pStyle w:val="Heading3"/>
      </w:pPr>
      <w:r>
        <w:t xml:space="preserve">V. RELIEF REQUESTED</w:t>
      </w:r>
    </w:p>
    <w:p>
      <w:pPr>
        <w:pStyle w:val="FirstParagraph"/>
      </w:pPr>
      <w:r>
        <w:t xml:space="preserve">WHEREFORE, Plaintiff respectfully requests that this Court:</w:t>
      </w:r>
    </w:p>
    <w:p>
      <w:pPr>
        <w:pStyle w:val="BodyText"/>
      </w:pPr>
      <w:r>
        <w:t xml:space="preserve">A. Issue a Temporary Restraining Order and Preliminary Injunction barring eviction, rent collection, or further legal action by any dissolved entity or non-party.</w:t>
      </w:r>
    </w:p>
    <w:p>
      <w:pPr>
        <w:pStyle w:val="BodyText"/>
      </w:pPr>
      <w:r>
        <w:t xml:space="preserve">B. Declare all filings by Shady Oaks Park MHP LLC post-February 15, 2023 VOID ab initio.</w:t>
      </w:r>
    </w:p>
    <w:p>
      <w:pPr>
        <w:pStyle w:val="BodyText"/>
      </w:pPr>
      <w:r>
        <w:t xml:space="preserve">C. Award monetary, compensatory, and statutory damages as allowed.</w:t>
      </w:r>
    </w:p>
    <w:p>
      <w:pPr>
        <w:pStyle w:val="BodyText"/>
      </w:pPr>
      <w:r>
        <w:t xml:space="preserve">D. Award treble damages under Civil RICO.</w:t>
      </w:r>
    </w:p>
    <w:p>
      <w:pPr>
        <w:pStyle w:val="BodyText"/>
      </w:pPr>
      <w:r>
        <w:t xml:space="preserve">E. Award declaratory relief as to the fraudulent nature of lease and billing practices.</w:t>
      </w:r>
    </w:p>
    <w:p>
      <w:pPr>
        <w:pStyle w:val="BodyText"/>
      </w:pPr>
      <w:r>
        <w:t xml:space="preserve">F. Award attorney fees, sanctions, and costs under MCR 1.109(E), MCL 445.911(2), and other applicable statutes.</w:t>
      </w:r>
    </w:p>
    <w:p>
      <w:pPr>
        <w:pStyle w:val="BodyText"/>
      </w:pPr>
      <w:r>
        <w:t xml:space="preserve">G. Grant all other equitable or legal relief this Court deems just and proper.</w:t>
      </w:r>
    </w:p>
    <w:p>
      <w:r>
        <w:pict>
          <v:rect style="width:0;height:1.5pt" o:hralign="center" o:hrstd="t" o:hr="t"/>
        </w:pict>
      </w:r>
    </w:p>
    <w:bookmarkEnd w:id="24"/>
    <w:bookmarkStart w:id="25" w:name="vi.-verification"/>
    <w:p>
      <w:pPr>
        <w:pStyle w:val="Heading3"/>
      </w:pPr>
      <w:r>
        <w:t xml:space="preserve">VI. VERIFICATION</w:t>
      </w:r>
    </w:p>
    <w:p>
      <w:pPr>
        <w:pStyle w:val="FirstParagraph"/>
      </w:pPr>
      <w:r>
        <w:t xml:space="preserve">I declare under penalty of perjury that the foregoing facts are true to the best of my knowledge, information, and belief.</w:t>
      </w:r>
    </w:p>
    <w:p>
      <w:pPr>
        <w:pStyle w:val="BodyText"/>
      </w:pPr>
      <w:r>
        <w:t xml:space="preserve">Dated: ____________________</w:t>
      </w:r>
    </w:p>
    <w:p>
      <w:pPr>
        <w:pStyle w:val="BodyText"/>
      </w:pPr>
      <w:r>
        <w:t xml:space="preserve">Respectfully Submitted,</w:t>
      </w:r>
    </w:p>
    <w:p>
      <w:r>
        <w:pict>
          <v:rect style="width:0;height:1.5pt" o:hralign="center" o:hrstd="t" o:hr="t"/>
        </w:pict>
      </w:r>
    </w:p>
    <w:p>
      <w:pPr>
        <w:pStyle w:val="FirstParagraph"/>
      </w:pPr>
      <w:r>
        <w:t xml:space="preserve">Andrew J. Pigors, Plaintiff in Pro Per</w:t>
      </w:r>
      <w:r>
        <w:t xml:space="preserve"> </w:t>
      </w:r>
      <w:r>
        <w:t xml:space="preserve">1977 Whitehall Rd Lot 17</w:t>
      </w:r>
      <w:r>
        <w:t xml:space="preserve"> </w:t>
      </w:r>
      <w:r>
        <w:t xml:space="preserve">Muskegon, MI 49445</w:t>
      </w:r>
      <w:r>
        <w:t xml:space="preserve"> </w:t>
      </w:r>
      <w:r>
        <w:t xml:space="preserve">Phone: [User’s confirmed number]</w:t>
      </w:r>
      <w:r>
        <w:t xml:space="preserve"> </w:t>
      </w:r>
      <w:r>
        <w:t xml:space="preserve">Email: [User Email, if used for service]</w:t>
      </w:r>
    </w:p>
    <w:p>
      <w:r>
        <w:pict>
          <v:rect style="width:0;height:1.5pt" o:hralign="center" o:hrstd="t" o:hr="t"/>
        </w:pict>
      </w:r>
    </w:p>
    <w:p>
      <w:pPr>
        <w:pStyle w:val="FirstParagraph"/>
      </w:pPr>
      <w:r>
        <w:rPr>
          <w:b/>
          <w:bCs/>
        </w:rPr>
        <w:t xml:space="preserve">NOTICE OF RELATION BACK UNDER MCR 2.118(D):</w:t>
      </w:r>
    </w:p>
    <w:p>
      <w:pPr>
        <w:pStyle w:val="BodyText"/>
      </w:pPr>
      <w:r>
        <w:t xml:space="preserve">Plaintiff asserts that all newly added parties arise from the same conduct, transaction, or occurrence as set forth in the original pleading, and therefore amendments relate back to the date of original filing.</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2025-07-01T20:54:28Z</dcterms:created>
  <dcterms:modified xsi:type="dcterms:W3CDTF">2025-07-01T20:54:28Z</dcterms:modified>
</cp:coreProperties>
</file>

<file path=docProps/custom.xml><?xml version="1.0" encoding="utf-8"?>
<Properties xmlns="http://schemas.openxmlformats.org/officeDocument/2006/custom-properties" xmlns:vt="http://schemas.openxmlformats.org/officeDocument/2006/docPropsVTypes"/>
</file>