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Amended Verified Complaint (Final Version – v2.0)</w:t>
      </w:r>
    </w:p>
    <w:p>
      <w:r>
        <w:t>This version includes newly added Counts XI and XII, updated relief requests, and embedded citations throughout.</w:t>
      </w:r>
    </w:p>
    <w:p>
      <w:pPr>
        <w:pStyle w:val="Heading1"/>
      </w:pPr>
      <w:r>
        <w:t>Count XI – Abuse of Process</w:t>
      </w:r>
    </w:p>
    <w:p>
      <w:r>
        <w:t>Defendants knowingly used the legal process in an unauthorized and retaliatory manner—specifically, eviction proceedings and billing enforcement through a dissolved LLC—to achieve objectives outside the intended use of the law.</w:t>
        <w:br/>
        <w:t>Authority: Friedman v Dozorc, 412 Mich 1 (1981); MCL 600.2907; MCR 2.114.</w:t>
      </w:r>
    </w:p>
    <w:p>
      <w:pPr>
        <w:pStyle w:val="Heading1"/>
      </w:pPr>
      <w:r>
        <w:t>Count XII – Fraud Upon the Court</w:t>
      </w:r>
    </w:p>
    <w:p>
      <w:r>
        <w:t>Defendants or their agents knowingly misrepresented legal entity status in sworn filings, docket pleadings, and rental claims—resulting in judicial orders issued under false pretenses.</w:t>
        <w:br/>
        <w:t>Relief: Strike all judgments and filings under MCR 2.612(C)(3); sanctions under MCR 2.114(E).</w:t>
      </w:r>
    </w:p>
    <w:p>
      <w:pPr>
        <w:pStyle w:val="Heading1"/>
      </w:pPr>
      <w:r>
        <w:t>Updated Relief Request</w:t>
      </w:r>
    </w:p>
    <w:p>
      <w:r>
        <w:t>11. Referral of attorneys and agents to the Michigan State Bar and Judicial Tenure Commission for knowingly enabling litigation through a defunct LLC.</w:t>
        <w:br/>
        <w:t>12. Full economic damages for loss of housing, employment, and parental access, with matrix cross-referenced in Exhibit AA.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